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72"/>
          <w:szCs w:val="72"/>
          <w:highlight w:val="none"/>
          <w:u w:val="none" w:color="auto"/>
        </w:rPr>
      </w:pPr>
    </w:p>
    <w:p>
      <w:pPr>
        <w:spacing w:line="360" w:lineRule="auto"/>
        <w:jc w:val="center"/>
        <w:rPr>
          <w:b/>
          <w:bCs/>
          <w:color w:val="auto"/>
          <w:sz w:val="72"/>
          <w:szCs w:val="72"/>
          <w:highlight w:val="none"/>
          <w:u w:val="none" w:color="auto"/>
        </w:rPr>
      </w:pPr>
    </w:p>
    <w:p>
      <w:pPr>
        <w:spacing w:line="360" w:lineRule="auto"/>
        <w:jc w:val="center"/>
        <w:rPr>
          <w:b/>
          <w:bCs/>
          <w:color w:val="auto"/>
          <w:sz w:val="72"/>
          <w:szCs w:val="72"/>
          <w:highlight w:val="none"/>
          <w:u w:val="none" w:color="auto"/>
        </w:rPr>
      </w:pPr>
      <w:r>
        <w:rPr>
          <w:b/>
          <w:bCs/>
          <w:color w:val="auto"/>
          <w:sz w:val="72"/>
          <w:szCs w:val="72"/>
          <w:highlight w:val="none"/>
          <w:u w:val="none" w:color="auto"/>
        </w:rPr>
        <w:t>建设项目环境影响报告表</w:t>
      </w:r>
    </w:p>
    <w:p>
      <w:pPr>
        <w:jc w:val="center"/>
        <w:rPr>
          <w:color w:val="auto"/>
          <w:sz w:val="48"/>
          <w:szCs w:val="48"/>
          <w:highlight w:val="none"/>
          <w:u w:val="none" w:color="auto"/>
        </w:rPr>
      </w:pPr>
      <w:r>
        <w:rPr>
          <w:color w:val="auto"/>
          <w:sz w:val="48"/>
          <w:szCs w:val="48"/>
          <w:highlight w:val="none"/>
          <w:u w:val="none" w:color="auto"/>
        </w:rPr>
        <w:t>（污染影响类）</w:t>
      </w:r>
    </w:p>
    <w:p>
      <w:pPr>
        <w:spacing w:line="600" w:lineRule="auto"/>
        <w:ind w:left="2573" w:hanging="2573" w:hangingChars="546"/>
        <w:rPr>
          <w:b/>
          <w:bCs/>
          <w:color w:val="auto"/>
          <w:spacing w:val="85"/>
          <w:sz w:val="30"/>
          <w:szCs w:val="30"/>
          <w:highlight w:val="none"/>
          <w:u w:val="none" w:color="auto"/>
        </w:rPr>
      </w:pPr>
    </w:p>
    <w:p>
      <w:pPr>
        <w:spacing w:line="600" w:lineRule="auto"/>
        <w:ind w:left="2573" w:hanging="2573" w:hangingChars="546"/>
        <w:rPr>
          <w:b/>
          <w:bCs/>
          <w:color w:val="auto"/>
          <w:spacing w:val="85"/>
          <w:sz w:val="30"/>
          <w:szCs w:val="30"/>
          <w:highlight w:val="none"/>
          <w:u w:val="none" w:color="auto"/>
        </w:rPr>
      </w:pPr>
    </w:p>
    <w:p>
      <w:pPr>
        <w:spacing w:line="600" w:lineRule="auto"/>
        <w:ind w:left="2573" w:hanging="2573" w:hangingChars="546"/>
        <w:jc w:val="center"/>
        <w:rPr>
          <w:b/>
          <w:bCs/>
          <w:color w:val="auto"/>
          <w:spacing w:val="85"/>
          <w:sz w:val="30"/>
          <w:szCs w:val="30"/>
          <w:highlight w:val="none"/>
          <w:u w:val="none" w:color="auto"/>
        </w:rPr>
      </w:pPr>
    </w:p>
    <w:p>
      <w:pPr>
        <w:spacing w:line="600" w:lineRule="auto"/>
        <w:ind w:left="2573" w:hanging="2573" w:hangingChars="546"/>
        <w:jc w:val="center"/>
        <w:rPr>
          <w:b/>
          <w:bCs/>
          <w:color w:val="auto"/>
          <w:spacing w:val="85"/>
          <w:sz w:val="30"/>
          <w:szCs w:val="30"/>
          <w:highlight w:val="none"/>
          <w:u w:val="none" w:color="auto"/>
        </w:rPr>
      </w:pPr>
    </w:p>
    <w:p>
      <w:pPr>
        <w:spacing w:line="360" w:lineRule="auto"/>
        <w:jc w:val="center"/>
        <w:rPr>
          <w:rFonts w:hint="eastAsia" w:ascii="仿宋" w:hAnsi="仿宋" w:eastAsia="仿宋" w:cs="仿宋"/>
          <w:b/>
          <w:bCs/>
          <w:color w:val="auto"/>
          <w:spacing w:val="-13"/>
          <w:kern w:val="0"/>
          <w:sz w:val="36"/>
          <w:szCs w:val="36"/>
          <w:highlight w:val="none"/>
          <w:u w:val="none" w:color="auto"/>
        </w:rPr>
      </w:pPr>
    </w:p>
    <w:p>
      <w:pPr>
        <w:spacing w:line="360" w:lineRule="auto"/>
        <w:jc w:val="center"/>
        <w:rPr>
          <w:rFonts w:ascii="仿宋" w:hAnsi="仿宋" w:eastAsia="仿宋" w:cs="仿宋"/>
          <w:b/>
          <w:bCs/>
          <w:color w:val="auto"/>
          <w:spacing w:val="-13"/>
          <w:kern w:val="0"/>
          <w:sz w:val="36"/>
          <w:szCs w:val="36"/>
          <w:highlight w:val="none"/>
          <w:u w:val="none" w:color="auto"/>
        </w:rPr>
      </w:pPr>
      <w:r>
        <w:rPr>
          <w:rFonts w:hint="eastAsia" w:ascii="仿宋" w:hAnsi="仿宋" w:eastAsia="仿宋" w:cs="仿宋"/>
          <w:b/>
          <w:bCs/>
          <w:color w:val="auto"/>
          <w:spacing w:val="-13"/>
          <w:kern w:val="0"/>
          <w:sz w:val="36"/>
          <w:szCs w:val="36"/>
          <w:highlight w:val="none"/>
          <w:u w:val="none" w:color="auto"/>
        </w:rPr>
        <w:t>项目名称</w:t>
      </w:r>
      <w:r>
        <w:rPr>
          <w:rFonts w:hint="eastAsia" w:ascii="仿宋" w:hAnsi="仿宋" w:eastAsia="仿宋" w:cs="仿宋"/>
          <w:b/>
          <w:bCs/>
          <w:color w:val="auto"/>
          <w:spacing w:val="-13"/>
          <w:sz w:val="36"/>
          <w:szCs w:val="36"/>
          <w:highlight w:val="none"/>
          <w:u w:val="none" w:color="auto"/>
        </w:rPr>
        <w:t>：</w:t>
      </w:r>
      <w:r>
        <w:rPr>
          <w:rFonts w:hint="eastAsia" w:ascii="仿宋" w:hAnsi="仿宋" w:eastAsia="仿宋" w:cs="仿宋"/>
          <w:b/>
          <w:bCs/>
          <w:color w:val="auto"/>
          <w:spacing w:val="-13"/>
          <w:kern w:val="0"/>
          <w:sz w:val="36"/>
          <w:szCs w:val="36"/>
          <w:highlight w:val="none"/>
          <w:u w:val="none" w:color="auto"/>
        </w:rPr>
        <w:t>湖南友络电子有限公司电感生产项目</w:t>
      </w:r>
    </w:p>
    <w:p>
      <w:pPr>
        <w:pStyle w:val="2"/>
        <w:spacing w:after="0" w:line="360" w:lineRule="auto"/>
        <w:jc w:val="center"/>
        <w:rPr>
          <w:rFonts w:ascii="仿宋" w:hAnsi="仿宋" w:eastAsia="仿宋" w:cs="仿宋"/>
          <w:b/>
          <w:bCs/>
          <w:color w:val="auto"/>
          <w:spacing w:val="-13"/>
          <w:sz w:val="36"/>
          <w:szCs w:val="36"/>
          <w:highlight w:val="none"/>
          <w:u w:val="none" w:color="auto"/>
        </w:rPr>
      </w:pPr>
      <w:r>
        <w:rPr>
          <w:rFonts w:hint="eastAsia" w:ascii="仿宋" w:hAnsi="仿宋" w:eastAsia="仿宋" w:cs="仿宋"/>
          <w:b/>
          <w:bCs/>
          <w:color w:val="auto"/>
          <w:spacing w:val="-13"/>
          <w:sz w:val="36"/>
          <w:szCs w:val="36"/>
          <w:highlight w:val="none"/>
          <w:u w:val="none" w:color="auto"/>
        </w:rPr>
        <w:t>建设单位</w:t>
      </w:r>
      <w:r>
        <w:rPr>
          <w:rFonts w:hint="eastAsia" w:ascii="仿宋" w:hAnsi="仿宋" w:eastAsia="仿宋" w:cs="仿宋"/>
          <w:b/>
          <w:color w:val="auto"/>
          <w:spacing w:val="-13"/>
          <w:sz w:val="36"/>
          <w:szCs w:val="36"/>
          <w:highlight w:val="none"/>
          <w:u w:val="none" w:color="auto"/>
        </w:rPr>
        <w:t>（盖章）</w:t>
      </w:r>
      <w:r>
        <w:rPr>
          <w:rFonts w:hint="eastAsia" w:ascii="仿宋" w:hAnsi="仿宋" w:eastAsia="仿宋" w:cs="仿宋"/>
          <w:b/>
          <w:bCs/>
          <w:color w:val="auto"/>
          <w:spacing w:val="-13"/>
          <w:sz w:val="36"/>
          <w:szCs w:val="36"/>
          <w:highlight w:val="none"/>
          <w:u w:val="none" w:color="auto"/>
        </w:rPr>
        <w:t>：</w:t>
      </w:r>
      <w:r>
        <w:rPr>
          <w:rFonts w:hint="eastAsia" w:ascii="仿宋" w:hAnsi="仿宋" w:eastAsia="仿宋" w:cs="仿宋"/>
          <w:b/>
          <w:bCs/>
          <w:color w:val="auto"/>
          <w:spacing w:val="-13"/>
          <w:kern w:val="0"/>
          <w:sz w:val="36"/>
          <w:szCs w:val="36"/>
          <w:highlight w:val="none"/>
          <w:u w:val="none" w:color="auto"/>
        </w:rPr>
        <w:t>湖南友络电子有限公司</w:t>
      </w:r>
    </w:p>
    <w:p>
      <w:pPr>
        <w:spacing w:line="360" w:lineRule="auto"/>
        <w:rPr>
          <w:rFonts w:ascii="仿宋" w:hAnsi="仿宋" w:eastAsia="仿宋" w:cs="仿宋"/>
          <w:b/>
          <w:bCs/>
          <w:color w:val="auto"/>
          <w:spacing w:val="-13"/>
          <w:kern w:val="0"/>
          <w:sz w:val="36"/>
          <w:szCs w:val="36"/>
          <w:highlight w:val="none"/>
          <w:u w:val="none" w:color="auto"/>
        </w:rPr>
      </w:pPr>
    </w:p>
    <w:p>
      <w:pPr>
        <w:spacing w:line="360" w:lineRule="auto"/>
        <w:jc w:val="center"/>
        <w:rPr>
          <w:rFonts w:ascii="仿宋" w:hAnsi="仿宋" w:eastAsia="仿宋" w:cs="仿宋"/>
          <w:b/>
          <w:bCs/>
          <w:color w:val="auto"/>
          <w:spacing w:val="-13"/>
          <w:kern w:val="0"/>
          <w:sz w:val="36"/>
          <w:szCs w:val="36"/>
          <w:highlight w:val="none"/>
          <w:u w:val="none" w:color="auto"/>
        </w:rPr>
      </w:pPr>
      <w:r>
        <w:rPr>
          <w:rFonts w:hint="eastAsia" w:ascii="仿宋" w:hAnsi="仿宋" w:eastAsia="仿宋" w:cs="仿宋"/>
          <w:b/>
          <w:bCs/>
          <w:color w:val="auto"/>
          <w:spacing w:val="-13"/>
          <w:kern w:val="0"/>
          <w:sz w:val="36"/>
          <w:szCs w:val="36"/>
          <w:highlight w:val="none"/>
          <w:u w:val="none" w:color="auto"/>
        </w:rPr>
        <w:t>编制日期：202</w:t>
      </w:r>
      <w:r>
        <w:rPr>
          <w:rFonts w:hint="eastAsia" w:ascii="仿宋" w:hAnsi="仿宋" w:eastAsia="仿宋" w:cs="仿宋"/>
          <w:b/>
          <w:bCs/>
          <w:color w:val="auto"/>
          <w:spacing w:val="-13"/>
          <w:kern w:val="0"/>
          <w:sz w:val="36"/>
          <w:szCs w:val="36"/>
          <w:highlight w:val="none"/>
          <w:u w:val="none" w:color="auto"/>
          <w:lang w:val="en-US" w:eastAsia="zh-CN"/>
        </w:rPr>
        <w:t>3</w:t>
      </w:r>
      <w:r>
        <w:rPr>
          <w:rFonts w:hint="eastAsia" w:ascii="仿宋" w:hAnsi="仿宋" w:eastAsia="仿宋" w:cs="仿宋"/>
          <w:b/>
          <w:bCs/>
          <w:color w:val="auto"/>
          <w:spacing w:val="-13"/>
          <w:kern w:val="0"/>
          <w:sz w:val="36"/>
          <w:szCs w:val="36"/>
          <w:highlight w:val="none"/>
          <w:u w:val="none" w:color="auto"/>
        </w:rPr>
        <w:t>年</w:t>
      </w:r>
      <w:r>
        <w:rPr>
          <w:rFonts w:hint="eastAsia" w:ascii="仿宋" w:hAnsi="仿宋" w:eastAsia="仿宋" w:cs="仿宋"/>
          <w:b/>
          <w:bCs/>
          <w:color w:val="auto"/>
          <w:spacing w:val="-13"/>
          <w:kern w:val="0"/>
          <w:sz w:val="36"/>
          <w:szCs w:val="36"/>
          <w:highlight w:val="none"/>
          <w:u w:val="none" w:color="auto"/>
          <w:lang w:val="en-US" w:eastAsia="zh-CN"/>
        </w:rPr>
        <w:t>7</w:t>
      </w:r>
      <w:r>
        <w:rPr>
          <w:rFonts w:hint="eastAsia" w:ascii="仿宋" w:hAnsi="仿宋" w:eastAsia="仿宋" w:cs="仿宋"/>
          <w:b/>
          <w:bCs/>
          <w:color w:val="auto"/>
          <w:spacing w:val="-13"/>
          <w:kern w:val="0"/>
          <w:sz w:val="36"/>
          <w:szCs w:val="36"/>
          <w:highlight w:val="none"/>
          <w:u w:val="none" w:color="auto"/>
        </w:rPr>
        <w:t>月</w:t>
      </w:r>
    </w:p>
    <w:p>
      <w:pPr>
        <w:spacing w:line="360" w:lineRule="auto"/>
        <w:jc w:val="center"/>
        <w:rPr>
          <w:rFonts w:ascii="仿宋" w:hAnsi="仿宋" w:eastAsia="仿宋" w:cs="仿宋"/>
          <w:b/>
          <w:bCs/>
          <w:color w:val="auto"/>
          <w:spacing w:val="-13"/>
          <w:kern w:val="0"/>
          <w:sz w:val="36"/>
          <w:szCs w:val="36"/>
          <w:highlight w:val="none"/>
          <w:u w:val="none" w:color="auto"/>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auto"/>
          <w:spacing w:val="-13"/>
          <w:kern w:val="0"/>
          <w:sz w:val="36"/>
          <w:szCs w:val="36"/>
          <w:highlight w:val="none"/>
          <w:u w:val="none" w:color="auto"/>
        </w:rPr>
        <w:t>中华人民共和国生态环境部制</w:t>
      </w:r>
    </w:p>
    <w:sdt>
      <w:sdtPr>
        <w:rPr>
          <w:rFonts w:ascii="宋体" w:hAnsi="宋体"/>
          <w:b/>
          <w:bCs/>
          <w:color w:val="auto"/>
          <w:kern w:val="44"/>
          <w:sz w:val="36"/>
          <w:szCs w:val="36"/>
          <w:highlight w:val="none"/>
          <w:u w:val="none" w:color="auto"/>
        </w:rPr>
        <w:id w:val="1013955026"/>
        <w:docPartObj>
          <w:docPartGallery w:val="Table of Contents"/>
          <w:docPartUnique/>
        </w:docPartObj>
      </w:sdtPr>
      <w:sdtEndPr>
        <w:rPr>
          <w:rFonts w:ascii="Times New Roman" w:hAnsi="Times New Roman"/>
          <w:b/>
          <w:bCs/>
          <w:color w:val="auto"/>
          <w:kern w:val="44"/>
          <w:sz w:val="24"/>
          <w:szCs w:val="24"/>
          <w:highlight w:val="none"/>
          <w:u w:val="none" w:color="auto"/>
        </w:rPr>
      </w:sdtEndPr>
      <w:sdtContent>
        <w:p>
          <w:pPr>
            <w:jc w:val="center"/>
            <w:rPr>
              <w:b/>
              <w:bCs/>
              <w:color w:val="auto"/>
              <w:sz w:val="36"/>
              <w:szCs w:val="36"/>
              <w:highlight w:val="none"/>
              <w:u w:val="none" w:color="auto"/>
            </w:rPr>
          </w:pPr>
          <w:bookmarkStart w:id="0" w:name="_Toc28910_WPSOffice_Type1"/>
          <w:bookmarkStart w:id="1" w:name="_Toc17570"/>
          <w:r>
            <w:rPr>
              <w:rFonts w:ascii="宋体" w:hAnsi="宋体"/>
              <w:b/>
              <w:bCs/>
              <w:color w:val="auto"/>
              <w:sz w:val="36"/>
              <w:szCs w:val="36"/>
              <w:highlight w:val="none"/>
              <w:u w:val="none" w:color="auto"/>
            </w:rPr>
            <w:t>目录</w:t>
          </w:r>
        </w:p>
        <w:p>
          <w:pPr>
            <w:pStyle w:val="35"/>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"_Toc31166_WPSOffice_Level1"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47473810"/>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一、建设项目基本情况</w:t>
              </w:r>
            </w:sdtContent>
          </w:sdt>
          <w:r>
            <w:rPr>
              <w:rFonts w:ascii="Times New Roman" w:hAnsi="Times New Roman" w:eastAsia="宋体" w:cs="Times New Roman"/>
              <w:b/>
              <w:bCs/>
              <w:color w:val="auto"/>
              <w:sz w:val="24"/>
              <w:szCs w:val="24"/>
              <w:highlight w:val="none"/>
              <w:u w:val="none" w:color="auto"/>
            </w:rPr>
            <w:tab/>
          </w:r>
          <w:bookmarkStart w:id="2" w:name="_Toc31166_WPSOffice_Level1Page"/>
          <w:r>
            <w:rPr>
              <w:rFonts w:ascii="Times New Roman" w:hAnsi="Times New Roman" w:eastAsia="宋体" w:cs="Times New Roman"/>
              <w:b/>
              <w:bCs/>
              <w:color w:val="auto"/>
              <w:sz w:val="24"/>
              <w:szCs w:val="24"/>
              <w:highlight w:val="none"/>
              <w:u w:val="none" w:color="auto"/>
            </w:rPr>
            <w:t>1</w:t>
          </w:r>
          <w:bookmarkEnd w:id="2"/>
          <w:r>
            <w:rPr>
              <w:rFonts w:ascii="Times New Roman" w:hAnsi="Times New Roman" w:eastAsia="宋体" w:cs="Times New Roman"/>
              <w:b/>
              <w:bCs/>
              <w:color w:val="auto"/>
              <w:sz w:val="24"/>
              <w:szCs w:val="24"/>
              <w:highlight w:val="none"/>
              <w:u w:val="none" w:color="auto"/>
            </w:rPr>
            <w:fldChar w:fldCharType="end"/>
          </w:r>
        </w:p>
        <w:p>
          <w:pPr>
            <w:pStyle w:val="35"/>
            <w:tabs>
              <w:tab w:val="right" w:leader="dot" w:pos="8306"/>
            </w:tabs>
            <w:spacing w:line="480" w:lineRule="auto"/>
            <w:rPr>
              <w:rFonts w:hint="default"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"_Toc28910_WPSOffice_Level1"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4856770"/>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二、建设项目工程分析</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14</w:t>
          </w:r>
        </w:p>
        <w:p>
          <w:pPr>
            <w:pStyle w:val="35"/>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eastAsia="zh-CN"/>
            </w:rPr>
          </w:pPr>
          <w:r>
            <w:rPr>
              <w:color w:val="auto"/>
              <w:highlight w:val="none"/>
              <w:u w:val="none" w:color="auto"/>
            </w:rPr>
            <w:fldChar w:fldCharType="begin"/>
          </w:r>
          <w:r>
            <w:rPr>
              <w:color w:val="auto"/>
              <w:highlight w:val="none"/>
              <w:u w:val="none" w:color="auto"/>
            </w:rPr>
            <w:instrText xml:space="preserve"> HYPERLINK \l "_Toc13776_WPSOffice_Level1"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890999638"/>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三、区域环境质量现状、环境保护目标及评价标准</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2</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3</w:t>
          </w:r>
        </w:p>
        <w:p>
          <w:pPr>
            <w:pStyle w:val="35"/>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eastAsia="zh-CN"/>
            </w:rPr>
          </w:pPr>
          <w:r>
            <w:rPr>
              <w:color w:val="auto"/>
              <w:highlight w:val="none"/>
              <w:u w:val="none" w:color="auto"/>
            </w:rPr>
            <w:fldChar w:fldCharType="begin"/>
          </w:r>
          <w:r>
            <w:rPr>
              <w:color w:val="auto"/>
              <w:highlight w:val="none"/>
              <w:u w:val="none" w:color="auto"/>
            </w:rPr>
            <w:instrText xml:space="preserve"> HYPERLINK \l "_Toc19306_WPSOffice_Level1"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988233"/>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四、主要环境影响和保护措施</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2</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9</w:t>
          </w:r>
        </w:p>
        <w:p>
          <w:pPr>
            <w:pStyle w:val="35"/>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eastAsia="zh-CN"/>
            </w:rPr>
          </w:pPr>
          <w:r>
            <w:rPr>
              <w:color w:val="auto"/>
              <w:highlight w:val="none"/>
              <w:u w:val="none" w:color="auto"/>
            </w:rPr>
            <w:fldChar w:fldCharType="begin"/>
          </w:r>
          <w:r>
            <w:rPr>
              <w:color w:val="auto"/>
              <w:highlight w:val="none"/>
              <w:u w:val="none" w:color="auto"/>
            </w:rPr>
            <w:instrText xml:space="preserve"> HYPERLINK \l "_Toc10639_WPSOffice_Level1"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949699153"/>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五、环境保护措施监督检查清单</w:t>
              </w:r>
            </w:sdtContent>
          </w:sdt>
          <w:r>
            <w:rPr>
              <w:rFonts w:ascii="Times New Roman" w:hAnsi="Times New Roman" w:eastAsia="宋体" w:cs="Times New Roman"/>
              <w:b/>
              <w:bCs/>
              <w:color w:val="auto"/>
              <w:sz w:val="24"/>
              <w:szCs w:val="24"/>
              <w:highlight w:val="none"/>
              <w:u w:val="none" w:color="auto"/>
            </w:rPr>
            <w:tab/>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49</w:t>
          </w:r>
        </w:p>
        <w:p>
          <w:pPr>
            <w:pStyle w:val="35"/>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eastAsia="zh-CN"/>
            </w:rPr>
          </w:pPr>
          <w:r>
            <w:rPr>
              <w:color w:val="auto"/>
              <w:highlight w:val="none"/>
              <w:u w:val="none" w:color="auto"/>
            </w:rPr>
            <w:fldChar w:fldCharType="begin"/>
          </w:r>
          <w:r>
            <w:rPr>
              <w:color w:val="auto"/>
              <w:highlight w:val="none"/>
              <w:u w:val="none" w:color="auto"/>
            </w:rPr>
            <w:instrText xml:space="preserve"> HYPERLINK \l "_Toc3896_WPSOffice_Level1"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181474231"/>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六、结论</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5</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1</w:t>
          </w:r>
        </w:p>
        <w:p>
          <w:pPr>
            <w:pStyle w:val="35"/>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eastAsia="zh-CN"/>
            </w:rPr>
          </w:pPr>
          <w:r>
            <w:rPr>
              <w:color w:val="auto"/>
              <w:highlight w:val="none"/>
              <w:u w:val="none" w:color="auto"/>
            </w:rPr>
            <w:fldChar w:fldCharType="begin"/>
          </w:r>
          <w:r>
            <w:rPr>
              <w:color w:val="auto"/>
              <w:highlight w:val="none"/>
              <w:u w:val="none" w:color="auto"/>
            </w:rPr>
            <w:instrText xml:space="preserve"> HYPERLINK \l "_Toc1827_WPSOffice_Level1"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222259521"/>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附表</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5</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2</w:t>
          </w:r>
        </w:p>
        <w:bookmarkEnd w:id="0"/>
        <w:p>
          <w:pPr>
            <w:pStyle w:val="4"/>
            <w:spacing w:before="0" w:after="0" w:line="480" w:lineRule="auto"/>
            <w:jc w:val="center"/>
            <w:rPr>
              <w:color w:val="auto"/>
              <w:sz w:val="24"/>
              <w:szCs w:val="24"/>
              <w:highlight w:val="none"/>
              <w:u w:val="none" w:color="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3" w:name="_Toc31166_WPSOffice_Level1"/>
          <w:r>
            <w:rPr>
              <w:color w:val="auto"/>
              <w:sz w:val="24"/>
              <w:highlight w:val="none"/>
              <w:u w:val="none" w:color="auto"/>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lang w:val="zh-CN"/>
                                  </w:rPr>
                                </w:pPr>
                                <w:r>
                                  <w:rPr>
                                    <w:rFonts w:hint="eastAsia"/>
                                    <w:b/>
                                    <w:bCs/>
                                    <w:lang w:val="zh-CN"/>
                                  </w:rPr>
                                  <w:t>附图</w:t>
                                </w:r>
                              </w:p>
                              <w:p>
                                <w:r>
                                  <w:rPr>
                                    <w:rFonts w:hint="eastAsia"/>
                                  </w:rPr>
                                  <w:t>附图1   项目地理位置图</w:t>
                                </w:r>
                              </w:p>
                              <w:p>
                                <w:r>
                                  <w:rPr>
                                    <w:rFonts w:hint="eastAsia"/>
                                  </w:rPr>
                                  <w:t>附图2   项目平面布置图</w:t>
                                </w:r>
                              </w:p>
                              <w:p>
                                <w:r>
                                  <w:rPr>
                                    <w:rFonts w:hint="eastAsia"/>
                                  </w:rPr>
                                  <w:t>附图3   项目监测点位图</w:t>
                                </w:r>
                              </w:p>
                              <w:p>
                                <w:r>
                                  <w:rPr>
                                    <w:rFonts w:hint="eastAsia"/>
                                  </w:rPr>
                                  <w:t>附图4   项目主要环境保护目标图</w:t>
                                </w:r>
                              </w:p>
                              <w:p>
                                <w:r>
                                  <w:rPr>
                                    <w:rFonts w:hint="eastAsia"/>
                                  </w:rPr>
                                  <w:t>附图5   项目厂区四周图片</w:t>
                                </w:r>
                              </w:p>
                              <w:p>
                                <w:pPr>
                                  <w:rPr>
                                    <w:bCs/>
                                  </w:rPr>
                                </w:pPr>
                                <w:r>
                                  <w:rPr>
                                    <w:rFonts w:hint="eastAsia"/>
                                    <w:bCs/>
                                  </w:rPr>
                                  <w:t>附</w:t>
                                </w:r>
                                <w:r>
                                  <w:rPr>
                                    <w:rFonts w:hint="eastAsia"/>
                                  </w:rPr>
                                  <w:t>图6   永州市经济技术开发区总体规划</w:t>
                                </w:r>
                              </w:p>
                              <w:p>
                                <w:pPr>
                                  <w:rPr>
                                    <w:bCs/>
                                  </w:rPr>
                                </w:pPr>
                                <w:r>
                                  <w:rPr>
                                    <w:rFonts w:hint="eastAsia"/>
                                    <w:bCs/>
                                  </w:rPr>
                                  <w:t>附图7   项目排水规划</w:t>
                                </w:r>
                              </w:p>
                              <w:p>
                                <w:pPr>
                                  <w:rPr>
                                    <w:b/>
                                  </w:rPr>
                                </w:pPr>
                                <w:r>
                                  <w:rPr>
                                    <w:rFonts w:hint="eastAsia"/>
                                    <w:b/>
                                  </w:rPr>
                                  <w:t>附件</w:t>
                                </w:r>
                              </w:p>
                              <w:p>
                                <w:r>
                                  <w:rPr>
                                    <w:rFonts w:hint="eastAsia"/>
                                  </w:rPr>
                                  <w:t>附件1   环评委托书</w:t>
                                </w:r>
                              </w:p>
                              <w:p>
                                <w:r>
                                  <w:rPr>
                                    <w:rFonts w:hint="eastAsia"/>
                                  </w:rPr>
                                  <w:t>附件2   营业执照</w:t>
                                </w:r>
                              </w:p>
                              <w:p>
                                <w:r>
                                  <w:rPr>
                                    <w:rFonts w:hint="eastAsia"/>
                                  </w:rPr>
                                  <w:t>附件3   厂房租赁合同</w:t>
                                </w:r>
                              </w:p>
                              <w:p>
                                <w:r>
                                  <w:rPr>
                                    <w:rFonts w:hint="eastAsia"/>
                                  </w:rPr>
                                  <w:t>附件4   永州市经济开发区环境影响报告书的环评批复</w:t>
                                </w:r>
                              </w:p>
                              <w:p>
                                <w:pPr>
                                  <w:rPr>
                                    <w:rFonts w:hint="eastAsia"/>
                                  </w:rPr>
                                </w:pPr>
                                <w:r>
                                  <w:rPr>
                                    <w:rFonts w:hint="eastAsia"/>
                                  </w:rPr>
                                  <w:t xml:space="preserve">附件5  </w:t>
                                </w:r>
                                <w:r>
                                  <w:rPr>
                                    <w:rFonts w:hint="eastAsia"/>
                                    <w:lang w:val="en-US" w:eastAsia="zh-CN"/>
                                  </w:rPr>
                                  <w:t xml:space="preserve"> </w:t>
                                </w:r>
                                <w:r>
                                  <w:rPr>
                                    <w:rFonts w:hint="eastAsia"/>
                                  </w:rPr>
                                  <w:t>湖南友络电子有限公司发改备案证明</w:t>
                                </w:r>
                              </w:p>
                              <w:p>
                                <w:pPr>
                                  <w:pStyle w:val="2"/>
                                  <w:rPr>
                                    <w:rFonts w:hint="eastAsia"/>
                                  </w:rPr>
                                </w:pPr>
                                <w:r>
                                  <w:rPr>
                                    <w:rFonts w:hint="eastAsia"/>
                                  </w:rPr>
                                  <w:t>附件6</w:t>
                                </w:r>
                                <w:r>
                                  <w:rPr>
                                    <w:rFonts w:hint="eastAsia"/>
                                    <w:lang w:val="en-US" w:eastAsia="zh-CN"/>
                                  </w:rPr>
                                  <w:t xml:space="preserve"> </w:t>
                                </w:r>
                                <w:r>
                                  <w:rPr>
                                    <w:rFonts w:hint="eastAsia"/>
                                  </w:rPr>
                                  <w:t xml:space="preserve">  永州经开区跟踪评价批文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59264;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v:fill on="f" focussize="0,0"/>
                    <v:stroke on="f" weight="0.5pt"/>
                    <v:imagedata o:title=""/>
                    <o:lock v:ext="edit" aspectratio="f"/>
                    <v:textbox>
                      <w:txbxContent>
                        <w:p>
                          <w:pPr>
                            <w:rPr>
                              <w:b/>
                              <w:bCs/>
                              <w:lang w:val="zh-CN"/>
                            </w:rPr>
                          </w:pPr>
                          <w:r>
                            <w:rPr>
                              <w:rFonts w:hint="eastAsia"/>
                              <w:b/>
                              <w:bCs/>
                              <w:lang w:val="zh-CN"/>
                            </w:rPr>
                            <w:t>附图</w:t>
                          </w:r>
                        </w:p>
                        <w:p>
                          <w:r>
                            <w:rPr>
                              <w:rFonts w:hint="eastAsia"/>
                            </w:rPr>
                            <w:t>附图1   项目地理位置图</w:t>
                          </w:r>
                        </w:p>
                        <w:p>
                          <w:r>
                            <w:rPr>
                              <w:rFonts w:hint="eastAsia"/>
                            </w:rPr>
                            <w:t>附图2   项目平面布置图</w:t>
                          </w:r>
                        </w:p>
                        <w:p>
                          <w:r>
                            <w:rPr>
                              <w:rFonts w:hint="eastAsia"/>
                            </w:rPr>
                            <w:t>附图3   项目监测点位图</w:t>
                          </w:r>
                        </w:p>
                        <w:p>
                          <w:r>
                            <w:rPr>
                              <w:rFonts w:hint="eastAsia"/>
                            </w:rPr>
                            <w:t>附图4   项目主要环境保护目标图</w:t>
                          </w:r>
                        </w:p>
                        <w:p>
                          <w:r>
                            <w:rPr>
                              <w:rFonts w:hint="eastAsia"/>
                            </w:rPr>
                            <w:t>附图5   项目厂区四周图片</w:t>
                          </w:r>
                        </w:p>
                        <w:p>
                          <w:pPr>
                            <w:rPr>
                              <w:bCs/>
                            </w:rPr>
                          </w:pPr>
                          <w:r>
                            <w:rPr>
                              <w:rFonts w:hint="eastAsia"/>
                              <w:bCs/>
                            </w:rPr>
                            <w:t>附</w:t>
                          </w:r>
                          <w:r>
                            <w:rPr>
                              <w:rFonts w:hint="eastAsia"/>
                            </w:rPr>
                            <w:t>图6   永州市经济技术开发区总体规划</w:t>
                          </w:r>
                        </w:p>
                        <w:p>
                          <w:pPr>
                            <w:rPr>
                              <w:bCs/>
                            </w:rPr>
                          </w:pPr>
                          <w:r>
                            <w:rPr>
                              <w:rFonts w:hint="eastAsia"/>
                              <w:bCs/>
                            </w:rPr>
                            <w:t>附图7   项目排水规划</w:t>
                          </w:r>
                        </w:p>
                        <w:p>
                          <w:pPr>
                            <w:rPr>
                              <w:b/>
                            </w:rPr>
                          </w:pPr>
                          <w:r>
                            <w:rPr>
                              <w:rFonts w:hint="eastAsia"/>
                              <w:b/>
                            </w:rPr>
                            <w:t>附件</w:t>
                          </w:r>
                        </w:p>
                        <w:p>
                          <w:r>
                            <w:rPr>
                              <w:rFonts w:hint="eastAsia"/>
                            </w:rPr>
                            <w:t>附件1   环评委托书</w:t>
                          </w:r>
                        </w:p>
                        <w:p>
                          <w:r>
                            <w:rPr>
                              <w:rFonts w:hint="eastAsia"/>
                            </w:rPr>
                            <w:t>附件2   营业执照</w:t>
                          </w:r>
                        </w:p>
                        <w:p>
                          <w:r>
                            <w:rPr>
                              <w:rFonts w:hint="eastAsia"/>
                            </w:rPr>
                            <w:t>附件3   厂房租赁合同</w:t>
                          </w:r>
                        </w:p>
                        <w:p>
                          <w:r>
                            <w:rPr>
                              <w:rFonts w:hint="eastAsia"/>
                            </w:rPr>
                            <w:t>附件4   永州市经济开发区环境影响报告书的环评批复</w:t>
                          </w:r>
                        </w:p>
                        <w:p>
                          <w:pPr>
                            <w:rPr>
                              <w:rFonts w:hint="eastAsia"/>
                            </w:rPr>
                          </w:pPr>
                          <w:r>
                            <w:rPr>
                              <w:rFonts w:hint="eastAsia"/>
                            </w:rPr>
                            <w:t xml:space="preserve">附件5  </w:t>
                          </w:r>
                          <w:r>
                            <w:rPr>
                              <w:rFonts w:hint="eastAsia"/>
                              <w:lang w:val="en-US" w:eastAsia="zh-CN"/>
                            </w:rPr>
                            <w:t xml:space="preserve"> </w:t>
                          </w:r>
                          <w:r>
                            <w:rPr>
                              <w:rFonts w:hint="eastAsia"/>
                            </w:rPr>
                            <w:t>湖南友络电子有限公司发改备案证明</w:t>
                          </w:r>
                        </w:p>
                        <w:p>
                          <w:pPr>
                            <w:pStyle w:val="2"/>
                            <w:rPr>
                              <w:rFonts w:hint="eastAsia"/>
                            </w:rPr>
                          </w:pPr>
                          <w:r>
                            <w:rPr>
                              <w:rFonts w:hint="eastAsia"/>
                            </w:rPr>
                            <w:t>附件6</w:t>
                          </w:r>
                          <w:r>
                            <w:rPr>
                              <w:rFonts w:hint="eastAsia"/>
                              <w:lang w:val="en-US" w:eastAsia="zh-CN"/>
                            </w:rPr>
                            <w:t xml:space="preserve"> </w:t>
                          </w:r>
                          <w:r>
                            <w:rPr>
                              <w:rFonts w:hint="eastAsia"/>
                            </w:rPr>
                            <w:t xml:space="preserve">  永州经开区跟踪评价批文</w:t>
                          </w:r>
                        </w:p>
                      </w:txbxContent>
                    </v:textbox>
                  </v:shape>
                </w:pict>
              </mc:Fallback>
            </mc:AlternateContent>
          </w:r>
        </w:p>
        <w:p>
          <w:pPr>
            <w:pStyle w:val="4"/>
            <w:spacing w:before="0" w:after="0" w:line="480" w:lineRule="auto"/>
            <w:rPr>
              <w:color w:val="auto"/>
              <w:highlight w:val="none"/>
              <w:u w:val="none" w:color="auto"/>
            </w:rPr>
          </w:pPr>
        </w:p>
      </w:sdtContent>
    </w:sdt>
    <w:p>
      <w:pPr>
        <w:pStyle w:val="4"/>
        <w:spacing w:before="0" w:after="0" w:line="360" w:lineRule="auto"/>
        <w:jc w:val="center"/>
        <w:rPr>
          <w:color w:val="auto"/>
          <w:sz w:val="32"/>
          <w:highlight w:val="none"/>
          <w:u w:val="none" w:color="auto"/>
        </w:rPr>
      </w:pPr>
      <w:r>
        <w:rPr>
          <w:rFonts w:hint="eastAsia"/>
          <w:color w:val="auto"/>
          <w:sz w:val="32"/>
          <w:highlight w:val="none"/>
          <w:u w:val="none" w:color="auto"/>
        </w:rPr>
        <w:t>一、</w:t>
      </w:r>
      <w:r>
        <w:rPr>
          <w:color w:val="auto"/>
          <w:sz w:val="32"/>
          <w:highlight w:val="none"/>
          <w:u w:val="none" w:color="auto"/>
        </w:rPr>
        <w:t>建设项目基本情况</w:t>
      </w:r>
      <w:bookmarkEnd w:id="1"/>
      <w:bookmarkEnd w:id="3"/>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137"/>
        <w:gridCol w:w="1669"/>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建设项目名称</w:t>
            </w:r>
          </w:p>
        </w:tc>
        <w:tc>
          <w:tcPr>
            <w:tcW w:w="6957" w:type="dxa"/>
            <w:gridSpan w:val="3"/>
            <w:vAlign w:val="center"/>
          </w:tcPr>
          <w:p>
            <w:pPr>
              <w:spacing w:line="360" w:lineRule="auto"/>
              <w:jc w:val="center"/>
              <w:rPr>
                <w:rFonts w:ascii="Calibri" w:hAnsi="Calibri"/>
                <w:color w:val="auto"/>
                <w:kern w:val="0"/>
                <w:sz w:val="24"/>
                <w:szCs w:val="24"/>
                <w:highlight w:val="none"/>
                <w:u w:val="none" w:color="auto"/>
              </w:rPr>
            </w:pPr>
            <w:r>
              <w:rPr>
                <w:rFonts w:hint="eastAsia"/>
                <w:color w:val="auto"/>
                <w:sz w:val="24"/>
                <w:szCs w:val="24"/>
                <w:highlight w:val="none"/>
                <w:u w:val="none" w:color="auto"/>
                <w:shd w:val="clear" w:color="auto" w:fill="FFFFFF"/>
              </w:rPr>
              <w:t>湖南友络电子有限公司电感生产项目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14" w:type="dxa"/>
            <w:vAlign w:val="center"/>
          </w:tcPr>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项目代码</w:t>
            </w:r>
          </w:p>
        </w:tc>
        <w:tc>
          <w:tcPr>
            <w:tcW w:w="6957" w:type="dxa"/>
            <w:gridSpan w:val="3"/>
            <w:vAlign w:val="center"/>
          </w:tcPr>
          <w:p>
            <w:pPr>
              <w:spacing w:line="360" w:lineRule="auto"/>
              <w:jc w:val="center"/>
              <w:rPr>
                <w:rFonts w:hint="default" w:ascii="Calibri" w:hAnsi="Calibri" w:eastAsia="宋体"/>
                <w:color w:val="auto"/>
                <w:kern w:val="0"/>
                <w:sz w:val="24"/>
                <w:szCs w:val="24"/>
                <w:highlight w:val="none"/>
                <w:u w:val="none" w:color="auto"/>
                <w:lang w:val="en-US" w:eastAsia="zh-CN"/>
              </w:rPr>
            </w:pPr>
            <w:r>
              <w:rPr>
                <w:rFonts w:hint="eastAsia"/>
                <w:color w:val="auto"/>
                <w:sz w:val="24"/>
                <w:szCs w:val="24"/>
                <w:highlight w:val="none"/>
                <w:u w:val="none" w:color="auto"/>
                <w:shd w:val="clear" w:color="auto" w:fill="FFFFFF"/>
                <w:lang w:val="en-US" w:eastAsia="zh-CN"/>
              </w:rPr>
              <w:t>2203-431171-04-05-887983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建设单位联系人</w:t>
            </w:r>
          </w:p>
        </w:tc>
        <w:tc>
          <w:tcPr>
            <w:tcW w:w="2137" w:type="dxa"/>
            <w:vAlign w:val="center"/>
          </w:tcPr>
          <w:p>
            <w:pPr>
              <w:spacing w:line="360" w:lineRule="auto"/>
              <w:jc w:val="center"/>
              <w:rPr>
                <w:rFonts w:hint="default" w:eastAsia="宋体"/>
                <w:color w:val="auto"/>
                <w:sz w:val="24"/>
                <w:szCs w:val="24"/>
                <w:highlight w:val="none"/>
                <w:u w:val="none" w:color="auto"/>
                <w:shd w:val="clear" w:color="auto" w:fill="FFFFFF"/>
                <w:lang w:val="en-US" w:eastAsia="zh-CN"/>
              </w:rPr>
            </w:pPr>
            <w:r>
              <w:rPr>
                <w:rFonts w:hint="eastAsia"/>
                <w:color w:val="auto"/>
                <w:sz w:val="24"/>
                <w:szCs w:val="24"/>
                <w:highlight w:val="none"/>
                <w:u w:val="none" w:color="auto"/>
                <w:shd w:val="clear" w:color="auto" w:fill="FFFFFF"/>
                <w:lang w:val="en-US" w:eastAsia="zh-CN"/>
              </w:rPr>
              <w:t>徐玉清</w:t>
            </w:r>
          </w:p>
        </w:tc>
        <w:tc>
          <w:tcPr>
            <w:tcW w:w="1669" w:type="dxa"/>
            <w:vAlign w:val="center"/>
          </w:tcPr>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联系方式</w:t>
            </w:r>
          </w:p>
        </w:tc>
        <w:tc>
          <w:tcPr>
            <w:tcW w:w="3151" w:type="dxa"/>
            <w:vAlign w:val="center"/>
          </w:tcPr>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15338135439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建设地点</w:t>
            </w:r>
          </w:p>
        </w:tc>
        <w:tc>
          <w:tcPr>
            <w:tcW w:w="6957" w:type="dxa"/>
            <w:gridSpan w:val="3"/>
            <w:vAlign w:val="center"/>
          </w:tcPr>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永州经济技术开发区锦络电子工业园3号栋1-3楼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地理坐标</w:t>
            </w:r>
          </w:p>
        </w:tc>
        <w:tc>
          <w:tcPr>
            <w:tcW w:w="6957" w:type="dxa"/>
            <w:gridSpan w:val="3"/>
            <w:vAlign w:val="center"/>
          </w:tcPr>
          <w:p>
            <w:pPr>
              <w:jc w:val="center"/>
              <w:rPr>
                <w:color w:val="auto"/>
                <w:sz w:val="24"/>
                <w:szCs w:val="24"/>
                <w:highlight w:val="none"/>
                <w:u w:val="none" w:color="auto"/>
                <w:shd w:val="clear" w:color="auto" w:fill="FFFFFF"/>
              </w:rPr>
            </w:pPr>
            <w:r>
              <w:rPr>
                <w:rFonts w:hint="eastAsia" w:ascii="宋体" w:hAnsi="宋体" w:cs="宋体"/>
                <w:color w:val="auto"/>
                <w:sz w:val="24"/>
                <w:highlight w:val="none"/>
                <w:u w:val="none" w:color="auto"/>
              </w:rPr>
              <w:t>（111度</w:t>
            </w:r>
            <w:r>
              <w:rPr>
                <w:rFonts w:hint="eastAsia" w:ascii="宋体" w:hAnsi="宋体" w:cs="宋体"/>
                <w:color w:val="auto"/>
                <w:sz w:val="24"/>
                <w:highlight w:val="none"/>
                <w:u w:val="none" w:color="auto"/>
                <w:lang w:val="en-US" w:eastAsia="zh-CN"/>
              </w:rPr>
              <w:t>34</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44.300</w:t>
            </w:r>
            <w:r>
              <w:rPr>
                <w:rFonts w:hint="eastAsia" w:ascii="宋体" w:hAnsi="宋体" w:cs="宋体"/>
                <w:color w:val="auto"/>
                <w:sz w:val="24"/>
                <w:highlight w:val="none"/>
                <w:u w:val="none" w:color="auto"/>
              </w:rPr>
              <w:t>秒，26度</w:t>
            </w:r>
            <w:r>
              <w:rPr>
                <w:rFonts w:hint="eastAsia" w:ascii="宋体" w:hAnsi="宋体" w:cs="宋体"/>
                <w:color w:val="auto"/>
                <w:sz w:val="24"/>
                <w:highlight w:val="none"/>
                <w:u w:val="none" w:color="auto"/>
                <w:lang w:val="en-US" w:eastAsia="zh-CN"/>
              </w:rPr>
              <w:t>23</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49.307</w:t>
            </w:r>
            <w:r>
              <w:rPr>
                <w:rFonts w:hint="eastAsia" w:ascii="宋体" w:hAnsi="宋体" w:cs="宋体"/>
                <w:color w:val="auto"/>
                <w:sz w:val="24"/>
                <w:highlight w:val="none"/>
                <w:u w:val="none" w:color="auto"/>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国民经济</w:t>
            </w:r>
          </w:p>
          <w:p>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行业类别</w:t>
            </w:r>
          </w:p>
        </w:tc>
        <w:tc>
          <w:tcPr>
            <w:tcW w:w="2137" w:type="dxa"/>
            <w:vAlign w:val="center"/>
          </w:tcPr>
          <w:p>
            <w:pPr>
              <w:spacing w:line="360" w:lineRule="auto"/>
              <w:jc w:val="both"/>
              <w:rPr>
                <w:rFonts w:ascii="Calibri" w:hAnsi="Calibri"/>
                <w:color w:val="auto"/>
                <w:kern w:val="0"/>
                <w:sz w:val="24"/>
                <w:szCs w:val="24"/>
                <w:highlight w:val="none"/>
                <w:u w:val="none" w:color="auto"/>
              </w:rPr>
            </w:pPr>
            <w:r>
              <w:rPr>
                <w:rFonts w:hint="eastAsia"/>
                <w:color w:val="auto"/>
                <w:kern w:val="0"/>
                <w:sz w:val="24"/>
                <w:szCs w:val="24"/>
                <w:highlight w:val="none"/>
                <w:u w:val="none" w:color="auto"/>
              </w:rPr>
              <w:t>C3981 电阻电容电感元件制造</w:t>
            </w:r>
          </w:p>
        </w:tc>
        <w:tc>
          <w:tcPr>
            <w:tcW w:w="1669" w:type="dxa"/>
            <w:vAlign w:val="center"/>
          </w:tcPr>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建设项目</w:t>
            </w:r>
          </w:p>
          <w:p>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行业类别</w:t>
            </w:r>
          </w:p>
        </w:tc>
        <w:tc>
          <w:tcPr>
            <w:tcW w:w="3151" w:type="dxa"/>
            <w:vAlign w:val="center"/>
          </w:tcPr>
          <w:p>
            <w:pP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三十六、计算机、通信和其他电子设备制造业39、81电子元件及电子专用材料制造398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建设性质</w:t>
            </w:r>
          </w:p>
        </w:tc>
        <w:tc>
          <w:tcPr>
            <w:tcW w:w="2137" w:type="dxa"/>
            <w:vAlign w:val="center"/>
          </w:tcPr>
          <w:p>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新建（迁建）</w:t>
            </w:r>
          </w:p>
          <w:p>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改建</w:t>
            </w:r>
          </w:p>
          <w:p>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扩建</w:t>
            </w:r>
          </w:p>
          <w:p>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技术改造</w:t>
            </w:r>
          </w:p>
        </w:tc>
        <w:tc>
          <w:tcPr>
            <w:tcW w:w="1669"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建设项目</w:t>
            </w:r>
          </w:p>
          <w:p>
            <w:pPr>
              <w:jc w:val="center"/>
              <w:rPr>
                <w:color w:val="auto"/>
                <w:kern w:val="0"/>
                <w:sz w:val="24"/>
                <w:szCs w:val="24"/>
                <w:highlight w:val="none"/>
                <w:u w:val="none" w:color="auto"/>
              </w:rPr>
            </w:pPr>
            <w:r>
              <w:rPr>
                <w:rFonts w:hint="eastAsia"/>
                <w:color w:val="auto"/>
                <w:kern w:val="0"/>
                <w:sz w:val="24"/>
                <w:szCs w:val="24"/>
                <w:highlight w:val="none"/>
                <w:u w:val="none" w:color="auto"/>
              </w:rPr>
              <w:t>申报情形</w:t>
            </w:r>
          </w:p>
        </w:tc>
        <w:tc>
          <w:tcPr>
            <w:tcW w:w="3151" w:type="dxa"/>
            <w:vAlign w:val="center"/>
          </w:tcPr>
          <w:p>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首次申报项目</w:t>
            </w:r>
          </w:p>
          <w:p>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不准预报批后再次申报项目</w:t>
            </w:r>
          </w:p>
          <w:p>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超五年重新审核项目</w:t>
            </w:r>
          </w:p>
          <w:p>
            <w:pPr>
              <w:jc w:val="left"/>
              <w:rPr>
                <w:color w:val="auto"/>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w:t>
            </w:r>
          </w:p>
          <w:p>
            <w:pPr>
              <w:jc w:val="center"/>
              <w:rPr>
                <w:color w:val="auto"/>
                <w:kern w:val="0"/>
                <w:sz w:val="24"/>
                <w:szCs w:val="24"/>
                <w:highlight w:val="none"/>
                <w:u w:val="none" w:color="auto"/>
              </w:rPr>
            </w:pPr>
            <w:r>
              <w:rPr>
                <w:rFonts w:hint="eastAsia"/>
                <w:color w:val="auto"/>
                <w:kern w:val="0"/>
                <w:sz w:val="24"/>
                <w:szCs w:val="24"/>
                <w:highlight w:val="none"/>
                <w:u w:val="none" w:color="auto"/>
              </w:rPr>
              <w:t>备案）部门（选填）</w:t>
            </w:r>
          </w:p>
        </w:tc>
        <w:tc>
          <w:tcPr>
            <w:tcW w:w="2137"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永州经济技术开发区经济发展局</w:t>
            </w:r>
          </w:p>
        </w:tc>
        <w:tc>
          <w:tcPr>
            <w:tcW w:w="1669"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项目审批（核准/备案）文号（选填）</w:t>
            </w:r>
          </w:p>
        </w:tc>
        <w:tc>
          <w:tcPr>
            <w:tcW w:w="3151"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永经开经发备字【202</w:t>
            </w:r>
            <w:r>
              <w:rPr>
                <w:rFonts w:hint="eastAsia"/>
                <w:color w:val="auto"/>
                <w:kern w:val="0"/>
                <w:sz w:val="24"/>
                <w:szCs w:val="24"/>
                <w:highlight w:val="none"/>
                <w:u w:val="none" w:color="auto"/>
                <w:lang w:val="en-US" w:eastAsia="zh-CN"/>
              </w:rPr>
              <w:t>3</w:t>
            </w:r>
            <w:r>
              <w:rPr>
                <w:rFonts w:hint="eastAsia"/>
                <w:color w:val="auto"/>
                <w:kern w:val="0"/>
                <w:sz w:val="24"/>
                <w:szCs w:val="24"/>
                <w:highlight w:val="none"/>
                <w:u w:val="none" w:color="auto"/>
              </w:rPr>
              <w:t>】</w:t>
            </w:r>
            <w:r>
              <w:rPr>
                <w:rFonts w:hint="eastAsia"/>
                <w:color w:val="auto"/>
                <w:kern w:val="0"/>
                <w:sz w:val="24"/>
                <w:szCs w:val="24"/>
                <w:highlight w:val="none"/>
                <w:u w:val="none" w:color="auto"/>
                <w:lang w:val="en-US" w:eastAsia="zh-CN"/>
              </w:rPr>
              <w:t>2</w:t>
            </w:r>
            <w:r>
              <w:rPr>
                <w:rFonts w:hint="eastAsia"/>
                <w:color w:val="auto"/>
                <w:kern w:val="0"/>
                <w:sz w:val="24"/>
                <w:szCs w:val="24"/>
                <w:highlight w:val="none"/>
                <w:u w:val="none" w:color="auto"/>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总投资（万元）</w:t>
            </w:r>
          </w:p>
        </w:tc>
        <w:tc>
          <w:tcPr>
            <w:tcW w:w="2137" w:type="dxa"/>
            <w:vAlign w:val="center"/>
          </w:tcPr>
          <w:p>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10000</w:t>
            </w:r>
          </w:p>
        </w:tc>
        <w:tc>
          <w:tcPr>
            <w:tcW w:w="1669"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环保投资</w:t>
            </w:r>
          </w:p>
          <w:p>
            <w:pPr>
              <w:jc w:val="center"/>
              <w:rPr>
                <w:color w:val="auto"/>
                <w:kern w:val="0"/>
                <w:sz w:val="24"/>
                <w:szCs w:val="24"/>
                <w:highlight w:val="none"/>
                <w:u w:val="none" w:color="auto"/>
              </w:rPr>
            </w:pPr>
            <w:r>
              <w:rPr>
                <w:rFonts w:hint="eastAsia"/>
                <w:color w:val="auto"/>
                <w:kern w:val="0"/>
                <w:sz w:val="24"/>
                <w:szCs w:val="24"/>
                <w:highlight w:val="none"/>
                <w:u w:val="none" w:color="auto"/>
              </w:rPr>
              <w:t>（万元）</w:t>
            </w:r>
          </w:p>
        </w:tc>
        <w:tc>
          <w:tcPr>
            <w:tcW w:w="3151" w:type="dxa"/>
            <w:vAlign w:val="center"/>
          </w:tcPr>
          <w:p>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环保投资占地（%）</w:t>
            </w:r>
          </w:p>
        </w:tc>
        <w:tc>
          <w:tcPr>
            <w:tcW w:w="2137" w:type="dxa"/>
            <w:vAlign w:val="center"/>
          </w:tcPr>
          <w:p>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1.11</w:t>
            </w:r>
          </w:p>
        </w:tc>
        <w:tc>
          <w:tcPr>
            <w:tcW w:w="1669"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施工工期</w:t>
            </w:r>
          </w:p>
        </w:tc>
        <w:tc>
          <w:tcPr>
            <w:tcW w:w="3151" w:type="dxa"/>
            <w:vAlign w:val="center"/>
          </w:tcPr>
          <w:p>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是否开工建设</w:t>
            </w:r>
          </w:p>
        </w:tc>
        <w:tc>
          <w:tcPr>
            <w:tcW w:w="2137" w:type="dxa"/>
            <w:vAlign w:val="center"/>
          </w:tcPr>
          <w:p>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否</w:t>
            </w:r>
          </w:p>
          <w:p>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 xml:space="preserve">是：           </w:t>
            </w:r>
          </w:p>
        </w:tc>
        <w:tc>
          <w:tcPr>
            <w:tcW w:w="1669"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用地（用海）面积（m</w:t>
            </w:r>
            <w:r>
              <w:rPr>
                <w:rFonts w:hint="eastAsia"/>
                <w:color w:val="auto"/>
                <w:kern w:val="0"/>
                <w:sz w:val="24"/>
                <w:szCs w:val="24"/>
                <w:highlight w:val="none"/>
                <w:u w:val="none" w:color="auto"/>
                <w:vertAlign w:val="superscript"/>
              </w:rPr>
              <w:t>2</w:t>
            </w:r>
            <w:r>
              <w:rPr>
                <w:rFonts w:hint="eastAsia"/>
                <w:color w:val="auto"/>
                <w:kern w:val="0"/>
                <w:sz w:val="24"/>
                <w:szCs w:val="24"/>
                <w:highlight w:val="none"/>
                <w:u w:val="none" w:color="auto"/>
              </w:rPr>
              <w:t>）</w:t>
            </w:r>
          </w:p>
        </w:tc>
        <w:tc>
          <w:tcPr>
            <w:tcW w:w="3151" w:type="dxa"/>
            <w:vAlign w:val="center"/>
          </w:tcPr>
          <w:p>
            <w:pPr>
              <w:jc w:val="center"/>
              <w:rPr>
                <w:color w:val="auto"/>
                <w:kern w:val="0"/>
                <w:sz w:val="24"/>
                <w:szCs w:val="24"/>
                <w:highlight w:val="none"/>
                <w:u w:val="none" w:color="auto"/>
              </w:rPr>
            </w:pPr>
            <w:r>
              <w:rPr>
                <w:rFonts w:hint="eastAsia"/>
                <w:color w:val="auto"/>
                <w:kern w:val="0"/>
                <w:sz w:val="24"/>
                <w:highlight w:val="none"/>
                <w:u w:val="none" w:color="auto"/>
                <w:lang w:val="en-US" w:eastAsia="zh-CN"/>
              </w:rPr>
              <w:t>2513.75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专项评价设施情况</w:t>
            </w:r>
          </w:p>
        </w:tc>
        <w:tc>
          <w:tcPr>
            <w:tcW w:w="6957" w:type="dxa"/>
            <w:gridSpan w:val="3"/>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114"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规划情况</w:t>
            </w:r>
          </w:p>
        </w:tc>
        <w:tc>
          <w:tcPr>
            <w:tcW w:w="6957" w:type="dxa"/>
            <w:gridSpan w:val="3"/>
            <w:vAlign w:val="center"/>
          </w:tcPr>
          <w:p>
            <w:pPr>
              <w:pStyle w:val="46"/>
              <w:spacing w:line="360" w:lineRule="auto"/>
              <w:jc w:val="left"/>
              <w:rPr>
                <w:color w:val="auto"/>
                <w:sz w:val="24"/>
                <w:szCs w:val="24"/>
                <w:highlight w:val="none"/>
                <w:u w:val="none" w:color="auto"/>
              </w:rPr>
            </w:pPr>
            <w:r>
              <w:rPr>
                <w:rFonts w:hint="eastAsia"/>
                <w:color w:val="auto"/>
                <w:sz w:val="24"/>
                <w:szCs w:val="24"/>
                <w:highlight w:val="none"/>
                <w:u w:val="none" w:color="auto"/>
                <w:lang w:val="en-US" w:eastAsia="zh-CN"/>
              </w:rPr>
              <w:t>1、</w:t>
            </w:r>
            <w:r>
              <w:rPr>
                <w:color w:val="auto"/>
                <w:sz w:val="24"/>
                <w:szCs w:val="24"/>
                <w:highlight w:val="none"/>
                <w:u w:val="none" w:color="auto"/>
              </w:rPr>
              <w:t>规划名称：</w:t>
            </w:r>
            <w:r>
              <w:rPr>
                <w:rFonts w:hint="eastAsia"/>
                <w:color w:val="auto"/>
                <w:sz w:val="24"/>
                <w:szCs w:val="24"/>
                <w:highlight w:val="none"/>
                <w:u w:val="none" w:color="auto"/>
              </w:rPr>
              <w:t>永州市经济技术开发区总体规划（2013-2020）</w:t>
            </w:r>
            <w:r>
              <w:rPr>
                <w:color w:val="auto"/>
                <w:sz w:val="24"/>
                <w:szCs w:val="24"/>
                <w:highlight w:val="none"/>
                <w:u w:val="none" w:color="auto"/>
              </w:rPr>
              <w:t>；</w:t>
            </w:r>
          </w:p>
          <w:p>
            <w:pPr>
              <w:pStyle w:val="46"/>
              <w:spacing w:line="360" w:lineRule="auto"/>
              <w:jc w:val="left"/>
              <w:rPr>
                <w:color w:val="auto"/>
                <w:sz w:val="24"/>
                <w:szCs w:val="24"/>
                <w:highlight w:val="none"/>
                <w:u w:val="none" w:color="auto"/>
              </w:rPr>
            </w:pPr>
            <w:r>
              <w:rPr>
                <w:rFonts w:hint="eastAsia"/>
                <w:color w:val="auto"/>
                <w:sz w:val="24"/>
                <w:szCs w:val="24"/>
                <w:highlight w:val="none"/>
                <w:u w:val="none" w:color="auto"/>
              </w:rPr>
              <w:t>审批机关：</w:t>
            </w:r>
            <w:r>
              <w:rPr>
                <w:rFonts w:hint="eastAsia"/>
                <w:color w:val="auto"/>
                <w:sz w:val="24"/>
                <w:szCs w:val="24"/>
                <w:highlight w:val="none"/>
                <w:u w:val="none" w:color="auto"/>
                <w:lang w:eastAsia="zh-CN"/>
              </w:rPr>
              <w:t>湖南省</w:t>
            </w:r>
            <w:r>
              <w:rPr>
                <w:rFonts w:hint="eastAsia"/>
                <w:color w:val="auto"/>
                <w:sz w:val="24"/>
                <w:szCs w:val="24"/>
                <w:highlight w:val="none"/>
                <w:u w:val="none" w:color="auto"/>
              </w:rPr>
              <w:t>人民政府</w:t>
            </w:r>
          </w:p>
          <w:p>
            <w:pPr>
              <w:pStyle w:val="46"/>
              <w:spacing w:line="360" w:lineRule="auto"/>
              <w:jc w:val="left"/>
              <w:rPr>
                <w:rFonts w:hint="default" w:eastAsia="宋体"/>
                <w:color w:val="auto"/>
                <w:sz w:val="24"/>
                <w:szCs w:val="24"/>
                <w:highlight w:val="none"/>
                <w:u w:val="none" w:color="auto"/>
                <w:lang w:val="en-US" w:eastAsia="zh-CN"/>
              </w:rPr>
            </w:pPr>
            <w:r>
              <w:rPr>
                <w:rFonts w:hint="eastAsia"/>
                <w:color w:val="auto"/>
                <w:sz w:val="24"/>
                <w:szCs w:val="24"/>
                <w:highlight w:val="none"/>
                <w:u w:val="none" w:color="auto"/>
              </w:rPr>
              <w:t>审批文件名称及文号：</w:t>
            </w:r>
            <w:r>
              <w:rPr>
                <w:rFonts w:hint="eastAsia"/>
                <w:color w:val="auto"/>
                <w:sz w:val="24"/>
                <w:szCs w:val="24"/>
                <w:highlight w:val="none"/>
                <w:u w:val="none" w:color="auto"/>
                <w:lang w:eastAsia="zh-CN"/>
              </w:rPr>
              <w:t>湘政函</w:t>
            </w:r>
            <w:r>
              <w:rPr>
                <w:rFonts w:hint="eastAsia"/>
                <w:color w:val="auto"/>
                <w:sz w:val="24"/>
                <w:szCs w:val="24"/>
                <w:highlight w:val="none"/>
                <w:u w:val="none" w:color="auto"/>
                <w:lang w:val="en-US" w:eastAsia="zh-CN"/>
              </w:rPr>
              <w:t>[2016] 177号</w:t>
            </w:r>
          </w:p>
          <w:p>
            <w:pPr>
              <w:pStyle w:val="46"/>
              <w:spacing w:line="360" w:lineRule="auto"/>
              <w:jc w:val="left"/>
              <w:rPr>
                <w:color w:val="auto"/>
                <w:sz w:val="24"/>
                <w:szCs w:val="24"/>
                <w:highlight w:val="none"/>
                <w:u w:val="none" w:color="auto"/>
              </w:rPr>
            </w:pPr>
            <w:r>
              <w:rPr>
                <w:rFonts w:hint="eastAsia"/>
                <w:color w:val="auto"/>
                <w:sz w:val="24"/>
                <w:szCs w:val="24"/>
                <w:highlight w:val="none"/>
                <w:u w:val="none" w:color="auto"/>
                <w:lang w:val="en-US" w:eastAsia="zh-CN"/>
              </w:rPr>
              <w:t>2、</w:t>
            </w:r>
            <w:r>
              <w:rPr>
                <w:color w:val="auto"/>
                <w:sz w:val="24"/>
                <w:szCs w:val="24"/>
                <w:highlight w:val="none"/>
                <w:u w:val="none" w:color="auto"/>
              </w:rPr>
              <w:t>规划名称：</w:t>
            </w:r>
            <w:r>
              <w:rPr>
                <w:rFonts w:hint="eastAsia"/>
                <w:color w:val="auto"/>
                <w:sz w:val="24"/>
                <w:szCs w:val="24"/>
                <w:highlight w:val="none"/>
                <w:u w:val="none" w:color="auto"/>
              </w:rPr>
              <w:t>永州经济技术开发区(北部片区、南部片区)控制性详细规划</w:t>
            </w:r>
            <w:r>
              <w:rPr>
                <w:color w:val="auto"/>
                <w:sz w:val="24"/>
                <w:szCs w:val="24"/>
                <w:highlight w:val="none"/>
                <w:u w:val="none" w:color="auto"/>
              </w:rPr>
              <w:t>；</w:t>
            </w:r>
          </w:p>
          <w:p>
            <w:pPr>
              <w:pStyle w:val="46"/>
              <w:spacing w:line="360" w:lineRule="auto"/>
              <w:jc w:val="left"/>
              <w:rPr>
                <w:color w:val="auto"/>
                <w:sz w:val="24"/>
                <w:szCs w:val="24"/>
                <w:highlight w:val="none"/>
                <w:u w:val="none" w:color="auto"/>
              </w:rPr>
            </w:pPr>
            <w:r>
              <w:rPr>
                <w:rFonts w:hint="eastAsia"/>
                <w:color w:val="auto"/>
                <w:sz w:val="24"/>
                <w:szCs w:val="24"/>
                <w:highlight w:val="none"/>
                <w:u w:val="none" w:color="auto"/>
              </w:rPr>
              <w:t>审批机关：</w:t>
            </w:r>
            <w:r>
              <w:rPr>
                <w:rFonts w:hint="eastAsia"/>
                <w:color w:val="auto"/>
                <w:sz w:val="24"/>
                <w:szCs w:val="24"/>
                <w:highlight w:val="none"/>
                <w:u w:val="none" w:color="auto"/>
                <w:lang w:eastAsia="zh-CN"/>
              </w:rPr>
              <w:t>永州市</w:t>
            </w:r>
            <w:r>
              <w:rPr>
                <w:rFonts w:hint="eastAsia"/>
                <w:color w:val="auto"/>
                <w:sz w:val="24"/>
                <w:szCs w:val="24"/>
                <w:highlight w:val="none"/>
                <w:u w:val="none" w:color="auto"/>
              </w:rPr>
              <w:t>人民政府</w:t>
            </w:r>
          </w:p>
          <w:p>
            <w:pPr>
              <w:pStyle w:val="46"/>
              <w:spacing w:line="360" w:lineRule="auto"/>
              <w:jc w:val="left"/>
              <w:rPr>
                <w:color w:val="auto"/>
                <w:sz w:val="24"/>
                <w:szCs w:val="24"/>
                <w:highlight w:val="none"/>
                <w:u w:val="none" w:color="auto"/>
              </w:rPr>
            </w:pPr>
            <w:r>
              <w:rPr>
                <w:rFonts w:hint="eastAsia"/>
                <w:color w:val="auto"/>
                <w:sz w:val="24"/>
                <w:szCs w:val="24"/>
                <w:highlight w:val="none"/>
                <w:u w:val="none" w:color="auto"/>
              </w:rPr>
              <w:t>审批文件名称及文号：</w:t>
            </w:r>
            <w:r>
              <w:rPr>
                <w:rFonts w:hint="eastAsia"/>
                <w:color w:val="auto"/>
                <w:sz w:val="24"/>
                <w:szCs w:val="24"/>
                <w:highlight w:val="none"/>
                <w:u w:val="none" w:color="auto"/>
                <w:lang w:eastAsia="zh-CN"/>
              </w:rPr>
              <w:t>永政函</w:t>
            </w:r>
            <w:r>
              <w:rPr>
                <w:rFonts w:hint="eastAsia"/>
                <w:color w:val="auto"/>
                <w:sz w:val="24"/>
                <w:szCs w:val="24"/>
                <w:highlight w:val="none"/>
                <w:u w:val="none" w:color="auto"/>
                <w:lang w:val="en-US" w:eastAsia="zh-CN"/>
              </w:rPr>
              <w:t>[2014] 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规划环境影响评价情况</w:t>
            </w:r>
          </w:p>
        </w:tc>
        <w:tc>
          <w:tcPr>
            <w:tcW w:w="6957" w:type="dxa"/>
            <w:gridSpan w:val="3"/>
            <w:vAlign w:val="center"/>
          </w:tcPr>
          <w:p>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规划环境影响评价文件名称：《永州市经济开发区环境影响报告书》</w:t>
            </w:r>
          </w:p>
          <w:p>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审查机关：湖南省环境保护厅</w:t>
            </w:r>
          </w:p>
          <w:p>
            <w:pPr>
              <w:spacing w:line="360" w:lineRule="auto"/>
              <w:ind w:firstLine="480" w:firstLineChars="200"/>
              <w:rPr>
                <w:rFonts w:hint="eastAsia"/>
                <w:color w:val="auto"/>
                <w:kern w:val="0"/>
                <w:sz w:val="24"/>
                <w:szCs w:val="24"/>
                <w:highlight w:val="none"/>
                <w:u w:val="none" w:color="auto"/>
              </w:rPr>
            </w:pPr>
            <w:r>
              <w:rPr>
                <w:rFonts w:hint="eastAsia"/>
                <w:color w:val="auto"/>
                <w:kern w:val="0"/>
                <w:sz w:val="24"/>
                <w:szCs w:val="24"/>
                <w:highlight w:val="none"/>
                <w:u w:val="none" w:color="auto"/>
              </w:rPr>
              <w:t>审查文件名称及文号：《湖南省环境保护厅关于永州市经济开发区环境影响报告书的批复》（湘环评[2013] 306号）</w:t>
            </w:r>
          </w:p>
          <w:p>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规划环境影响评价文件名称：《永州经济</w:t>
            </w:r>
            <w:r>
              <w:rPr>
                <w:rFonts w:hint="eastAsia"/>
                <w:color w:val="auto"/>
                <w:kern w:val="0"/>
                <w:sz w:val="24"/>
                <w:szCs w:val="24"/>
                <w:highlight w:val="none"/>
                <w:u w:val="none" w:color="auto"/>
                <w:lang w:val="en-US" w:eastAsia="zh-CN"/>
              </w:rPr>
              <w:t>技术</w:t>
            </w:r>
            <w:r>
              <w:rPr>
                <w:rFonts w:hint="eastAsia"/>
                <w:color w:val="auto"/>
                <w:kern w:val="0"/>
                <w:sz w:val="24"/>
                <w:szCs w:val="24"/>
                <w:highlight w:val="none"/>
                <w:u w:val="none" w:color="auto"/>
              </w:rPr>
              <w:t>开发区环境影响</w:t>
            </w:r>
            <w:r>
              <w:rPr>
                <w:rFonts w:hint="eastAsia"/>
                <w:color w:val="auto"/>
                <w:kern w:val="0"/>
                <w:sz w:val="24"/>
                <w:szCs w:val="24"/>
                <w:highlight w:val="none"/>
                <w:u w:val="none" w:color="auto"/>
                <w:lang w:val="en-US" w:eastAsia="zh-CN"/>
              </w:rPr>
              <w:t>跟踪评价</w:t>
            </w:r>
            <w:r>
              <w:rPr>
                <w:rFonts w:hint="eastAsia"/>
                <w:color w:val="auto"/>
                <w:kern w:val="0"/>
                <w:sz w:val="24"/>
                <w:szCs w:val="24"/>
                <w:highlight w:val="none"/>
                <w:u w:val="none" w:color="auto"/>
              </w:rPr>
              <w:t>报告书》</w:t>
            </w:r>
          </w:p>
          <w:p>
            <w:pPr>
              <w:spacing w:line="360" w:lineRule="auto"/>
              <w:ind w:firstLine="480" w:firstLineChars="200"/>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rPr>
              <w:t>审查机关：湖南省</w:t>
            </w:r>
            <w:r>
              <w:rPr>
                <w:rFonts w:hint="eastAsia"/>
                <w:color w:val="auto"/>
                <w:kern w:val="0"/>
                <w:sz w:val="24"/>
                <w:szCs w:val="24"/>
                <w:highlight w:val="none"/>
                <w:u w:val="none" w:color="auto"/>
                <w:lang w:val="en-US" w:eastAsia="zh-CN"/>
              </w:rPr>
              <w:t>生态环境厅</w:t>
            </w:r>
          </w:p>
          <w:p>
            <w:pPr>
              <w:spacing w:line="360" w:lineRule="auto"/>
              <w:ind w:firstLine="480" w:firstLineChars="200"/>
              <w:rPr>
                <w:rFonts w:hint="eastAsia"/>
                <w:color w:val="auto"/>
                <w:kern w:val="0"/>
                <w:sz w:val="24"/>
                <w:szCs w:val="24"/>
                <w:highlight w:val="none"/>
                <w:u w:val="none" w:color="auto"/>
              </w:rPr>
            </w:pPr>
            <w:r>
              <w:rPr>
                <w:rFonts w:hint="eastAsia"/>
                <w:color w:val="auto"/>
                <w:kern w:val="0"/>
                <w:sz w:val="24"/>
                <w:szCs w:val="24"/>
                <w:highlight w:val="none"/>
                <w:u w:val="none" w:color="auto"/>
              </w:rPr>
              <w:t>审查文件名称及文号：《关于永州经济技术开发区环境影响</w:t>
            </w:r>
          </w:p>
          <w:p>
            <w:pPr>
              <w:spacing w:line="360" w:lineRule="auto"/>
              <w:rPr>
                <w:rFonts w:hint="eastAsia"/>
                <w:color w:val="auto"/>
                <w:kern w:val="0"/>
                <w:sz w:val="24"/>
                <w:szCs w:val="24"/>
                <w:highlight w:val="none"/>
                <w:u w:val="none" w:color="auto"/>
              </w:rPr>
            </w:pPr>
            <w:r>
              <w:rPr>
                <w:rFonts w:hint="eastAsia"/>
                <w:color w:val="auto"/>
                <w:kern w:val="0"/>
                <w:sz w:val="24"/>
                <w:szCs w:val="24"/>
                <w:highlight w:val="none"/>
                <w:u w:val="none" w:color="auto"/>
              </w:rPr>
              <w:t>跟踪评价工作意见的函》（湘环评函[2022] 15号）</w:t>
            </w:r>
          </w:p>
          <w:p>
            <w:pPr>
              <w:spacing w:line="360" w:lineRule="auto"/>
              <w:ind w:firstLine="480" w:firstLineChars="200"/>
              <w:rPr>
                <w:rFonts w:hint="eastAsia"/>
                <w:color w:val="auto"/>
                <w:kern w:val="0"/>
                <w:sz w:val="24"/>
                <w:szCs w:val="24"/>
                <w:highlight w:val="none"/>
                <w:u w:val="none" w:color="auto"/>
              </w:rPr>
            </w:pPr>
          </w:p>
          <w:p>
            <w:pPr>
              <w:spacing w:line="360" w:lineRule="auto"/>
              <w:ind w:firstLine="480" w:firstLineChars="200"/>
              <w:rPr>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规划及规划环境</w:t>
            </w:r>
          </w:p>
          <w:p>
            <w:pPr>
              <w:jc w:val="center"/>
              <w:rPr>
                <w:color w:val="auto"/>
                <w:kern w:val="0"/>
                <w:sz w:val="24"/>
                <w:szCs w:val="24"/>
                <w:highlight w:val="none"/>
                <w:u w:val="none" w:color="auto"/>
              </w:rPr>
            </w:pPr>
            <w:r>
              <w:rPr>
                <w:rFonts w:hint="eastAsia"/>
                <w:color w:val="auto"/>
                <w:kern w:val="0"/>
                <w:sz w:val="24"/>
                <w:szCs w:val="24"/>
                <w:highlight w:val="none"/>
                <w:u w:val="none" w:color="auto"/>
              </w:rPr>
              <w:t>影响评价符合性分析</w:t>
            </w:r>
          </w:p>
        </w:tc>
        <w:tc>
          <w:tcPr>
            <w:tcW w:w="6957" w:type="dxa"/>
            <w:gridSpan w:val="3"/>
            <w:vAlign w:val="center"/>
          </w:tcPr>
          <w:p>
            <w:pPr>
              <w:autoSpaceDE w:val="0"/>
              <w:autoSpaceDN w:val="0"/>
              <w:adjustRightInd w:val="0"/>
              <w:snapToGrid w:val="0"/>
              <w:spacing w:line="360" w:lineRule="auto"/>
              <w:ind w:firstLine="480" w:firstLineChars="200"/>
              <w:rPr>
                <w:color w:val="auto"/>
                <w:kern w:val="0"/>
                <w:sz w:val="24"/>
                <w:szCs w:val="24"/>
                <w:highlight w:val="none"/>
                <w:u w:val="none" w:color="auto"/>
              </w:rPr>
            </w:pPr>
            <w:r>
              <w:rPr>
                <w:color w:val="auto"/>
                <w:kern w:val="0"/>
                <w:sz w:val="24"/>
                <w:szCs w:val="24"/>
                <w:highlight w:val="none"/>
                <w:u w:val="none" w:color="auto"/>
              </w:rPr>
              <w:t>（1）与园区规划相符性分析</w:t>
            </w:r>
          </w:p>
          <w:p>
            <w:pPr>
              <w:spacing w:line="360" w:lineRule="auto"/>
              <w:ind w:firstLine="480" w:firstLineChars="200"/>
              <w:rPr>
                <w:color w:val="auto"/>
                <w:kern w:val="0"/>
                <w:sz w:val="24"/>
                <w:szCs w:val="24"/>
                <w:highlight w:val="none"/>
                <w:u w:val="none" w:color="auto"/>
              </w:rPr>
            </w:pPr>
            <w:r>
              <w:rPr>
                <w:color w:val="auto"/>
                <w:kern w:val="0"/>
                <w:sz w:val="24"/>
                <w:szCs w:val="24"/>
                <w:highlight w:val="none"/>
                <w:u w:val="none" w:color="auto"/>
              </w:rPr>
              <w:t>本项目拟建于</w:t>
            </w:r>
            <w:r>
              <w:rPr>
                <w:rFonts w:hint="eastAsia"/>
                <w:color w:val="auto"/>
                <w:sz w:val="24"/>
                <w:szCs w:val="24"/>
                <w:highlight w:val="none"/>
                <w:u w:val="none" w:color="auto"/>
                <w:shd w:val="clear" w:color="auto" w:fill="FFFFFF"/>
              </w:rPr>
              <w:t>永州经济技术开发区锦络电子工业园3号栋1-3楼</w:t>
            </w:r>
            <w:r>
              <w:rPr>
                <w:color w:val="auto"/>
                <w:kern w:val="0"/>
                <w:sz w:val="24"/>
                <w:szCs w:val="24"/>
                <w:highlight w:val="none"/>
                <w:u w:val="none" w:color="auto"/>
              </w:rPr>
              <w:t>，所处地块为工业用地，符合</w:t>
            </w:r>
            <w:r>
              <w:rPr>
                <w:rFonts w:hint="eastAsia"/>
                <w:color w:val="auto"/>
                <w:kern w:val="0"/>
                <w:sz w:val="24"/>
                <w:szCs w:val="24"/>
                <w:highlight w:val="none"/>
                <w:u w:val="none" w:color="auto"/>
              </w:rPr>
              <w:t>《湖南省环境保护厅关于永州市经济开发区环境影响报告书的批复》（湘环评[2013] 306号）</w:t>
            </w:r>
            <w:r>
              <w:rPr>
                <w:rFonts w:hint="eastAsia"/>
                <w:color w:val="auto"/>
                <w:kern w:val="0"/>
                <w:sz w:val="24"/>
                <w:szCs w:val="24"/>
                <w:highlight w:val="none"/>
                <w:u w:val="none" w:color="auto"/>
                <w:lang w:eastAsia="zh-CN"/>
              </w:rPr>
              <w:t>、</w:t>
            </w:r>
            <w:r>
              <w:rPr>
                <w:rFonts w:hint="eastAsia"/>
                <w:color w:val="auto"/>
                <w:kern w:val="0"/>
                <w:sz w:val="24"/>
                <w:szCs w:val="24"/>
                <w:highlight w:val="none"/>
                <w:u w:val="none" w:color="auto"/>
              </w:rPr>
              <w:t>《关于永州经济技术开发区环境影响跟踪评价工作意见的函》（湘环评函[2022] 15号）</w:t>
            </w:r>
            <w:r>
              <w:rPr>
                <w:color w:val="auto"/>
                <w:kern w:val="0"/>
                <w:sz w:val="24"/>
                <w:szCs w:val="24"/>
                <w:highlight w:val="none"/>
                <w:u w:val="none" w:color="auto"/>
              </w:rPr>
              <w:t>规划要求和准入要求。</w:t>
            </w:r>
          </w:p>
          <w:p>
            <w:pPr>
              <w:jc w:val="center"/>
              <w:rPr>
                <w:rFonts w:ascii="宋体" w:hAnsi="宋体" w:cs="宋体"/>
                <w:b/>
                <w:bCs/>
                <w:color w:val="auto"/>
                <w:kern w:val="0"/>
                <w:highlight w:val="none"/>
                <w:u w:val="none" w:color="auto"/>
              </w:rPr>
            </w:pPr>
            <w:r>
              <w:rPr>
                <w:rFonts w:hint="eastAsia" w:ascii="宋体" w:hAnsi="宋体" w:cs="宋体"/>
                <w:b/>
                <w:bCs/>
                <w:color w:val="auto"/>
                <w:kern w:val="0"/>
                <w:highlight w:val="none"/>
                <w:u w:val="none" w:color="auto"/>
              </w:rPr>
              <w:t>表1-1  本项目与《湖南省环境保护厅关于永州市经济开发区环境影响报告书的批复》相符性分析</w:t>
            </w:r>
          </w:p>
          <w:tbl>
            <w:tblPr>
              <w:tblStyle w:val="27"/>
              <w:tblW w:w="67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55"/>
              <w:gridCol w:w="1350"/>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序号</w:t>
                  </w:r>
                </w:p>
              </w:tc>
              <w:tc>
                <w:tcPr>
                  <w:tcW w:w="3855"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园区入驻企业准入要求</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本项目情况</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1</w:t>
                  </w:r>
                </w:p>
              </w:tc>
              <w:tc>
                <w:tcPr>
                  <w:tcW w:w="3855" w:type="dxa"/>
                  <w:tcBorders>
                    <w:tl2br w:val="nil"/>
                    <w:tr2bl w:val="nil"/>
                  </w:tcBorders>
                  <w:vAlign w:val="center"/>
                </w:tcPr>
                <w:p>
                  <w:pPr>
                    <w:jc w:val="both"/>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一、永州市经济技术开发区位于永州市冷水滩区境内，涉及仁湾镇、珊瑚乡、高溪市镇3个乡镇，总用地面积为18.93平方公里。经开区以冷水滩城区相隔分为南北两个片区,其中北部片区范围东至四丘田路，南至陶源路、湘跃路，西至潇湘大道、珍珠路,北至湘桂三路、谷源路，用地面积7.60平方公里（其中桃源路以北 3.9平方公里部分由冷水滩工业园中调出)，该区主要发展民族制药、特色食品、电子信息、商贸物流等产业，自西向东分别布设食品药品产业园区和电子信息产业园区;南部片区范围东至湘江西路，南至新田街、城南大道，西至洛湛铁路，北至南甸路，用地面积11.33平方公里，该片区主要发展先进装备制造、电子信息、商贸物流等产业，其西北部以长丰公司为主设置先进装备产业园区，东南部设置为电子信息产业园区。经开区城乡建设用地总面积1836.64公顷，其中工业用地面积825.15公顷，占城乡建设用地面积的44.93%(其中一类工业用地528.80公顷，二类工业用地296.35公顷);物流仓储用地27.39公顷，占1.49%;二类居住用地325.01公顷，占17.70%;公共管理与公共服务设施用地40.60公顷，占2.21%;商业服务业设施用地122.27公顷，占6.66%;道路与交通设施用地269.33公顷，占14.66%;公用设施用地11.75公顷，占0.64%;绿地与广场215.14公顷，占11.71%。</w:t>
                  </w:r>
                </w:p>
              </w:tc>
              <w:tc>
                <w:tcPr>
                  <w:tcW w:w="1350" w:type="dxa"/>
                  <w:tcBorders>
                    <w:tl2br w:val="nil"/>
                    <w:tr2bl w:val="nil"/>
                  </w:tcBorders>
                  <w:vAlign w:val="center"/>
                </w:tcPr>
                <w:p>
                  <w:pPr>
                    <w:jc w:val="center"/>
                    <w:rPr>
                      <w:rFonts w:hint="default"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本项目位于</w:t>
                  </w:r>
                  <w:r>
                    <w:rPr>
                      <w:rFonts w:hint="eastAsia" w:ascii="宋体" w:hAnsi="宋体" w:cs="宋体"/>
                      <w:color w:val="auto"/>
                      <w:kern w:val="0"/>
                      <w:sz w:val="21"/>
                      <w:szCs w:val="21"/>
                      <w:highlight w:val="none"/>
                      <w:u w:val="none" w:color="auto"/>
                      <w:shd w:val="clear" w:color="auto" w:fill="auto"/>
                    </w:rPr>
                    <w:t>永州经济技术开发区锦络电子工业园3号栋1-3楼</w:t>
                  </w:r>
                  <w:r>
                    <w:rPr>
                      <w:rFonts w:hint="eastAsia" w:ascii="宋体" w:hAnsi="宋体" w:cs="宋体"/>
                      <w:color w:val="auto"/>
                      <w:kern w:val="0"/>
                      <w:sz w:val="21"/>
                      <w:szCs w:val="21"/>
                      <w:highlight w:val="none"/>
                      <w:u w:val="none" w:color="auto"/>
                      <w:shd w:val="clear"/>
                      <w:lang w:eastAsia="zh-CN"/>
                    </w:rPr>
                    <w:t>，</w:t>
                  </w:r>
                  <w:r>
                    <w:rPr>
                      <w:rFonts w:hint="eastAsia" w:ascii="宋体" w:hAnsi="宋体" w:cs="宋体"/>
                      <w:color w:val="auto"/>
                      <w:kern w:val="0"/>
                      <w:sz w:val="21"/>
                      <w:szCs w:val="21"/>
                      <w:highlight w:val="none"/>
                      <w:u w:val="none" w:color="auto"/>
                      <w:shd w:val="clear"/>
                      <w:lang w:val="en-US" w:eastAsia="zh-CN"/>
                    </w:rPr>
                    <w:t>属于南部片区，项目生产的产品属于电子信息产业，与园区准入行业相符</w:t>
                  </w:r>
                </w:p>
              </w:tc>
              <w:tc>
                <w:tcPr>
                  <w:tcW w:w="867" w:type="dxa"/>
                  <w:tcBorders>
                    <w:tl2br w:val="nil"/>
                    <w:tr2bl w:val="nil"/>
                  </w:tcBorders>
                  <w:vAlign w:val="center"/>
                </w:tcPr>
                <w:p>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1</w:t>
                  </w:r>
                </w:p>
              </w:tc>
              <w:tc>
                <w:tcPr>
                  <w:tcW w:w="3855" w:type="dxa"/>
                  <w:tcBorders>
                    <w:tl2br w:val="nil"/>
                    <w:tr2bl w:val="nil"/>
                  </w:tcBorders>
                  <w:vAlign w:val="center"/>
                </w:tcPr>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进一步优化规划布局，经开区内各功能区相对集中布置，严格按照功能区划进行有序开发建设，处理好经开区内部各功能组团及经开区与周边农业、生活、配套服务等各功能组团间的关系，充分利用自然地形和绿化隔离带使各功能区隔离,按报告书要求做好部分用地性质调整，将长丰大道与珍珠南路交汇处布置的居住用地同南甸路与仁湾路交汇处南部的二类工业用地功能互换，对交通干线两侧35米范围内不得设置对噪声敏感的建筑物，确保功能区划明确、产业相对集中、生态环境优良，减轻功能区相互干扰影响。</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本项目所在地属于工业用地</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2</w:t>
                  </w:r>
                </w:p>
              </w:tc>
              <w:tc>
                <w:tcPr>
                  <w:tcW w:w="3855" w:type="dxa"/>
                  <w:tcBorders>
                    <w:tl2br w:val="nil"/>
                    <w:tr2bl w:val="nil"/>
                  </w:tcBorders>
                  <w:vAlign w:val="center"/>
                </w:tcPr>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严格执行经开区入园企业准入制度,入园项目选址必须符合湖南省湘江保护条例、经开区总体发展规划、用地规划、环保规划及主导产业定位要求，不得引进国家明令淘汰和禁止发展的能耗物耗高、环境污染严重、不符合产业政策的建设项目，禁止新引进三类工业以及线路板、电镀等排水涉重金属或持久性污染物的企业，严格限制水型污染企业进入；在拟发展的食品加工业中限制饮料、发酵型生产方式等耗水型生产项目，生物制药产业中限制原料药、化学合成药生产等水型污染复杂企业;北部片区禁止引进气型污染企业。管委会和地方环保行政主管部门必须按照报告书提出的经开区准入条件一览表做好项目的招商把关，在入园项目前期和建设期，必须严格执行建设项目环境影响评价和“三同时”管理制度,推行清洁生产工艺，确保排污浓度、总量满足达标排放和总量控制要求;对已建项目进行清理，按报告书要求对经开区内未办理环评手续的投产企业区分具体情况限期补办手续或调整清退，对不符合产业定位和产业布局要求且存在一定环境风险的湘粤欧利陶瓷项目、不符合产业定位和产业布局要求、现已停产的零陵新型耐火材料厂等限期退出经开区，对其他不符合产业定位或产业布局要求的企业在现址不得扩大规模,适时调整至适宜的规划区;加强对经开区内企业环境监管，</w:t>
                  </w:r>
                </w:p>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确保建成项目污防设施正常运营、达标排放，符合地方环保管理要求。</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w:t>
                  </w:r>
                  <w:r>
                    <w:rPr>
                      <w:rFonts w:hint="eastAsia" w:ascii="宋体" w:hAnsi="宋体" w:cs="宋体"/>
                      <w:color w:val="auto"/>
                      <w:kern w:val="0"/>
                      <w:highlight w:val="none"/>
                      <w:u w:val="none" w:color="auto"/>
                      <w:lang w:val="en-US" w:eastAsia="zh-CN"/>
                    </w:rPr>
                    <w:t>为生产电感的企业，</w:t>
                  </w:r>
                  <w:r>
                    <w:rPr>
                      <w:rFonts w:hint="eastAsia" w:ascii="宋体" w:hAnsi="宋体" w:cs="宋体"/>
                      <w:color w:val="auto"/>
                      <w:kern w:val="0"/>
                      <w:highlight w:val="none"/>
                      <w:u w:val="none" w:color="auto"/>
                    </w:rPr>
                    <w:t>不属于国家明令淘汰和禁止发展的高能耗、高物耗、污染重、不符合产业政策的建设项目</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3</w:t>
                  </w:r>
                </w:p>
              </w:tc>
              <w:tc>
                <w:tcPr>
                  <w:tcW w:w="3855" w:type="dxa"/>
                  <w:tcBorders>
                    <w:tl2br w:val="nil"/>
                    <w:tr2bl w:val="nil"/>
                  </w:tcBorders>
                  <w:vAlign w:val="center"/>
                </w:tcPr>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落实经开区水污染控制措施。经开区排水实施雨污分流，按报告书要求取消经开区北部规划拟建的马坪污水处理厂, 改为提升泵站,经开区内所有排水全部纳入永州下河线污水处理厂处理。对南片区涉及饮用水源陆域保护区的地块严格项目招商、建设、运营期的环境保护要求，禁止以任何形式向饮用水源保护区排放污水。加快下河线污水处理厂扩建、经开区配套管网、提升泵站等基础设施建设，截污、排污管网必须与道路建设、区域开发、项目引进同步进行，保障经开区废水实现集中深度处理。</w:t>
                  </w:r>
                </w:p>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在经开区各片区与集中污水处理厂接管运营完成前，禁止引进水型污染企业，已建成企业废水应经自行处理满足《污水综合排放标准》( GB8978-1996) 一级标准后方可外排。</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本项目产生的生活污水经化粪池处理</w:t>
                  </w:r>
                  <w:r>
                    <w:rPr>
                      <w:rFonts w:hint="eastAsia" w:ascii="宋体" w:hAnsi="宋体" w:cs="宋体"/>
                      <w:color w:val="auto"/>
                      <w:kern w:val="0"/>
                      <w:sz w:val="21"/>
                      <w:szCs w:val="21"/>
                      <w:highlight w:val="none"/>
                      <w:u w:val="none" w:color="auto"/>
                    </w:rPr>
                    <w:t>达到</w:t>
                  </w:r>
                  <w:r>
                    <w:rPr>
                      <w:rFonts w:hint="eastAsia"/>
                      <w:color w:val="auto"/>
                      <w:sz w:val="21"/>
                      <w:szCs w:val="21"/>
                      <w:highlight w:val="none"/>
                      <w:u w:val="none" w:color="auto"/>
                    </w:rPr>
                    <w:t>《电子工业水污染物排放标准》（GB 39731-2020）表1水污染物排放限值要求</w:t>
                  </w:r>
                  <w:r>
                    <w:rPr>
                      <w:color w:val="auto"/>
                      <w:sz w:val="21"/>
                      <w:szCs w:val="21"/>
                      <w:highlight w:val="none"/>
                      <w:u w:val="none" w:color="auto"/>
                    </w:rPr>
                    <w:t>后排入市政污水</w:t>
                  </w:r>
                  <w:r>
                    <w:rPr>
                      <w:color w:val="auto"/>
                      <w:highlight w:val="none"/>
                      <w:u w:val="none" w:color="auto"/>
                    </w:rPr>
                    <w:t>管网进入</w:t>
                  </w:r>
                  <w:r>
                    <w:rPr>
                      <w:rFonts w:hint="eastAsia" w:ascii="宋体" w:hAnsi="宋体" w:cs="宋体"/>
                      <w:color w:val="auto"/>
                      <w:kern w:val="0"/>
                      <w:highlight w:val="none"/>
                      <w:u w:val="none" w:color="auto"/>
                    </w:rPr>
                    <w:t>永州下河线污水处理厂处理</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4</w:t>
                  </w:r>
                </w:p>
              </w:tc>
              <w:tc>
                <w:tcPr>
                  <w:tcW w:w="3855" w:type="dxa"/>
                  <w:tcBorders>
                    <w:tl2br w:val="nil"/>
                    <w:tr2bl w:val="nil"/>
                  </w:tcBorders>
                  <w:vAlign w:val="center"/>
                </w:tcPr>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按报告书要求做好经开区大气污染控制措施。园区内不得燃用中、高硫煤，不得新建4t/h以下燃煤锅炉;管委会应</w:t>
                  </w:r>
                </w:p>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积极推广清洁能源，加快园区天然气管网引进和建设，逐步减少燃煤用量，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w:t>
                  </w:r>
                  <w:r>
                    <w:rPr>
                      <w:rFonts w:hint="eastAsia" w:ascii="宋体" w:hAnsi="宋体" w:cs="宋体"/>
                      <w:color w:val="auto"/>
                      <w:kern w:val="0"/>
                      <w:highlight w:val="none"/>
                      <w:u w:val="none" w:color="auto"/>
                      <w:lang w:val="en-US" w:eastAsia="zh-CN"/>
                    </w:rPr>
                    <w:t>为电感生产项目</w:t>
                  </w:r>
                  <w:r>
                    <w:rPr>
                      <w:rFonts w:hint="eastAsia" w:ascii="宋体" w:hAnsi="宋体" w:cs="宋体"/>
                      <w:color w:val="auto"/>
                      <w:kern w:val="0"/>
                      <w:highlight w:val="none"/>
                      <w:u w:val="none" w:color="auto"/>
                    </w:rPr>
                    <w:t>，不涉及锅炉的使用。项目产生的有机废气经处理后可达标排放</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5</w:t>
                  </w:r>
                </w:p>
              </w:tc>
              <w:tc>
                <w:tcPr>
                  <w:tcW w:w="3855" w:type="dxa"/>
                  <w:tcBorders>
                    <w:tl2br w:val="nil"/>
                    <w:tr2bl w:val="nil"/>
                  </w:tcBorders>
                  <w:vAlign w:val="center"/>
                </w:tcPr>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本项目固体废物和生活垃圾的分类收集</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bl>
          <w:p>
            <w:pPr>
              <w:spacing w:line="360" w:lineRule="auto"/>
              <w:ind w:firstLine="422" w:firstLineChars="200"/>
              <w:jc w:val="center"/>
              <w:rPr>
                <w:rFonts w:hint="eastAsia"/>
                <w:b/>
                <w:bCs/>
                <w:color w:val="auto"/>
                <w:kern w:val="0"/>
                <w:sz w:val="21"/>
                <w:szCs w:val="21"/>
                <w:highlight w:val="none"/>
                <w:u w:val="none" w:color="auto"/>
              </w:rPr>
            </w:pPr>
            <w:r>
              <w:rPr>
                <w:rFonts w:hint="eastAsia"/>
                <w:b/>
                <w:bCs/>
                <w:color w:val="auto"/>
                <w:kern w:val="0"/>
                <w:sz w:val="21"/>
                <w:szCs w:val="21"/>
                <w:highlight w:val="none"/>
                <w:u w:val="none" w:color="auto"/>
              </w:rPr>
              <w:t>表1-</w:t>
            </w:r>
            <w:r>
              <w:rPr>
                <w:rFonts w:hint="eastAsia"/>
                <w:b/>
                <w:bCs/>
                <w:color w:val="auto"/>
                <w:kern w:val="0"/>
                <w:sz w:val="21"/>
                <w:szCs w:val="21"/>
                <w:highlight w:val="none"/>
                <w:u w:val="none" w:color="auto"/>
                <w:lang w:val="en-US" w:eastAsia="zh-CN"/>
              </w:rPr>
              <w:t>2</w:t>
            </w:r>
            <w:r>
              <w:rPr>
                <w:rFonts w:hint="eastAsia"/>
                <w:b/>
                <w:bCs/>
                <w:color w:val="auto"/>
                <w:kern w:val="0"/>
                <w:sz w:val="21"/>
                <w:szCs w:val="21"/>
                <w:highlight w:val="none"/>
                <w:u w:val="none" w:color="auto"/>
              </w:rPr>
              <w:t xml:space="preserve">  本项目与《</w:t>
            </w:r>
            <w:r>
              <w:rPr>
                <w:rFonts w:hint="eastAsia"/>
                <w:b/>
                <w:bCs/>
                <w:color w:val="auto"/>
                <w:kern w:val="0"/>
                <w:sz w:val="21"/>
                <w:szCs w:val="21"/>
                <w:highlight w:val="none"/>
                <w:u w:val="none" w:color="auto"/>
                <w:lang w:val="en-US" w:eastAsia="zh-CN"/>
              </w:rPr>
              <w:t>湖南省生态环境厅</w:t>
            </w:r>
            <w:r>
              <w:rPr>
                <w:rFonts w:hint="eastAsia"/>
                <w:b/>
                <w:bCs/>
                <w:color w:val="auto"/>
                <w:kern w:val="0"/>
                <w:sz w:val="21"/>
                <w:szCs w:val="21"/>
                <w:highlight w:val="none"/>
                <w:u w:val="none" w:color="auto"/>
              </w:rPr>
              <w:t>关于永州经济技术开发区环境影响跟踪评价工作意见的函》相符性分析</w:t>
            </w:r>
          </w:p>
          <w:tbl>
            <w:tblPr>
              <w:tblStyle w:val="27"/>
              <w:tblW w:w="67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55"/>
              <w:gridCol w:w="1350"/>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序号</w:t>
                  </w:r>
                </w:p>
              </w:tc>
              <w:tc>
                <w:tcPr>
                  <w:tcW w:w="3855"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园区入驻企业准入要求</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本项目情况</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1</w:t>
                  </w:r>
                </w:p>
              </w:tc>
              <w:tc>
                <w:tcPr>
                  <w:tcW w:w="3855" w:type="dxa"/>
                  <w:tcBorders>
                    <w:tl2br w:val="nil"/>
                    <w:tr2bl w:val="nil"/>
                  </w:tcBorders>
                  <w:vAlign w:val="center"/>
                </w:tcPr>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一)严格产业环境准入。永州经开区后续发展与规划调整须符合经开区“三线一单”环境准入要求、湖南省湘江保护条例及《报告书》提出的环境准入条件和负面清单要求。经开区管委会须切实履行承诺，对于核准范围内用地性质不符合规划的企业及核准范围外、纳入原规划环评范围内的企业，在国土空间规划统筹划定三条控制线等工作前，区域范围内的不得新增排污量、现有企业不得扩大生产规模。对于超出原规划环评范围的1.476km'用地在未按要求完善相关环保手续前，不得再引入工业企业。入驻企业应按照《关于加强重点行业建设项目区域削减措施监督管理的通知》等有关文件要求，依据区域环境质量改善目标，制定配套区域污染物削减方案，采取有效的污染物区域削减措施，腾出足够的环境容量。入驻企业应优先考虑使用清洁能源、能耗低、技术工艺先进、清洁生产和环境管理水平高、污染防治技术成熟的企业，须严格执行环境保护“三同时”制度，确保外排污染物满足排污许可证管控要求。</w:t>
                  </w:r>
                </w:p>
              </w:tc>
              <w:tc>
                <w:tcPr>
                  <w:tcW w:w="1350"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lang w:val="en-US" w:eastAsia="zh-CN"/>
                    </w:rPr>
                    <w:t>本项目</w:t>
                  </w:r>
                  <w:r>
                    <w:rPr>
                      <w:rFonts w:hint="eastAsia" w:ascii="宋体" w:hAnsi="宋体" w:cs="宋体"/>
                      <w:color w:val="auto"/>
                      <w:kern w:val="0"/>
                      <w:highlight w:val="none"/>
                      <w:u w:val="none" w:color="auto"/>
                    </w:rPr>
                    <w:t>符合经开区“三线一单”环境准入要求、湖南省湘江保护条例及《报告书》提出的环境准入条件和负面清单要求</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lang w:val="en-US" w:eastAsia="zh-CN"/>
                    </w:rPr>
                    <w:t>本项目属于规划环评范围内，为</w:t>
                  </w:r>
                  <w:r>
                    <w:rPr>
                      <w:rFonts w:hint="eastAsia" w:ascii="宋体" w:hAnsi="宋体" w:cs="宋体"/>
                      <w:color w:val="auto"/>
                      <w:kern w:val="0"/>
                      <w:highlight w:val="none"/>
                      <w:u w:val="none" w:color="auto"/>
                    </w:rPr>
                    <w:t>使用清洁能源、能耗低、技术工艺先进、清洁生产和环境管理水平高、污染防治技术成熟的企业</w:t>
                  </w:r>
                </w:p>
              </w:tc>
              <w:tc>
                <w:tcPr>
                  <w:tcW w:w="867" w:type="dxa"/>
                  <w:tcBorders>
                    <w:tl2br w:val="nil"/>
                    <w:tr2bl w:val="nil"/>
                  </w:tcBorders>
                  <w:vAlign w:val="center"/>
                </w:tcPr>
                <w:p>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2</w:t>
                  </w:r>
                </w:p>
              </w:tc>
              <w:tc>
                <w:tcPr>
                  <w:tcW w:w="3855" w:type="dxa"/>
                  <w:tcBorders>
                    <w:tl2br w:val="nil"/>
                    <w:tr2bl w:val="nil"/>
                  </w:tcBorders>
                  <w:vAlign w:val="center"/>
                </w:tcPr>
                <w:p>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w:t>
                  </w:r>
                  <w:r>
                    <w:rPr>
                      <w:rFonts w:hint="eastAsia" w:ascii="宋体" w:hAnsi="宋体" w:cs="宋体"/>
                      <w:color w:val="auto"/>
                      <w:kern w:val="0"/>
                      <w:highlight w:val="none"/>
                      <w:u w:val="none" w:color="auto"/>
                      <w:lang w:val="en-US" w:eastAsia="zh-CN"/>
                    </w:rPr>
                    <w:t>二</w:t>
                  </w:r>
                  <w:r>
                    <w:rPr>
                      <w:rFonts w:hint="eastAsia" w:ascii="宋体" w:hAnsi="宋体" w:cs="宋体"/>
                      <w:color w:val="auto"/>
                      <w:kern w:val="0"/>
                      <w:highlight w:val="none"/>
                      <w:u w:val="none" w:color="auto"/>
                    </w:rPr>
                    <w:t>）进一步落实经开区污染管控措施。抓紧完善区域雨污分流和污污分流系统、污水收集管网及下河线污水处理厂提质扩容建设，确保经开区废水应收尽收</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rPr>
                    <w:t>基于区域受纳水体较为敏感且下河线污水处理厂处理规模已超负荷，且拟投产的永州经开区污水处理厂尾水须经下河线污水处理厂处理后再由现有排污口外排，排口设于冷水滩湘江省级湿地公园的恢复区，应加快完善污水处理厂入河排污口设置论证手续，确保依法依规排污。在取得污水处理厂入河排污口设置论证手续或有妥善解决方案前，区域应禁止引进水型污染企业。优化能源结构，推广清洁能源。加强经开区大气污染防治，加大对区内重点排污企业废气治理措施运行情况及废气无组织排放的监管，确保大气污染物达标排放，对治理设施不能有效运行的企业，采取停产措施。做好工业固体废物和生活垃圾的分类收集、转运、综合利用和无害化处理，建立完善的固废管理体系。对危险废物应严格按照国家有关规定综合利用或妥善处置，对危险废物产生企业和经营单位，应强化日常环境监管。经开区范围内仍有企业存在环保手续履行不到位的情形，须严格落实排污许可制度和污染物排放总量控制，重点抓好企业环保手续的完善工作。</w:t>
                  </w:r>
                </w:p>
              </w:tc>
              <w:tc>
                <w:tcPr>
                  <w:tcW w:w="1350" w:type="dxa"/>
                  <w:tcBorders>
                    <w:tl2br w:val="nil"/>
                    <w:tr2bl w:val="nil"/>
                  </w:tcBorders>
                  <w:vAlign w:val="center"/>
                </w:tcPr>
                <w:p>
                  <w:pPr>
                    <w:pStyle w:val="38"/>
                    <w:jc w:val="both"/>
                    <w:rPr>
                      <w:rFonts w:hint="eastAsia" w:ascii="宋体" w:hAnsi="宋体" w:cs="宋体"/>
                      <w:color w:val="auto"/>
                      <w:kern w:val="0"/>
                      <w:highlight w:val="none"/>
                      <w:u w:val="none" w:color="auto"/>
                    </w:rPr>
                  </w:pPr>
                  <w:r>
                    <w:rPr>
                      <w:rFonts w:hint="eastAsia" w:ascii="宋体" w:hAnsi="宋体" w:cs="宋体"/>
                      <w:color w:val="auto"/>
                      <w:sz w:val="21"/>
                      <w:szCs w:val="21"/>
                      <w:highlight w:val="none"/>
                      <w:u w:val="none" w:color="auto"/>
                    </w:rPr>
                    <w:t>本项目</w:t>
                  </w:r>
                  <w:r>
                    <w:rPr>
                      <w:rFonts w:hint="eastAsia" w:ascii="宋体" w:hAnsi="宋体" w:cs="宋体"/>
                      <w:color w:val="auto"/>
                      <w:sz w:val="21"/>
                      <w:szCs w:val="21"/>
                      <w:highlight w:val="none"/>
                      <w:u w:val="none" w:color="auto"/>
                      <w:lang w:val="en-US" w:eastAsia="zh-CN"/>
                    </w:rPr>
                    <w:t>不属于水污染企业，项目无生产废水产生，生活污水水质较为简单，经化粪池处理后能够达标排放；项目</w:t>
                  </w:r>
                  <w:r>
                    <w:rPr>
                      <w:rFonts w:hint="eastAsia" w:ascii="宋体" w:hAnsi="宋体" w:cs="宋体"/>
                      <w:color w:val="auto"/>
                      <w:sz w:val="21"/>
                      <w:szCs w:val="21"/>
                      <w:highlight w:val="none"/>
                      <w:u w:val="none" w:color="auto"/>
                    </w:rPr>
                    <w:t>配置了废气收集与处理净化装置，厂区废气做到达标排放。本项目固体废物和生活垃圾的分类收集，危险固废应按国家有关规定综合利用或妥善处置。</w:t>
                  </w:r>
                </w:p>
              </w:tc>
              <w:tc>
                <w:tcPr>
                  <w:tcW w:w="867" w:type="dxa"/>
                  <w:tcBorders>
                    <w:tl2br w:val="nil"/>
                    <w:tr2bl w:val="nil"/>
                  </w:tcBorders>
                  <w:vAlign w:val="center"/>
                </w:tcPr>
                <w:p>
                  <w:pPr>
                    <w:jc w:val="center"/>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bl>
          <w:p>
            <w:pPr>
              <w:jc w:val="both"/>
              <w:rPr>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其他符合性分析</w:t>
            </w:r>
          </w:p>
        </w:tc>
        <w:tc>
          <w:tcPr>
            <w:tcW w:w="6957" w:type="dxa"/>
            <w:gridSpan w:val="3"/>
            <w:vAlign w:val="center"/>
          </w:tcPr>
          <w:p>
            <w:pPr>
              <w:spacing w:line="360" w:lineRule="auto"/>
              <w:rPr>
                <w:b/>
                <w:bCs/>
                <w:color w:val="auto"/>
                <w:sz w:val="24"/>
                <w:highlight w:val="none"/>
                <w:u w:val="none" w:color="auto"/>
              </w:rPr>
            </w:pPr>
            <w:r>
              <w:rPr>
                <w:rFonts w:hint="eastAsia"/>
                <w:b/>
                <w:bCs/>
                <w:color w:val="auto"/>
                <w:sz w:val="24"/>
                <w:highlight w:val="none"/>
                <w:u w:val="none" w:color="auto"/>
              </w:rPr>
              <w:t>1、国家产业政策符合性分析</w:t>
            </w:r>
          </w:p>
          <w:p>
            <w:pPr>
              <w:spacing w:line="360" w:lineRule="auto"/>
              <w:ind w:firstLine="480" w:firstLineChars="200"/>
              <w:rPr>
                <w:b/>
                <w:bCs/>
                <w:color w:val="auto"/>
                <w:sz w:val="24"/>
                <w:szCs w:val="24"/>
                <w:highlight w:val="none"/>
                <w:u w:val="none" w:color="auto"/>
              </w:rPr>
            </w:pPr>
            <w:r>
              <w:rPr>
                <w:rFonts w:hint="eastAsia"/>
                <w:color w:val="auto"/>
                <w:sz w:val="24"/>
                <w:szCs w:val="24"/>
                <w:highlight w:val="none"/>
                <w:u w:val="none" w:color="auto"/>
                <w:shd w:val="clear" w:color="auto" w:fill="FFFFFF"/>
              </w:rPr>
              <w:t>湖南友络电子有限公司</w:t>
            </w:r>
            <w:r>
              <w:rPr>
                <w:rFonts w:hint="eastAsia"/>
                <w:color w:val="auto"/>
                <w:sz w:val="24"/>
                <w:szCs w:val="24"/>
                <w:highlight w:val="none"/>
                <w:u w:val="none" w:color="auto"/>
              </w:rPr>
              <w:t>建设的“</w:t>
            </w:r>
            <w:r>
              <w:rPr>
                <w:rFonts w:hint="eastAsia"/>
                <w:color w:val="auto"/>
                <w:sz w:val="24"/>
                <w:szCs w:val="24"/>
                <w:highlight w:val="none"/>
                <w:u w:val="none" w:color="auto"/>
                <w:shd w:val="clear" w:color="auto" w:fill="FFFFFF"/>
              </w:rPr>
              <w:t>湖南友络电子有限公司电感生产项目</w:t>
            </w:r>
            <w:r>
              <w:rPr>
                <w:rFonts w:hint="eastAsia"/>
                <w:color w:val="auto"/>
                <w:sz w:val="24"/>
                <w:szCs w:val="24"/>
                <w:highlight w:val="none"/>
                <w:u w:val="none" w:color="auto"/>
              </w:rPr>
              <w:t>”，根据《产业结构调整指导目录（2019年本）》</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2021年修订</w:t>
            </w:r>
            <w:r>
              <w:rPr>
                <w:rFonts w:hint="eastAsia"/>
                <w:color w:val="auto"/>
                <w:sz w:val="24"/>
                <w:szCs w:val="24"/>
                <w:highlight w:val="none"/>
                <w:u w:val="none" w:color="auto"/>
                <w:lang w:eastAsia="zh-CN"/>
              </w:rPr>
              <w:t>）</w:t>
            </w:r>
            <w:r>
              <w:rPr>
                <w:rFonts w:hint="eastAsia"/>
                <w:color w:val="auto"/>
                <w:sz w:val="24"/>
                <w:szCs w:val="24"/>
                <w:highlight w:val="none"/>
                <w:u w:val="none" w:color="auto"/>
              </w:rPr>
              <w:t>，</w:t>
            </w:r>
            <w:r>
              <w:rPr>
                <w:color w:val="auto"/>
                <w:sz w:val="24"/>
                <w:szCs w:val="24"/>
                <w:highlight w:val="none"/>
                <w:u w:val="none" w:color="auto"/>
              </w:rPr>
              <w:t>本项目不属于</w:t>
            </w:r>
            <w:r>
              <w:rPr>
                <w:rFonts w:hint="eastAsia"/>
                <w:color w:val="auto"/>
                <w:sz w:val="24"/>
                <w:szCs w:val="24"/>
                <w:highlight w:val="none"/>
                <w:u w:val="none" w:color="auto"/>
              </w:rPr>
              <w:t>其中的</w:t>
            </w:r>
            <w:r>
              <w:rPr>
                <w:color w:val="auto"/>
                <w:sz w:val="24"/>
                <w:szCs w:val="24"/>
                <w:highlight w:val="none"/>
                <w:u w:val="none" w:color="auto"/>
              </w:rPr>
              <w:t>限制类和淘汰类，符合国家和地方的有关产业政策的规定。</w:t>
            </w:r>
          </w:p>
          <w:p>
            <w:pPr>
              <w:spacing w:line="360" w:lineRule="auto"/>
              <w:rPr>
                <w:rStyle w:val="29"/>
                <w:color w:val="auto"/>
                <w:kern w:val="0"/>
                <w:szCs w:val="20"/>
                <w:highlight w:val="none"/>
                <w:u w:val="none" w:color="auto"/>
              </w:rPr>
            </w:pPr>
            <w:r>
              <w:rPr>
                <w:rFonts w:hint="eastAsia"/>
                <w:b/>
                <w:bCs/>
                <w:color w:val="auto"/>
                <w:sz w:val="24"/>
                <w:highlight w:val="none"/>
                <w:u w:val="none" w:color="auto"/>
              </w:rPr>
              <w:t>2、选址布局合理性</w:t>
            </w:r>
          </w:p>
          <w:p>
            <w:pPr>
              <w:spacing w:line="360" w:lineRule="auto"/>
              <w:ind w:firstLine="480" w:firstLineChars="200"/>
              <w:rPr>
                <w:color w:val="auto"/>
                <w:sz w:val="24"/>
                <w:highlight w:val="none"/>
                <w:u w:val="none" w:color="auto"/>
              </w:rPr>
            </w:pPr>
            <w:r>
              <w:rPr>
                <w:rFonts w:hint="eastAsia" w:hAnsi="宋体"/>
                <w:color w:val="auto"/>
                <w:sz w:val="24"/>
                <w:highlight w:val="none"/>
                <w:u w:val="none" w:color="auto"/>
              </w:rPr>
              <w:t>本项目</w:t>
            </w:r>
            <w:r>
              <w:rPr>
                <w:color w:val="auto"/>
                <w:spacing w:val="-2"/>
                <w:sz w:val="24"/>
                <w:highlight w:val="none"/>
                <w:u w:val="none" w:color="auto"/>
              </w:rPr>
              <w:t>位于</w:t>
            </w:r>
            <w:r>
              <w:rPr>
                <w:rFonts w:hint="eastAsia"/>
                <w:color w:val="auto"/>
                <w:sz w:val="24"/>
                <w:szCs w:val="24"/>
                <w:highlight w:val="none"/>
                <w:u w:val="none" w:color="auto"/>
                <w:shd w:val="clear" w:color="auto" w:fill="FFFFFF"/>
              </w:rPr>
              <w:t>永州经济技术开发区锦络电子工业园3号栋1-3楼</w:t>
            </w:r>
            <w:r>
              <w:rPr>
                <w:color w:val="auto"/>
                <w:spacing w:val="-2"/>
                <w:sz w:val="24"/>
                <w:highlight w:val="none"/>
                <w:u w:val="none" w:color="auto"/>
              </w:rPr>
              <w:t>，</w:t>
            </w:r>
            <w:r>
              <w:rPr>
                <w:color w:val="auto"/>
                <w:sz w:val="24"/>
                <w:highlight w:val="none"/>
                <w:u w:val="none" w:color="auto"/>
              </w:rPr>
              <w:t>项目</w:t>
            </w:r>
            <w:r>
              <w:rPr>
                <w:rFonts w:hint="eastAsia"/>
                <w:color w:val="auto"/>
                <w:sz w:val="24"/>
                <w:highlight w:val="none"/>
                <w:u w:val="none" w:color="auto"/>
                <w:lang w:val="en-US" w:eastAsia="zh-CN"/>
              </w:rPr>
              <w:t>东</w:t>
            </w:r>
            <w:r>
              <w:rPr>
                <w:rFonts w:hint="eastAsia"/>
                <w:color w:val="auto"/>
                <w:sz w:val="24"/>
                <w:highlight w:val="none"/>
                <w:u w:val="none" w:color="auto"/>
              </w:rPr>
              <w:t>面为</w:t>
            </w:r>
            <w:r>
              <w:rPr>
                <w:rFonts w:hint="eastAsia"/>
                <w:color w:val="auto"/>
                <w:sz w:val="24"/>
                <w:highlight w:val="none"/>
                <w:u w:val="none" w:color="auto"/>
                <w:lang w:val="en-US" w:eastAsia="zh-CN"/>
              </w:rPr>
              <w:t>袁家</w:t>
            </w:r>
            <w:r>
              <w:rPr>
                <w:rFonts w:hint="eastAsia"/>
                <w:color w:val="auto"/>
                <w:sz w:val="24"/>
                <w:highlight w:val="none"/>
                <w:u w:val="none" w:color="auto"/>
              </w:rPr>
              <w:t>路</w:t>
            </w:r>
            <w:r>
              <w:rPr>
                <w:color w:val="auto"/>
                <w:spacing w:val="-2"/>
                <w:sz w:val="24"/>
                <w:highlight w:val="none"/>
                <w:u w:val="none" w:color="auto"/>
              </w:rPr>
              <w:t>，交通便利，地理位置优越。电力供应和水源供应均能保障，项目</w:t>
            </w:r>
            <w:r>
              <w:rPr>
                <w:rFonts w:hint="eastAsia"/>
                <w:color w:val="auto"/>
                <w:spacing w:val="-2"/>
                <w:sz w:val="24"/>
                <w:highlight w:val="none"/>
                <w:u w:val="none" w:color="auto"/>
              </w:rPr>
              <w:t>所在地</w:t>
            </w:r>
            <w:r>
              <w:rPr>
                <w:color w:val="auto"/>
                <w:spacing w:val="-2"/>
                <w:sz w:val="24"/>
                <w:highlight w:val="none"/>
                <w:u w:val="none" w:color="auto"/>
              </w:rPr>
              <w:t>属于</w:t>
            </w:r>
            <w:r>
              <w:rPr>
                <w:rFonts w:hint="eastAsia"/>
                <w:color w:val="auto"/>
                <w:spacing w:val="-2"/>
                <w:sz w:val="24"/>
                <w:highlight w:val="none"/>
                <w:u w:val="none" w:color="auto"/>
              </w:rPr>
              <w:t>工业用地</w:t>
            </w:r>
            <w:r>
              <w:rPr>
                <w:color w:val="auto"/>
                <w:spacing w:val="-2"/>
                <w:sz w:val="24"/>
                <w:highlight w:val="none"/>
                <w:u w:val="none" w:color="auto"/>
              </w:rPr>
              <w:t>，用地不占用基本农田</w:t>
            </w:r>
            <w:r>
              <w:rPr>
                <w:rFonts w:hint="eastAsia"/>
                <w:color w:val="auto"/>
                <w:spacing w:val="-2"/>
                <w:sz w:val="24"/>
                <w:highlight w:val="none"/>
                <w:u w:val="none" w:color="auto"/>
              </w:rPr>
              <w:t>、</w:t>
            </w:r>
            <w:r>
              <w:rPr>
                <w:color w:val="auto"/>
                <w:spacing w:val="-2"/>
                <w:sz w:val="24"/>
                <w:highlight w:val="none"/>
                <w:u w:val="none" w:color="auto"/>
              </w:rPr>
              <w:t>周边风景旅游区以及水源保护区，项目所在地不属于城市和城镇居民等人口集中地</w:t>
            </w:r>
            <w:r>
              <w:rPr>
                <w:rFonts w:hint="eastAsia"/>
                <w:color w:val="auto"/>
                <w:spacing w:val="-2"/>
                <w:sz w:val="24"/>
                <w:highlight w:val="none"/>
                <w:u w:val="none" w:color="auto"/>
              </w:rPr>
              <w:t>。</w:t>
            </w:r>
          </w:p>
          <w:p>
            <w:pPr>
              <w:spacing w:line="360" w:lineRule="auto"/>
              <w:ind w:firstLine="472" w:firstLineChars="200"/>
              <w:rPr>
                <w:color w:val="auto"/>
                <w:spacing w:val="-2"/>
                <w:sz w:val="24"/>
                <w:highlight w:val="none"/>
                <w:u w:val="none" w:color="auto"/>
              </w:rPr>
            </w:pPr>
            <w:r>
              <w:rPr>
                <w:color w:val="auto"/>
                <w:spacing w:val="-2"/>
                <w:sz w:val="24"/>
                <w:highlight w:val="none"/>
                <w:u w:val="none" w:color="auto"/>
              </w:rPr>
              <w:t>根据现场勘察，项目周边居民较少，无学校、医院等敏感目标，在实施了本报告提出的环保措施的前提下，废水实现循环使用、外排废气实现达标排放、生产固废实现综合利用、厂界噪声可达标</w:t>
            </w:r>
            <w:r>
              <w:rPr>
                <w:rFonts w:hint="eastAsia"/>
                <w:color w:val="auto"/>
                <w:spacing w:val="-2"/>
                <w:sz w:val="24"/>
                <w:highlight w:val="none"/>
                <w:u w:val="none" w:color="auto"/>
              </w:rPr>
              <w:t>。且</w:t>
            </w:r>
            <w:r>
              <w:rPr>
                <w:rFonts w:hint="eastAsia"/>
                <w:bCs/>
                <w:color w:val="auto"/>
                <w:sz w:val="24"/>
                <w:highlight w:val="none"/>
                <w:u w:val="none" w:color="auto"/>
              </w:rPr>
              <w:t>本项目</w:t>
            </w:r>
            <w:r>
              <w:rPr>
                <w:rFonts w:hint="eastAsia"/>
                <w:bCs/>
                <w:color w:val="auto"/>
                <w:sz w:val="24"/>
                <w:highlight w:val="none"/>
                <w:u w:val="none" w:color="auto"/>
                <w:lang w:val="en-US" w:eastAsia="zh-CN"/>
              </w:rPr>
              <w:t>北</w:t>
            </w:r>
            <w:r>
              <w:rPr>
                <w:rFonts w:hint="eastAsia"/>
                <w:bCs/>
                <w:color w:val="auto"/>
                <w:sz w:val="24"/>
                <w:highlight w:val="none"/>
                <w:u w:val="none" w:color="auto"/>
              </w:rPr>
              <w:t>面为</w:t>
            </w:r>
            <w:r>
              <w:rPr>
                <w:rFonts w:hint="eastAsia"/>
                <w:bCs/>
                <w:color w:val="auto"/>
                <w:sz w:val="24"/>
                <w:highlight w:val="none"/>
                <w:u w:val="none" w:color="auto"/>
                <w:lang w:val="en-US" w:eastAsia="zh-CN"/>
              </w:rPr>
              <w:t>锦阳电子</w:t>
            </w:r>
            <w:r>
              <w:rPr>
                <w:rFonts w:hint="eastAsia"/>
                <w:bCs/>
                <w:color w:val="auto"/>
                <w:sz w:val="24"/>
                <w:highlight w:val="none"/>
                <w:u w:val="none" w:color="auto"/>
              </w:rPr>
              <w:t>，南面为</w:t>
            </w:r>
            <w:r>
              <w:rPr>
                <w:rFonts w:hint="eastAsia"/>
                <w:bCs/>
                <w:color w:val="auto"/>
                <w:sz w:val="24"/>
                <w:highlight w:val="none"/>
                <w:u w:val="none" w:color="auto"/>
                <w:lang w:val="en-US" w:eastAsia="zh-CN"/>
              </w:rPr>
              <w:t>空地，西面为</w:t>
            </w:r>
            <w:r>
              <w:rPr>
                <w:rFonts w:hint="eastAsia"/>
                <w:color w:val="auto"/>
                <w:sz w:val="24"/>
                <w:highlight w:val="none"/>
                <w:u w:val="none" w:color="auto"/>
                <w:lang w:val="en-US" w:eastAsia="zh-CN"/>
              </w:rPr>
              <w:t>正在建设的标准厂房</w:t>
            </w:r>
            <w:r>
              <w:rPr>
                <w:rFonts w:hint="eastAsia"/>
                <w:color w:val="auto"/>
                <w:sz w:val="24"/>
                <w:highlight w:val="none"/>
                <w:u w:val="none" w:color="auto"/>
              </w:rPr>
              <w:t>，</w:t>
            </w:r>
            <w:r>
              <w:rPr>
                <w:rFonts w:hint="eastAsia"/>
                <w:color w:val="auto"/>
                <w:sz w:val="24"/>
                <w:highlight w:val="none"/>
                <w:u w:val="none" w:color="auto"/>
                <w:lang w:val="en-US" w:eastAsia="zh-CN"/>
              </w:rPr>
              <w:t>东</w:t>
            </w:r>
            <w:r>
              <w:rPr>
                <w:rFonts w:hint="eastAsia"/>
                <w:bCs/>
                <w:color w:val="auto"/>
                <w:sz w:val="24"/>
                <w:highlight w:val="none"/>
                <w:u w:val="none" w:color="auto"/>
              </w:rPr>
              <w:t>面</w:t>
            </w:r>
            <w:r>
              <w:rPr>
                <w:rFonts w:hint="eastAsia"/>
                <w:bCs/>
                <w:color w:val="auto"/>
                <w:sz w:val="24"/>
                <w:highlight w:val="none"/>
                <w:u w:val="none" w:color="auto"/>
                <w:lang w:val="en-US" w:eastAsia="zh-CN"/>
              </w:rPr>
              <w:t>为</w:t>
            </w:r>
            <w:r>
              <w:rPr>
                <w:rFonts w:hint="eastAsia"/>
                <w:color w:val="auto"/>
                <w:sz w:val="24"/>
                <w:highlight w:val="none"/>
                <w:u w:val="none" w:color="auto"/>
                <w:lang w:val="en-US" w:eastAsia="zh-CN"/>
              </w:rPr>
              <w:t>正在建设的标准厂房</w:t>
            </w:r>
            <w:r>
              <w:rPr>
                <w:rFonts w:hint="eastAsia" w:ascii="宋体" w:hAnsi="宋体" w:cs="宋体"/>
                <w:color w:val="auto"/>
                <w:sz w:val="24"/>
                <w:highlight w:val="none"/>
                <w:u w:val="none" w:color="auto"/>
                <w:lang w:eastAsia="zh-CN"/>
              </w:rPr>
              <w:t>，厂区周边无生产医药、食品的企业</w:t>
            </w:r>
            <w:r>
              <w:rPr>
                <w:rFonts w:hint="eastAsia"/>
                <w:bCs/>
                <w:color w:val="auto"/>
                <w:sz w:val="24"/>
                <w:highlight w:val="none"/>
                <w:u w:val="none" w:color="auto"/>
              </w:rPr>
              <w:t>，因此项目与周边企业相容。</w:t>
            </w:r>
          </w:p>
          <w:p>
            <w:pPr>
              <w:spacing w:line="360" w:lineRule="auto"/>
              <w:ind w:firstLine="472" w:firstLineChars="200"/>
              <w:rPr>
                <w:color w:val="auto"/>
                <w:sz w:val="24"/>
                <w:highlight w:val="none"/>
                <w:u w:val="none" w:color="auto"/>
              </w:rPr>
            </w:pPr>
            <w:r>
              <w:rPr>
                <w:color w:val="auto"/>
                <w:spacing w:val="-2"/>
                <w:sz w:val="24"/>
                <w:highlight w:val="none"/>
                <w:u w:val="none" w:color="auto"/>
              </w:rPr>
              <w:t>总体而言，项目选址具有良好的区位优势，在落实本评价提出的环境保护措施的前提下，本项目建设对周边环境影响较小。因此，从环保的角度考虑，项目的选址是合理的。</w:t>
            </w:r>
          </w:p>
          <w:p>
            <w:pPr>
              <w:spacing w:line="360" w:lineRule="auto"/>
              <w:rPr>
                <w:b/>
                <w:bCs/>
                <w:color w:val="auto"/>
                <w:sz w:val="24"/>
                <w:highlight w:val="none"/>
                <w:u w:val="none" w:color="auto"/>
              </w:rPr>
            </w:pPr>
            <w:r>
              <w:rPr>
                <w:rFonts w:hint="eastAsia"/>
                <w:b/>
                <w:bCs/>
                <w:color w:val="auto"/>
                <w:sz w:val="24"/>
                <w:highlight w:val="none"/>
                <w:u w:val="none" w:color="auto"/>
              </w:rPr>
              <w:t>3、三线一单</w:t>
            </w:r>
          </w:p>
          <w:p>
            <w:pPr>
              <w:pStyle w:val="36"/>
              <w:spacing w:line="360" w:lineRule="auto"/>
              <w:ind w:firstLine="480" w:firstLineChars="200"/>
              <w:rPr>
                <w:color w:val="auto"/>
                <w:highlight w:val="none"/>
                <w:u w:val="none" w:color="auto"/>
              </w:rPr>
            </w:pPr>
            <w:r>
              <w:rPr>
                <w:rFonts w:hint="eastAsia"/>
                <w:color w:val="auto"/>
                <w:highlight w:val="none"/>
                <w:u w:val="none" w:color="auto"/>
              </w:rPr>
              <w:t>本项目位于</w:t>
            </w:r>
            <w:r>
              <w:rPr>
                <w:rFonts w:hint="eastAsia"/>
                <w:color w:val="auto"/>
                <w:sz w:val="24"/>
                <w:szCs w:val="24"/>
                <w:highlight w:val="none"/>
                <w:u w:val="none" w:color="auto"/>
                <w:shd w:val="clear" w:color="auto" w:fill="FFFFFF"/>
              </w:rPr>
              <w:t>永州经济技术开发区锦络电子工业园3号栋1-3楼</w:t>
            </w:r>
            <w:r>
              <w:rPr>
                <w:rFonts w:hint="eastAsia"/>
                <w:color w:val="auto"/>
                <w:highlight w:val="none"/>
                <w:u w:val="none" w:color="auto"/>
              </w:rPr>
              <w:t>，所在园区为省级工业园，根据</w:t>
            </w:r>
            <w:r>
              <w:rPr>
                <w:color w:val="auto"/>
                <w:highlight w:val="none"/>
                <w:u w:val="none" w:color="auto"/>
              </w:rPr>
              <w:t>《湖南省人民政府关于实施“三线一单” 生态环境分区管控的意见》（湘政发〔2020〕12号）</w:t>
            </w:r>
            <w:r>
              <w:rPr>
                <w:rFonts w:hint="eastAsia"/>
                <w:color w:val="auto"/>
                <w:highlight w:val="none"/>
                <w:u w:val="none" w:color="auto"/>
              </w:rPr>
              <w:t>等文件可知，本项目属于重点管控单元（环境管控单元编码为：</w:t>
            </w:r>
            <w:r>
              <w:rPr>
                <w:rFonts w:eastAsia="仿宋"/>
                <w:color w:val="auto"/>
                <w:highlight w:val="none"/>
                <w:u w:val="none" w:color="auto"/>
              </w:rPr>
              <w:t>ZH43110320002</w:t>
            </w:r>
            <w:r>
              <w:rPr>
                <w:rFonts w:hint="eastAsia"/>
                <w:color w:val="auto"/>
                <w:highlight w:val="none"/>
                <w:u w:val="none" w:color="auto"/>
              </w:rPr>
              <w:t>）。</w:t>
            </w:r>
          </w:p>
          <w:p>
            <w:pPr>
              <w:widowControl/>
              <w:spacing w:line="360" w:lineRule="auto"/>
              <w:ind w:firstLine="480" w:firstLineChars="200"/>
              <w:jc w:val="left"/>
              <w:rPr>
                <w:color w:val="auto"/>
                <w:sz w:val="24"/>
                <w:highlight w:val="none"/>
                <w:u w:val="none" w:color="auto"/>
              </w:rPr>
            </w:pPr>
            <w:r>
              <w:rPr>
                <w:rFonts w:hint="eastAsia" w:ascii="宋体" w:hAnsi="宋体" w:cs="宋体"/>
                <w:color w:val="auto"/>
                <w:kern w:val="0"/>
                <w:sz w:val="24"/>
                <w:highlight w:val="none"/>
                <w:u w:val="none" w:color="auto"/>
                <w:lang w:bidi="ar"/>
              </w:rPr>
              <w:t xml:space="preserve">①生态红线 </w:t>
            </w:r>
          </w:p>
          <w:p>
            <w:pPr>
              <w:widowControl/>
              <w:spacing w:line="360" w:lineRule="auto"/>
              <w:ind w:firstLine="480" w:firstLineChars="200"/>
              <w:jc w:val="left"/>
              <w:rPr>
                <w:rFonts w:hAnsi="宋体"/>
                <w:color w:val="auto"/>
                <w:sz w:val="24"/>
                <w:highlight w:val="none"/>
                <w:u w:val="none" w:color="auto"/>
                <w:lang w:bidi="ar"/>
              </w:rPr>
            </w:pPr>
            <w:r>
              <w:rPr>
                <w:color w:val="auto"/>
                <w:sz w:val="24"/>
                <w:highlight w:val="none"/>
                <w:u w:val="none" w:color="auto"/>
              </w:rPr>
              <w:t>根据《湖南省湖南省“三线一单”生态环境总体管控要求暨省级以上产业园区生态环境准入清单》（2020年11月发布）中湖南省“三线一单”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本项目位于</w:t>
            </w:r>
            <w:r>
              <w:rPr>
                <w:rFonts w:hint="eastAsia"/>
                <w:color w:val="auto"/>
                <w:sz w:val="24"/>
                <w:szCs w:val="24"/>
                <w:highlight w:val="none"/>
                <w:u w:val="none" w:color="auto"/>
                <w:shd w:val="clear" w:color="auto" w:fill="FFFFFF"/>
              </w:rPr>
              <w:t>永州经济技术开发区锦络电子工业园3号栋1-3楼</w:t>
            </w:r>
            <w:r>
              <w:rPr>
                <w:color w:val="auto"/>
                <w:sz w:val="24"/>
                <w:szCs w:val="24"/>
                <w:highlight w:val="none"/>
                <w:u w:val="none" w:color="auto"/>
              </w:rPr>
              <w:t>，</w:t>
            </w:r>
            <w:r>
              <w:rPr>
                <w:color w:val="auto"/>
                <w:sz w:val="24"/>
                <w:highlight w:val="none"/>
                <w:u w:val="none" w:color="auto"/>
              </w:rPr>
              <w:t>根据《湖南省人民政府关于印发&lt;湖南</w:t>
            </w:r>
            <w:r>
              <w:rPr>
                <w:rFonts w:hint="eastAsia" w:hAnsi="宋体"/>
                <w:color w:val="auto"/>
                <w:sz w:val="24"/>
                <w:highlight w:val="none"/>
                <w:u w:val="none" w:color="auto"/>
              </w:rPr>
              <w:t>省生态保护红线&gt;的通知》（湘政发〔2018〕20号）</w:t>
            </w:r>
            <w:r>
              <w:rPr>
                <w:rFonts w:hint="eastAsia" w:hAnsi="宋体"/>
                <w:color w:val="auto"/>
                <w:sz w:val="24"/>
                <w:highlight w:val="none"/>
                <w:u w:val="none" w:color="auto"/>
                <w:lang w:bidi="ar"/>
              </w:rPr>
              <w:t xml:space="preserve">，本项目不在生态保护红线范围内。 </w:t>
            </w:r>
          </w:p>
          <w:p>
            <w:pPr>
              <w:widowControl/>
              <w:spacing w:line="360" w:lineRule="auto"/>
              <w:ind w:firstLine="480" w:firstLineChars="200"/>
              <w:jc w:val="left"/>
              <w:rPr>
                <w:rFonts w:hAnsi="宋体"/>
                <w:color w:val="auto"/>
                <w:sz w:val="24"/>
                <w:highlight w:val="none"/>
                <w:u w:val="none" w:color="auto"/>
                <w:lang w:bidi="ar"/>
              </w:rPr>
            </w:pPr>
            <w:r>
              <w:rPr>
                <w:rFonts w:hint="eastAsia" w:hAnsi="宋体"/>
                <w:color w:val="auto"/>
                <w:sz w:val="24"/>
                <w:highlight w:val="none"/>
                <w:u w:val="none" w:color="auto"/>
                <w:lang w:bidi="ar"/>
              </w:rPr>
              <w:t xml:space="preserve">②环境质量底线 </w:t>
            </w:r>
          </w:p>
          <w:p>
            <w:pPr>
              <w:widowControl/>
              <w:spacing w:line="360" w:lineRule="auto"/>
              <w:ind w:firstLine="480" w:firstLineChars="200"/>
              <w:rPr>
                <w:rFonts w:hAnsi="宋体"/>
                <w:color w:val="auto"/>
                <w:sz w:val="24"/>
                <w:highlight w:val="none"/>
                <w:u w:val="none" w:color="auto"/>
                <w:lang w:bidi="ar"/>
              </w:rPr>
            </w:pPr>
            <w:r>
              <w:rPr>
                <w:rFonts w:hint="eastAsia" w:hAnsi="宋体"/>
                <w:color w:val="auto"/>
                <w:sz w:val="24"/>
                <w:highlight w:val="none"/>
                <w:u w:val="none" w:color="auto"/>
                <w:lang w:bidi="ar"/>
              </w:rPr>
              <w:t>本项目所在区域（</w:t>
            </w:r>
            <w:r>
              <w:rPr>
                <w:rFonts w:hint="eastAsia"/>
                <w:color w:val="auto"/>
                <w:sz w:val="24"/>
                <w:szCs w:val="24"/>
                <w:highlight w:val="none"/>
                <w:u w:val="none" w:color="auto"/>
              </w:rPr>
              <w:t>永州市中心</w:t>
            </w:r>
            <w:r>
              <w:rPr>
                <w:color w:val="auto"/>
                <w:sz w:val="24"/>
                <w:szCs w:val="24"/>
                <w:highlight w:val="none"/>
                <w:u w:val="none" w:color="auto"/>
              </w:rPr>
              <w:t>城区</w:t>
            </w:r>
            <w:r>
              <w:rPr>
                <w:rFonts w:hint="eastAsia" w:hAnsi="宋体"/>
                <w:color w:val="auto"/>
                <w:sz w:val="24"/>
                <w:highlight w:val="none"/>
                <w:u w:val="none" w:color="auto"/>
                <w:lang w:bidi="ar"/>
              </w:rPr>
              <w:t>）</w:t>
            </w:r>
            <w:r>
              <w:rPr>
                <w:color w:val="auto"/>
                <w:sz w:val="24"/>
                <w:szCs w:val="24"/>
                <w:highlight w:val="none"/>
                <w:u w:val="none" w:color="auto"/>
              </w:rPr>
              <w:t>近一年常规大气污染物PM</w:t>
            </w:r>
            <w:r>
              <w:rPr>
                <w:color w:val="auto"/>
                <w:sz w:val="24"/>
                <w:szCs w:val="24"/>
                <w:highlight w:val="none"/>
                <w:u w:val="none" w:color="auto"/>
                <w:vertAlign w:val="subscript"/>
              </w:rPr>
              <w:t>10</w:t>
            </w:r>
            <w:r>
              <w:rPr>
                <w:rFonts w:hint="eastAsia"/>
                <w:color w:val="auto"/>
                <w:sz w:val="24"/>
                <w:szCs w:val="24"/>
                <w:highlight w:val="none"/>
                <w:u w:val="none" w:color="auto"/>
              </w:rPr>
              <w:t>、</w:t>
            </w:r>
            <w:r>
              <w:rPr>
                <w:color w:val="auto"/>
                <w:sz w:val="24"/>
                <w:szCs w:val="24"/>
                <w:highlight w:val="none"/>
                <w:u w:val="none" w:color="auto"/>
              </w:rPr>
              <w:t>PM</w:t>
            </w:r>
            <w:r>
              <w:rPr>
                <w:color w:val="auto"/>
                <w:sz w:val="24"/>
                <w:szCs w:val="24"/>
                <w:highlight w:val="none"/>
                <w:u w:val="none" w:color="auto"/>
                <w:vertAlign w:val="subscript"/>
              </w:rPr>
              <w:t>2.5</w:t>
            </w:r>
            <w:r>
              <w:rPr>
                <w:rFonts w:hint="eastAsia"/>
                <w:color w:val="auto"/>
                <w:sz w:val="24"/>
                <w:szCs w:val="24"/>
                <w:highlight w:val="none"/>
                <w:u w:val="none" w:color="auto"/>
              </w:rPr>
              <w:t>、</w:t>
            </w:r>
            <w:r>
              <w:rPr>
                <w:color w:val="auto"/>
                <w:sz w:val="24"/>
                <w:szCs w:val="24"/>
                <w:highlight w:val="none"/>
                <w:u w:val="none" w:color="auto"/>
              </w:rPr>
              <w:t xml:space="preserve"> SO</w:t>
            </w:r>
            <w:r>
              <w:rPr>
                <w:color w:val="auto"/>
                <w:sz w:val="24"/>
                <w:szCs w:val="24"/>
                <w:highlight w:val="none"/>
                <w:u w:val="none" w:color="auto"/>
                <w:vertAlign w:val="subscript"/>
              </w:rPr>
              <w:t>2</w:t>
            </w:r>
            <w:r>
              <w:rPr>
                <w:color w:val="auto"/>
                <w:sz w:val="24"/>
                <w:szCs w:val="24"/>
                <w:highlight w:val="none"/>
                <w:u w:val="none" w:color="auto"/>
              </w:rPr>
              <w:t>、NO</w:t>
            </w:r>
            <w:r>
              <w:rPr>
                <w:color w:val="auto"/>
                <w:sz w:val="24"/>
                <w:szCs w:val="24"/>
                <w:highlight w:val="none"/>
                <w:u w:val="none" w:color="auto"/>
                <w:vertAlign w:val="subscript"/>
              </w:rPr>
              <w:t>2</w:t>
            </w:r>
            <w:r>
              <w:rPr>
                <w:color w:val="auto"/>
                <w:sz w:val="24"/>
                <w:szCs w:val="24"/>
                <w:highlight w:val="none"/>
                <w:u w:val="none" w:color="auto"/>
              </w:rPr>
              <w:t>、臭氧、一氧化碳</w:t>
            </w:r>
            <w:r>
              <w:rPr>
                <w:rFonts w:hint="eastAsia"/>
                <w:color w:val="auto"/>
                <w:sz w:val="24"/>
                <w:szCs w:val="24"/>
                <w:highlight w:val="none"/>
                <w:u w:val="none" w:color="auto"/>
              </w:rPr>
              <w:t>监测因子</w:t>
            </w:r>
            <w:r>
              <w:rPr>
                <w:color w:val="auto"/>
                <w:sz w:val="24"/>
                <w:szCs w:val="24"/>
                <w:highlight w:val="none"/>
                <w:u w:val="none" w:color="auto"/>
              </w:rPr>
              <w:t>的年均值浓度满足《环境空气质量标准》（GB3095-2012）二级标准年均值要求，</w:t>
            </w:r>
            <w:r>
              <w:rPr>
                <w:rFonts w:hint="eastAsia"/>
                <w:color w:val="auto"/>
                <w:sz w:val="24"/>
                <w:szCs w:val="24"/>
                <w:highlight w:val="none"/>
                <w:u w:val="none" w:color="auto"/>
              </w:rPr>
              <w:t>属于达标区</w:t>
            </w:r>
            <w:r>
              <w:rPr>
                <w:color w:val="auto"/>
                <w:sz w:val="24"/>
                <w:szCs w:val="24"/>
                <w:highlight w:val="none"/>
                <w:u w:val="none" w:color="auto"/>
              </w:rPr>
              <w:t>。</w:t>
            </w:r>
            <w:r>
              <w:rPr>
                <w:rFonts w:hint="eastAsia" w:hAnsi="宋体"/>
                <w:color w:val="auto"/>
                <w:sz w:val="24"/>
                <w:highlight w:val="none"/>
                <w:u w:val="none" w:color="auto"/>
                <w:lang w:bidi="ar"/>
              </w:rPr>
              <w:t>地表水环境质量为《地表水环境质量标准》（GB3838-2002）Ⅲ类，声环境质量为《声环境质量标准》（GB3096-2008）3类。本项目产生的三废均能有效处理，采取相应治理措施后可达标排放。因此本项目建设不会对当地环境质量底线造成冲击。</w:t>
            </w:r>
          </w:p>
          <w:p>
            <w:pPr>
              <w:widowControl/>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lang w:bidi="ar"/>
              </w:rPr>
              <w:t xml:space="preserve">③与资源利用上线的对照分析 </w:t>
            </w:r>
          </w:p>
          <w:p>
            <w:pPr>
              <w:widowControl/>
              <w:spacing w:line="360" w:lineRule="auto"/>
              <w:ind w:firstLine="480" w:firstLineChars="200"/>
              <w:jc w:val="left"/>
              <w:rPr>
                <w:color w:val="auto"/>
                <w:kern w:val="0"/>
                <w:sz w:val="24"/>
                <w:highlight w:val="none"/>
                <w:u w:val="none" w:color="auto"/>
              </w:rPr>
            </w:pPr>
            <w:r>
              <w:rPr>
                <w:rFonts w:hint="eastAsia" w:hAnsi="宋体"/>
                <w:color w:val="auto"/>
                <w:sz w:val="24"/>
                <w:highlight w:val="none"/>
                <w:u w:val="none" w:color="auto"/>
              </w:rPr>
              <w:t>本项目为</w:t>
            </w:r>
            <w:r>
              <w:rPr>
                <w:rFonts w:hint="eastAsia" w:hAnsi="宋体"/>
                <w:color w:val="auto"/>
                <w:sz w:val="24"/>
                <w:highlight w:val="none"/>
                <w:u w:val="none" w:color="auto"/>
                <w:lang w:val="en-US" w:eastAsia="zh-CN"/>
              </w:rPr>
              <w:t>电感</w:t>
            </w:r>
            <w:r>
              <w:rPr>
                <w:rFonts w:hint="eastAsia" w:hAnsi="宋体"/>
                <w:color w:val="auto"/>
                <w:sz w:val="24"/>
                <w:highlight w:val="none"/>
                <w:u w:val="none" w:color="auto"/>
              </w:rPr>
              <w:t>生产项目，营运过程中消耗一点量的水资源、电资源，区域内生产和生活用水均使用自来水，能源主要依托当地电</w:t>
            </w:r>
            <w:r>
              <w:rPr>
                <w:color w:val="auto"/>
                <w:kern w:val="0"/>
                <w:sz w:val="24"/>
                <w:highlight w:val="none"/>
                <w:u w:val="none" w:color="auto"/>
              </w:rPr>
              <w:t>网供电，项目资源消耗相对区域资源利用总量较小，符合资源利用上线要求。</w:t>
            </w:r>
          </w:p>
          <w:p>
            <w:pPr>
              <w:widowControl/>
              <w:spacing w:line="360" w:lineRule="auto"/>
              <w:ind w:firstLine="480" w:firstLineChars="200"/>
              <w:jc w:val="left"/>
              <w:rPr>
                <w:color w:val="auto"/>
                <w:sz w:val="24"/>
                <w:highlight w:val="none"/>
                <w:u w:val="none" w:color="auto"/>
              </w:rPr>
            </w:pPr>
            <w:r>
              <w:rPr>
                <w:rFonts w:hint="eastAsia" w:ascii="宋体" w:hAnsi="宋体" w:cs="宋体"/>
                <w:color w:val="auto"/>
                <w:kern w:val="0"/>
                <w:sz w:val="24"/>
                <w:highlight w:val="none"/>
                <w:u w:val="none" w:color="auto"/>
                <w:lang w:bidi="ar"/>
              </w:rPr>
              <w:t xml:space="preserve">④环境准入负面清单 </w:t>
            </w:r>
          </w:p>
          <w:p>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lang w:val="zh-CN"/>
              </w:rPr>
              <w:t>项目符合国家及地方产业政策，未被列入环境准入负面清单。项目采取有效三废处理措施，符合区域总体规划、产业定位及环保规划要求。</w:t>
            </w:r>
          </w:p>
          <w:p>
            <w:pPr>
              <w:pStyle w:val="37"/>
              <w:rPr>
                <w:color w:val="auto"/>
                <w:sz w:val="21"/>
                <w:szCs w:val="21"/>
                <w:highlight w:val="none"/>
                <w:u w:val="none" w:color="auto"/>
              </w:rPr>
            </w:pPr>
            <w:r>
              <w:rPr>
                <w:rFonts w:hint="eastAsia"/>
                <w:color w:val="auto"/>
                <w:sz w:val="21"/>
                <w:szCs w:val="21"/>
                <w:highlight w:val="none"/>
                <w:u w:val="none" w:color="auto"/>
              </w:rPr>
              <w:t>表1-</w:t>
            </w:r>
            <w:r>
              <w:rPr>
                <w:rFonts w:hint="eastAsia"/>
                <w:color w:val="auto"/>
                <w:sz w:val="21"/>
                <w:szCs w:val="21"/>
                <w:highlight w:val="none"/>
                <w:u w:val="none" w:color="auto"/>
                <w:lang w:val="en-US" w:eastAsia="zh-CN"/>
              </w:rPr>
              <w:t>3</w:t>
            </w:r>
            <w:r>
              <w:rPr>
                <w:rFonts w:hint="eastAsia"/>
                <w:color w:val="auto"/>
                <w:sz w:val="21"/>
                <w:szCs w:val="21"/>
                <w:highlight w:val="none"/>
                <w:u w:val="none" w:color="auto"/>
              </w:rPr>
              <w:t xml:space="preserve">  省级“三线一单”关于永州经济技术开发区相关管控要求</w:t>
            </w:r>
          </w:p>
          <w:tbl>
            <w:tblPr>
              <w:tblStyle w:val="26"/>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4"/>
              <w:gridCol w:w="3826"/>
              <w:gridCol w:w="1530"/>
              <w:gridCol w:w="7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c>
                <w:tcPr>
                  <w:tcW w:w="479" w:type="pct"/>
                  <w:vAlign w:val="center"/>
                </w:tcPr>
                <w:p>
                  <w:pPr>
                    <w:pStyle w:val="38"/>
                    <w:rPr>
                      <w:color w:val="auto"/>
                      <w:sz w:val="21"/>
                      <w:szCs w:val="21"/>
                      <w:highlight w:val="none"/>
                      <w:u w:val="none" w:color="auto"/>
                    </w:rPr>
                  </w:pPr>
                  <w:r>
                    <w:rPr>
                      <w:color w:val="auto"/>
                      <w:sz w:val="21"/>
                      <w:szCs w:val="21"/>
                      <w:highlight w:val="none"/>
                      <w:u w:val="none" w:color="auto"/>
                    </w:rPr>
                    <w:t>管控维 度</w:t>
                  </w:r>
                </w:p>
              </w:tc>
              <w:tc>
                <w:tcPr>
                  <w:tcW w:w="2850" w:type="pct"/>
                  <w:vAlign w:val="center"/>
                </w:tcPr>
                <w:p>
                  <w:pPr>
                    <w:pStyle w:val="38"/>
                    <w:rPr>
                      <w:color w:val="auto"/>
                      <w:sz w:val="21"/>
                      <w:szCs w:val="21"/>
                      <w:highlight w:val="none"/>
                      <w:u w:val="none" w:color="auto"/>
                    </w:rPr>
                  </w:pPr>
                  <w:r>
                    <w:rPr>
                      <w:color w:val="auto"/>
                      <w:sz w:val="21"/>
                      <w:szCs w:val="21"/>
                      <w:highlight w:val="none"/>
                      <w:u w:val="none" w:color="auto"/>
                    </w:rPr>
                    <w:t>清单中管控要求</w:t>
                  </w:r>
                </w:p>
              </w:tc>
              <w:tc>
                <w:tcPr>
                  <w:tcW w:w="1140" w:type="pct"/>
                  <w:vAlign w:val="center"/>
                </w:tcPr>
                <w:p>
                  <w:pPr>
                    <w:pStyle w:val="38"/>
                    <w:rPr>
                      <w:color w:val="auto"/>
                      <w:sz w:val="21"/>
                      <w:szCs w:val="21"/>
                      <w:highlight w:val="none"/>
                      <w:u w:val="none" w:color="auto"/>
                    </w:rPr>
                  </w:pPr>
                  <w:r>
                    <w:rPr>
                      <w:color w:val="auto"/>
                      <w:sz w:val="21"/>
                      <w:szCs w:val="21"/>
                      <w:highlight w:val="none"/>
                      <w:u w:val="none" w:color="auto"/>
                    </w:rPr>
                    <w:t>本项目符合情况</w:t>
                  </w:r>
                </w:p>
              </w:tc>
              <w:tc>
                <w:tcPr>
                  <w:tcW w:w="529" w:type="pct"/>
                  <w:vAlign w:val="center"/>
                </w:tcPr>
                <w:p>
                  <w:pPr>
                    <w:pStyle w:val="38"/>
                    <w:rPr>
                      <w:color w:val="auto"/>
                      <w:sz w:val="21"/>
                      <w:szCs w:val="21"/>
                      <w:highlight w:val="none"/>
                      <w:u w:val="none" w:color="auto"/>
                    </w:rPr>
                  </w:pPr>
                  <w:r>
                    <w:rPr>
                      <w:color w:val="auto"/>
                      <w:sz w:val="21"/>
                      <w:szCs w:val="21"/>
                      <w:highlight w:val="none"/>
                      <w:u w:val="none" w:color="auto"/>
                    </w:rPr>
                    <w:t>符合性结论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479" w:type="pct"/>
                  <w:vAlign w:val="center"/>
                </w:tcPr>
                <w:p>
                  <w:pPr>
                    <w:pStyle w:val="38"/>
                    <w:rPr>
                      <w:rFonts w:ascii="宋体" w:hAnsi="宋体" w:cs="宋体"/>
                      <w:color w:val="auto"/>
                      <w:sz w:val="21"/>
                      <w:szCs w:val="21"/>
                      <w:highlight w:val="none"/>
                      <w:u w:val="none" w:color="auto"/>
                    </w:rPr>
                  </w:pPr>
                  <w:r>
                    <w:rPr>
                      <w:rFonts w:hint="eastAsia" w:ascii="宋体" w:hAnsi="宋体" w:cs="宋体"/>
                      <w:color w:val="auto"/>
                      <w:sz w:val="21"/>
                      <w:szCs w:val="21"/>
                      <w:highlight w:val="none"/>
                      <w:u w:val="none" w:color="auto"/>
                    </w:rPr>
                    <w:t>主导产业</w:t>
                  </w:r>
                </w:p>
              </w:tc>
              <w:tc>
                <w:tcPr>
                  <w:tcW w:w="2850" w:type="pct"/>
                  <w:vAlign w:val="center"/>
                </w:tcPr>
                <w:p>
                  <w:pPr>
                    <w:widowControl/>
                    <w:rPr>
                      <w:rFonts w:ascii="宋体" w:hAnsi="宋体" w:cs="宋体"/>
                      <w:color w:val="auto"/>
                      <w:highlight w:val="none"/>
                      <w:u w:val="none" w:color="auto"/>
                    </w:rPr>
                  </w:pPr>
                  <w:r>
                    <w:rPr>
                      <w:rFonts w:hint="eastAsia" w:ascii="宋体" w:hAnsi="宋体" w:cs="宋体"/>
                      <w:b/>
                      <w:color w:val="auto"/>
                      <w:highlight w:val="none"/>
                      <w:u w:val="none" w:color="auto"/>
                    </w:rPr>
                    <w:t>湘环评[2013]306号：北部片区</w:t>
                  </w:r>
                  <w:r>
                    <w:rPr>
                      <w:rFonts w:hint="eastAsia" w:ascii="宋体" w:hAnsi="宋体" w:cs="宋体"/>
                      <w:color w:val="auto"/>
                      <w:highlight w:val="none"/>
                      <w:u w:val="none" w:color="auto"/>
                    </w:rPr>
                    <w:t>主要发展民族制药、特色食品、电子信息、商贸物流等产业；</w:t>
                  </w:r>
                  <w:r>
                    <w:rPr>
                      <w:rFonts w:hint="eastAsia" w:ascii="宋体" w:hAnsi="宋体" w:cs="宋体"/>
                      <w:b/>
                      <w:color w:val="auto"/>
                      <w:highlight w:val="none"/>
                      <w:u w:val="none" w:color="auto"/>
                    </w:rPr>
                    <w:t>南部片区</w:t>
                  </w:r>
                  <w:r>
                    <w:rPr>
                      <w:rFonts w:hint="eastAsia" w:ascii="宋体" w:hAnsi="宋体" w:cs="宋体"/>
                      <w:color w:val="auto"/>
                      <w:highlight w:val="none"/>
                      <w:u w:val="none" w:color="auto"/>
                    </w:rPr>
                    <w:t>主要发展先进装备制造、电子信息、商贸物流等产业；</w:t>
                  </w:r>
                </w:p>
                <w:p>
                  <w:pPr>
                    <w:rPr>
                      <w:rFonts w:ascii="宋体" w:hAnsi="宋体" w:cs="宋体"/>
                      <w:color w:val="auto"/>
                      <w:highlight w:val="none"/>
                      <w:u w:val="none" w:color="auto"/>
                    </w:rPr>
                  </w:pPr>
                  <w:r>
                    <w:rPr>
                      <w:rFonts w:hint="eastAsia" w:ascii="宋体" w:hAnsi="宋体" w:cs="宋体"/>
                      <w:b/>
                      <w:bCs/>
                      <w:color w:val="auto"/>
                      <w:highlight w:val="none"/>
                      <w:u w:val="none" w:color="auto"/>
                    </w:rPr>
                    <w:t>湘发改函[2016]211号：</w:t>
                  </w:r>
                  <w:r>
                    <w:rPr>
                      <w:rFonts w:hint="eastAsia" w:ascii="宋体" w:hAnsi="宋体" w:cs="宋体"/>
                      <w:color w:val="auto"/>
                      <w:highlight w:val="none"/>
                      <w:u w:val="none" w:color="auto"/>
                    </w:rPr>
                    <w:t>新扩区域主要布局发展汽车零部件、先进制造业、农副产品食品加工、电子信息等产业；</w:t>
                  </w:r>
                </w:p>
                <w:p>
                  <w:pPr>
                    <w:pStyle w:val="38"/>
                    <w:jc w:val="both"/>
                    <w:rPr>
                      <w:rFonts w:ascii="宋体" w:hAnsi="宋体" w:cs="宋体"/>
                      <w:color w:val="auto"/>
                      <w:sz w:val="21"/>
                      <w:szCs w:val="21"/>
                      <w:highlight w:val="none"/>
                      <w:u w:val="none" w:color="auto"/>
                    </w:rPr>
                  </w:pPr>
                  <w:r>
                    <w:rPr>
                      <w:rFonts w:hint="eastAsia" w:ascii="宋体" w:hAnsi="宋体" w:cs="宋体"/>
                      <w:b/>
                      <w:bCs/>
                      <w:color w:val="auto"/>
                      <w:sz w:val="21"/>
                      <w:szCs w:val="21"/>
                      <w:highlight w:val="none"/>
                      <w:u w:val="none" w:color="auto"/>
                    </w:rPr>
                    <w:t>六部委公告2018年第4号</w:t>
                  </w:r>
                  <w:r>
                    <w:rPr>
                      <w:rFonts w:hint="eastAsia" w:ascii="宋体" w:hAnsi="宋体" w:cs="宋体"/>
                      <w:color w:val="auto"/>
                      <w:sz w:val="21"/>
                      <w:szCs w:val="21"/>
                      <w:highlight w:val="none"/>
                      <w:u w:val="none" w:color="auto"/>
                    </w:rPr>
                    <w:t>：零部件、食品、医药 。</w:t>
                  </w:r>
                </w:p>
              </w:tc>
              <w:tc>
                <w:tcPr>
                  <w:tcW w:w="1140" w:type="pct"/>
                  <w:vAlign w:val="center"/>
                </w:tcPr>
                <w:p>
                  <w:pPr>
                    <w:pStyle w:val="38"/>
                    <w:rPr>
                      <w:color w:val="auto"/>
                      <w:sz w:val="21"/>
                      <w:szCs w:val="21"/>
                      <w:highlight w:val="none"/>
                      <w:u w:val="none" w:color="auto"/>
                    </w:rPr>
                  </w:pPr>
                  <w:r>
                    <w:rPr>
                      <w:rFonts w:hint="eastAsia"/>
                      <w:color w:val="auto"/>
                      <w:sz w:val="21"/>
                      <w:szCs w:val="21"/>
                      <w:highlight w:val="none"/>
                      <w:u w:val="none" w:color="auto"/>
                    </w:rPr>
                    <w:t>本项目位于南部片区，为</w:t>
                  </w:r>
                  <w:r>
                    <w:rPr>
                      <w:rFonts w:hint="eastAsia"/>
                      <w:color w:val="auto"/>
                      <w:sz w:val="21"/>
                      <w:szCs w:val="21"/>
                      <w:highlight w:val="none"/>
                      <w:u w:val="none" w:color="auto"/>
                      <w:lang w:val="en-US" w:eastAsia="zh-CN"/>
                    </w:rPr>
                    <w:t>电感生产</w:t>
                  </w:r>
                  <w:r>
                    <w:rPr>
                      <w:rFonts w:hint="eastAsia"/>
                      <w:color w:val="auto"/>
                      <w:sz w:val="21"/>
                      <w:szCs w:val="21"/>
                      <w:highlight w:val="none"/>
                      <w:u w:val="none" w:color="auto"/>
                    </w:rPr>
                    <w:t>工厂，与工业园的主导产业相符。</w:t>
                  </w:r>
                </w:p>
              </w:tc>
              <w:tc>
                <w:tcPr>
                  <w:tcW w:w="529" w:type="pct"/>
                  <w:vAlign w:val="center"/>
                </w:tcPr>
                <w:p>
                  <w:pPr>
                    <w:pStyle w:val="38"/>
                    <w:rPr>
                      <w:color w:val="auto"/>
                      <w:sz w:val="21"/>
                      <w:szCs w:val="21"/>
                      <w:highlight w:val="none"/>
                      <w:u w:val="none" w:color="auto"/>
                    </w:rPr>
                  </w:pPr>
                  <w:r>
                    <w:rPr>
                      <w:rFonts w:hint="eastAsia"/>
                      <w:color w:val="auto"/>
                      <w:sz w:val="21"/>
                      <w:szCs w:val="21"/>
                      <w:highlight w:val="none"/>
                      <w:u w:val="non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479" w:type="pct"/>
                  <w:vAlign w:val="center"/>
                </w:tcPr>
                <w:p>
                  <w:pPr>
                    <w:pStyle w:val="38"/>
                    <w:rPr>
                      <w:color w:val="auto"/>
                      <w:sz w:val="21"/>
                      <w:szCs w:val="21"/>
                      <w:highlight w:val="none"/>
                      <w:u w:val="none" w:color="auto"/>
                    </w:rPr>
                  </w:pPr>
                  <w:r>
                    <w:rPr>
                      <w:color w:val="auto"/>
                      <w:sz w:val="21"/>
                      <w:szCs w:val="21"/>
                      <w:highlight w:val="none"/>
                      <w:u w:val="none" w:color="auto"/>
                    </w:rPr>
                    <w:t>空间布局约束</w:t>
                  </w:r>
                </w:p>
              </w:tc>
              <w:tc>
                <w:tcPr>
                  <w:tcW w:w="2850" w:type="pct"/>
                  <w:vAlign w:val="center"/>
                </w:tcPr>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（1.1）禁止新引进三类工业以及线路板、电镀等排水涉重金属或持久性污染物的企业。</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（1.2）严格限制水型污染企业进入；在拟发展的食品加工业中限制饮料、发酵型生产方式等耗水型生产项目，生物制药产业中限制原料药、化学合成药生产等水型污染复杂企业。</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（1.3）</w:t>
                  </w:r>
                  <w:r>
                    <w:rPr>
                      <w:rFonts w:hint="eastAsia" w:ascii="宋体" w:hAnsi="宋体" w:cs="宋体"/>
                      <w:b/>
                      <w:color w:val="auto"/>
                      <w:highlight w:val="none"/>
                      <w:u w:val="none" w:color="auto"/>
                    </w:rPr>
                    <w:t>北部片区：</w:t>
                  </w:r>
                  <w:r>
                    <w:rPr>
                      <w:rFonts w:hint="eastAsia" w:ascii="宋体" w:hAnsi="宋体" w:cs="宋体"/>
                      <w:color w:val="auto"/>
                      <w:highlight w:val="none"/>
                      <w:u w:val="none" w:color="auto"/>
                    </w:rPr>
                    <w:t>禁止引进气型污染企业。</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（1.4）长丰大道与珍珠南路交汇处布置的居住用地同南甸路与仁湾路交汇处南部的二类工业用地功能互换，交通干线两侧一定距离内不得设置对噪声敏感的建筑物。</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（1.5）对不符合产业定位和产业布局要求、现已停产的零陵新型耐火材料厂等限期退出经开区，对其他不符合产业定位或产业布局要求的企业在现址不得扩大规模，适时调整至适宜的规划区。</w:t>
                  </w:r>
                </w:p>
                <w:p>
                  <w:pPr>
                    <w:pStyle w:val="38"/>
                    <w:jc w:val="both"/>
                    <w:rPr>
                      <w:color w:val="auto"/>
                      <w:sz w:val="21"/>
                      <w:szCs w:val="21"/>
                      <w:highlight w:val="none"/>
                      <w:u w:val="none" w:color="auto"/>
                    </w:rPr>
                  </w:pPr>
                  <w:r>
                    <w:rPr>
                      <w:rFonts w:hint="eastAsia" w:ascii="宋体" w:hAnsi="宋体" w:cs="宋体"/>
                      <w:color w:val="auto"/>
                      <w:sz w:val="21"/>
                      <w:szCs w:val="21"/>
                      <w:highlight w:val="none"/>
                      <w:u w:val="none" w:color="auto"/>
                    </w:rPr>
                    <w:t>（1.6）湘江干流岸线1公里范围内不准新增化工园区和化工项目。</w:t>
                  </w:r>
                </w:p>
              </w:tc>
              <w:tc>
                <w:tcPr>
                  <w:tcW w:w="1140" w:type="pct"/>
                  <w:vAlign w:val="center"/>
                </w:tcPr>
                <w:p>
                  <w:pPr>
                    <w:pStyle w:val="38"/>
                    <w:jc w:val="both"/>
                    <w:rPr>
                      <w:rFonts w:ascii="宋体" w:hAnsi="宋体" w:cs="宋体"/>
                      <w:color w:val="auto"/>
                      <w:sz w:val="21"/>
                      <w:szCs w:val="21"/>
                      <w:highlight w:val="none"/>
                      <w:u w:val="none" w:color="auto"/>
                    </w:rPr>
                  </w:pPr>
                </w:p>
                <w:p>
                  <w:pPr>
                    <w:pStyle w:val="38"/>
                    <w:jc w:val="both"/>
                    <w:rPr>
                      <w:rFonts w:hint="eastAsia" w:ascii="宋体" w:hAnsi="宋体" w:eastAsia="宋体" w:cs="宋体"/>
                      <w:color w:val="auto"/>
                      <w:sz w:val="21"/>
                      <w:szCs w:val="21"/>
                      <w:highlight w:val="none"/>
                      <w:u w:val="none" w:color="auto"/>
                      <w:lang w:val="en-US" w:eastAsia="zh-CN"/>
                    </w:rPr>
                  </w:pPr>
                  <w:r>
                    <w:rPr>
                      <w:rFonts w:hint="eastAsia"/>
                      <w:highlight w:val="none"/>
                      <w:lang w:val="en-US" w:eastAsia="zh-CN"/>
                    </w:rPr>
                    <w:t>项目</w:t>
                  </w:r>
                  <w:r>
                    <w:rPr>
                      <w:rFonts w:hint="eastAsia" w:ascii="宋体" w:hAnsi="宋体" w:cs="宋体"/>
                      <w:color w:val="auto"/>
                      <w:sz w:val="21"/>
                      <w:szCs w:val="21"/>
                      <w:highlight w:val="none"/>
                      <w:u w:val="none" w:color="auto"/>
                    </w:rPr>
                    <w:t>配置了废气收集与处理净化装置，厂区废气做到达标排放。不属于气型污染企业</w:t>
                  </w:r>
                  <w:r>
                    <w:rPr>
                      <w:rFonts w:hint="eastAsia"/>
                      <w:highlight w:val="none"/>
                      <w:lang w:eastAsia="zh-CN"/>
                    </w:rPr>
                    <w:t>。</w:t>
                  </w:r>
                </w:p>
              </w:tc>
              <w:tc>
                <w:tcPr>
                  <w:tcW w:w="529" w:type="pct"/>
                  <w:vAlign w:val="center"/>
                </w:tcPr>
                <w:p>
                  <w:pPr>
                    <w:pStyle w:val="38"/>
                    <w:rPr>
                      <w:color w:val="auto"/>
                      <w:sz w:val="21"/>
                      <w:szCs w:val="21"/>
                      <w:highlight w:val="none"/>
                      <w:u w:val="none" w:color="auto"/>
                    </w:rPr>
                  </w:pPr>
                  <w:r>
                    <w:rPr>
                      <w:color w:val="auto"/>
                      <w:sz w:val="21"/>
                      <w:szCs w:val="21"/>
                      <w:highlight w:val="none"/>
                      <w:u w:val="non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479" w:type="pct"/>
                  <w:vAlign w:val="center"/>
                </w:tcPr>
                <w:p>
                  <w:pPr>
                    <w:pStyle w:val="38"/>
                    <w:rPr>
                      <w:color w:val="auto"/>
                      <w:sz w:val="21"/>
                      <w:szCs w:val="21"/>
                      <w:highlight w:val="none"/>
                      <w:u w:val="none" w:color="auto"/>
                    </w:rPr>
                  </w:pPr>
                  <w:r>
                    <w:rPr>
                      <w:rFonts w:hint="eastAsia"/>
                      <w:color w:val="auto"/>
                      <w:sz w:val="21"/>
                      <w:szCs w:val="21"/>
                      <w:highlight w:val="none"/>
                      <w:u w:val="none" w:color="auto"/>
                    </w:rPr>
                    <w:t>污染物排放管控</w:t>
                  </w:r>
                </w:p>
              </w:tc>
              <w:tc>
                <w:tcPr>
                  <w:tcW w:w="2850" w:type="pct"/>
                  <w:vAlign w:val="center"/>
                </w:tcPr>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（2.1）废水：经开区排水实施雨污分流，雨水排入湘江。</w:t>
                  </w:r>
                </w:p>
                <w:p>
                  <w:pPr>
                    <w:tabs>
                      <w:tab w:val="left" w:pos="1021"/>
                    </w:tabs>
                    <w:spacing w:line="300" w:lineRule="exact"/>
                    <w:rPr>
                      <w:rFonts w:ascii="宋体" w:hAnsi="宋体" w:cs="宋体"/>
                      <w:color w:val="auto"/>
                      <w:highlight w:val="none"/>
                      <w:u w:val="none" w:color="auto"/>
                    </w:rPr>
                  </w:pPr>
                  <w:r>
                    <w:rPr>
                      <w:rFonts w:hint="eastAsia" w:ascii="宋体" w:hAnsi="宋体" w:cs="宋体"/>
                      <w:b/>
                      <w:bCs/>
                      <w:color w:val="auto"/>
                      <w:highlight w:val="none"/>
                      <w:u w:val="none" w:color="auto"/>
                    </w:rPr>
                    <w:t>北部片区：</w:t>
                  </w:r>
                  <w:r>
                    <w:rPr>
                      <w:rFonts w:hint="eastAsia" w:ascii="宋体" w:hAnsi="宋体" w:cs="宋体"/>
                      <w:color w:val="auto"/>
                      <w:highlight w:val="none"/>
                      <w:u w:val="none" w:color="auto"/>
                    </w:rPr>
                    <w:t>加快北部片区工业污水处理厂建设，北部片区现有废污水经处理后纳入下河线污水处理厂进一步处理达标后排入湘江；</w:t>
                  </w:r>
                </w:p>
                <w:p>
                  <w:pPr>
                    <w:tabs>
                      <w:tab w:val="left" w:pos="1021"/>
                    </w:tabs>
                    <w:spacing w:line="300" w:lineRule="exact"/>
                    <w:rPr>
                      <w:rFonts w:ascii="宋体" w:hAnsi="宋体" w:cs="宋体"/>
                      <w:color w:val="auto"/>
                      <w:highlight w:val="none"/>
                      <w:u w:val="none" w:color="auto"/>
                    </w:rPr>
                  </w:pPr>
                  <w:r>
                    <w:rPr>
                      <w:rFonts w:hint="eastAsia" w:ascii="宋体" w:hAnsi="宋体" w:cs="宋体"/>
                      <w:b/>
                      <w:bCs/>
                      <w:color w:val="auto"/>
                      <w:highlight w:val="none"/>
                      <w:u w:val="none" w:color="auto"/>
                    </w:rPr>
                    <w:t>南部片区：</w:t>
                  </w:r>
                  <w:r>
                    <w:rPr>
                      <w:rFonts w:hint="eastAsia" w:ascii="宋体" w:hAnsi="宋体" w:cs="宋体"/>
                      <w:color w:val="auto"/>
                      <w:highlight w:val="none"/>
                      <w:u w:val="none" w:color="auto"/>
                    </w:rPr>
                    <w:t>加快建设片区生物医药污水处理厂建设，废污水经处理后进入城镇污水处理厂，进一步处理达标后排入湘江。</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（2.2）废气：</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2.2.1）建立经开区清洁生产管理考核机制，对各企业工艺废气产出的生产节点，应配置废气收集与净化处理装置，确保达标排放；加强生产工艺研究与技术改进，采取有效措施，减少入园企业工艺废气的无组织排放。</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（2.2.2）全面推进生物医药、机械制造等工业VOCs综合治理，建立VOCs排放清单信息库，完善企业一企一档制度。加强园区废气特别是有毒有害及恶臭气体的收集和处理，严格控制VOCs的排放。</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（2.2.3）对能耗和污染物排放量相对较大的企业如铜制品、铝制品等企业安装空气在线自动监控系统，对治理设施进行有效监控。</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（2.2.4）园区内有色金属等行业及涉锅炉大气污染物排放应满足《湖南省生态环境厅关于执行污染物特别排放限值（第一批）的公告》中的要求。</w:t>
                  </w:r>
                </w:p>
                <w:p>
                  <w:pPr>
                    <w:pStyle w:val="38"/>
                    <w:jc w:val="both"/>
                    <w:rPr>
                      <w:color w:val="auto"/>
                      <w:sz w:val="21"/>
                      <w:szCs w:val="21"/>
                      <w:highlight w:val="none"/>
                      <w:u w:val="none" w:color="auto"/>
                    </w:rPr>
                  </w:pPr>
                  <w:r>
                    <w:rPr>
                      <w:rFonts w:hint="eastAsia" w:ascii="宋体" w:hAnsi="宋体" w:cs="宋体"/>
                      <w:color w:val="auto"/>
                      <w:sz w:val="21"/>
                      <w:szCs w:val="21"/>
                      <w:highlight w:val="none"/>
                      <w:u w:val="none" w:color="auto"/>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p>
              </w:tc>
              <w:tc>
                <w:tcPr>
                  <w:tcW w:w="1140" w:type="pct"/>
                  <w:vAlign w:val="center"/>
                </w:tcPr>
                <w:p>
                  <w:pPr>
                    <w:pStyle w:val="38"/>
                    <w:jc w:val="both"/>
                    <w:rPr>
                      <w:rFonts w:ascii="宋体" w:hAnsi="宋体" w:cs="宋体"/>
                      <w:color w:val="auto"/>
                      <w:sz w:val="21"/>
                      <w:szCs w:val="21"/>
                      <w:highlight w:val="none"/>
                      <w:u w:val="none" w:color="auto"/>
                    </w:rPr>
                  </w:pPr>
                  <w:r>
                    <w:rPr>
                      <w:rFonts w:hint="eastAsia"/>
                      <w:color w:val="auto"/>
                      <w:sz w:val="21"/>
                      <w:szCs w:val="21"/>
                      <w:highlight w:val="none"/>
                      <w:u w:val="none" w:color="auto"/>
                    </w:rPr>
                    <w:t>1、废水：本项目生活污水经化粪池处理后排入市政管网最终进入</w:t>
                  </w:r>
                  <w:r>
                    <w:rPr>
                      <w:rFonts w:hint="eastAsia" w:ascii="宋体" w:hAnsi="宋体" w:cs="宋体"/>
                      <w:color w:val="auto"/>
                      <w:sz w:val="21"/>
                      <w:szCs w:val="21"/>
                      <w:highlight w:val="none"/>
                      <w:u w:val="none" w:color="auto"/>
                    </w:rPr>
                    <w:t>下河线污水处理厂进一步处理达标后排入湘江。</w:t>
                  </w:r>
                </w:p>
                <w:p>
                  <w:pPr>
                    <w:pStyle w:val="38"/>
                    <w:jc w:val="both"/>
                    <w:rPr>
                      <w:rFonts w:ascii="宋体" w:hAnsi="宋体" w:cs="宋体"/>
                      <w:color w:val="auto"/>
                      <w:sz w:val="21"/>
                      <w:szCs w:val="21"/>
                      <w:highlight w:val="none"/>
                      <w:u w:val="none" w:color="auto"/>
                    </w:rPr>
                  </w:pPr>
                  <w:r>
                    <w:rPr>
                      <w:rFonts w:hint="eastAsia" w:ascii="宋体" w:hAnsi="宋体" w:cs="宋体"/>
                      <w:color w:val="auto"/>
                      <w:sz w:val="21"/>
                      <w:szCs w:val="21"/>
                      <w:highlight w:val="none"/>
                      <w:u w:val="none" w:color="auto"/>
                    </w:rPr>
                    <w:t>2、废气：本项目配置了废气收集与处理净化装置，厂区废气做到达标排放。</w:t>
                  </w:r>
                </w:p>
                <w:p>
                  <w:pPr>
                    <w:pStyle w:val="38"/>
                    <w:jc w:val="both"/>
                    <w:rPr>
                      <w:rFonts w:ascii="宋体" w:hAnsi="宋体" w:cs="宋体"/>
                      <w:color w:val="auto"/>
                      <w:sz w:val="21"/>
                      <w:szCs w:val="21"/>
                      <w:highlight w:val="none"/>
                      <w:u w:val="none" w:color="auto"/>
                    </w:rPr>
                  </w:pPr>
                  <w:r>
                    <w:rPr>
                      <w:rFonts w:hint="eastAsia" w:ascii="宋体" w:hAnsi="宋体" w:cs="宋体"/>
                      <w:color w:val="auto"/>
                      <w:sz w:val="21"/>
                      <w:szCs w:val="21"/>
                      <w:highlight w:val="none"/>
                      <w:u w:val="none" w:color="auto"/>
                    </w:rPr>
                    <w:t>3、固废：本项目固体废物和生活垃圾的分类收集，危险固废应按国家有关规定综合利用或妥善处置。</w:t>
                  </w:r>
                </w:p>
              </w:tc>
              <w:tc>
                <w:tcPr>
                  <w:tcW w:w="529" w:type="pct"/>
                  <w:vAlign w:val="center"/>
                </w:tcPr>
                <w:p>
                  <w:pPr>
                    <w:pStyle w:val="38"/>
                    <w:rPr>
                      <w:color w:val="auto"/>
                      <w:sz w:val="21"/>
                      <w:szCs w:val="21"/>
                      <w:highlight w:val="none"/>
                      <w:u w:val="none" w:color="auto"/>
                    </w:rPr>
                  </w:pPr>
                  <w:r>
                    <w:rPr>
                      <w:rFonts w:hint="eastAsia"/>
                      <w:color w:val="auto"/>
                      <w:sz w:val="21"/>
                      <w:szCs w:val="21"/>
                      <w:highlight w:val="none"/>
                      <w:u w:val="non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479" w:type="pct"/>
                  <w:vAlign w:val="center"/>
                </w:tcPr>
                <w:p>
                  <w:pPr>
                    <w:pStyle w:val="38"/>
                    <w:rPr>
                      <w:color w:val="auto"/>
                      <w:sz w:val="21"/>
                      <w:szCs w:val="21"/>
                      <w:highlight w:val="none"/>
                      <w:u w:val="none" w:color="auto"/>
                    </w:rPr>
                  </w:pPr>
                  <w:r>
                    <w:rPr>
                      <w:rFonts w:hint="eastAsia"/>
                      <w:color w:val="auto"/>
                      <w:sz w:val="21"/>
                      <w:szCs w:val="21"/>
                      <w:highlight w:val="none"/>
                      <w:u w:val="none" w:color="auto"/>
                    </w:rPr>
                    <w:t>环境风险防控</w:t>
                  </w:r>
                </w:p>
              </w:tc>
              <w:tc>
                <w:tcPr>
                  <w:tcW w:w="2850" w:type="pct"/>
                  <w:vAlign w:val="center"/>
                </w:tcPr>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（3.1）经开区应建立健全环境风险防控体系，组织严格落实《永州经济技术开发区突发环境事件应急预案》的相关要求，</w:t>
                  </w:r>
                  <w:r>
                    <w:rPr>
                      <w:rFonts w:hint="eastAsia" w:ascii="宋体" w:hAnsi="宋体" w:cs="宋体"/>
                      <w:color w:val="auto"/>
                      <w:kern w:val="0"/>
                      <w:highlight w:val="none"/>
                      <w:u w:val="none" w:color="auto"/>
                    </w:rPr>
                    <w:t>加强环境风</w:t>
                  </w:r>
                  <w:r>
                    <w:rPr>
                      <w:rFonts w:hint="eastAsia" w:ascii="宋体" w:hAnsi="宋体" w:cs="宋体"/>
                      <w:color w:val="auto"/>
                      <w:highlight w:val="none"/>
                      <w:u w:val="none" w:color="auto"/>
                    </w:rPr>
                    <w:t>险事故防范和应急管理。应特别关注对重点环境风险防控企业的监管，强化对环境风险物质泄漏、废水废气非正常排放、消防废水外排等环境风险的防控。</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pStyle w:val="38"/>
                    <w:jc w:val="both"/>
                    <w:rPr>
                      <w:color w:val="auto"/>
                      <w:sz w:val="21"/>
                      <w:szCs w:val="21"/>
                      <w:highlight w:val="none"/>
                      <w:u w:val="none" w:color="auto"/>
                    </w:rPr>
                  </w:pPr>
                  <w:r>
                    <w:rPr>
                      <w:rFonts w:hint="eastAsia" w:ascii="宋体" w:hAnsi="宋体" w:cs="宋体"/>
                      <w:color w:val="auto"/>
                      <w:sz w:val="21"/>
                      <w:szCs w:val="21"/>
                      <w:highlight w:val="none"/>
                      <w:u w:val="none" w:color="auto"/>
                    </w:rPr>
                    <w:t>（3.3）排放重点污染物的建设项目，在开展环境影响评价时，要严格落实对土壤环境影响的评价内容，并提出防范土壤污染的具体措施。</w:t>
                  </w:r>
                </w:p>
              </w:tc>
              <w:tc>
                <w:tcPr>
                  <w:tcW w:w="1140" w:type="pct"/>
                  <w:vAlign w:val="center"/>
                </w:tcPr>
                <w:p>
                  <w:pPr>
                    <w:pStyle w:val="38"/>
                    <w:rPr>
                      <w:b/>
                      <w:color w:val="auto"/>
                      <w:sz w:val="21"/>
                      <w:szCs w:val="21"/>
                      <w:highlight w:val="none"/>
                      <w:u w:val="none" w:color="auto"/>
                    </w:rPr>
                  </w:pPr>
                  <w:r>
                    <w:rPr>
                      <w:rFonts w:hint="eastAsia"/>
                      <w:bCs/>
                      <w:color w:val="auto"/>
                      <w:sz w:val="21"/>
                      <w:szCs w:val="21"/>
                      <w:highlight w:val="none"/>
                      <w:u w:val="none" w:color="auto"/>
                    </w:rPr>
                    <w:t>本项目已在环评中</w:t>
                  </w:r>
                  <w:r>
                    <w:rPr>
                      <w:rFonts w:hint="eastAsia" w:ascii="宋体" w:hAnsi="宋体" w:cs="宋体"/>
                      <w:bCs/>
                      <w:color w:val="auto"/>
                      <w:sz w:val="21"/>
                      <w:szCs w:val="21"/>
                      <w:highlight w:val="none"/>
                      <w:u w:val="none" w:color="auto"/>
                    </w:rPr>
                    <w:t>落实对土壤环境影响的评价内容，并提出防范土壤污染的具体措施。</w:t>
                  </w:r>
                </w:p>
              </w:tc>
              <w:tc>
                <w:tcPr>
                  <w:tcW w:w="529" w:type="pct"/>
                  <w:vAlign w:val="center"/>
                </w:tcPr>
                <w:p>
                  <w:pPr>
                    <w:pStyle w:val="38"/>
                    <w:rPr>
                      <w:color w:val="auto"/>
                      <w:sz w:val="21"/>
                      <w:szCs w:val="21"/>
                      <w:highlight w:val="none"/>
                      <w:u w:val="none" w:color="auto"/>
                    </w:rPr>
                  </w:pPr>
                  <w:r>
                    <w:rPr>
                      <w:rFonts w:hint="eastAsia"/>
                      <w:color w:val="auto"/>
                      <w:sz w:val="21"/>
                      <w:szCs w:val="21"/>
                      <w:highlight w:val="none"/>
                      <w:u w:val="non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479" w:type="pct"/>
                  <w:vAlign w:val="center"/>
                </w:tcPr>
                <w:p>
                  <w:pPr>
                    <w:pStyle w:val="38"/>
                    <w:rPr>
                      <w:color w:val="auto"/>
                      <w:sz w:val="21"/>
                      <w:szCs w:val="21"/>
                      <w:highlight w:val="none"/>
                      <w:u w:val="none" w:color="auto"/>
                    </w:rPr>
                  </w:pPr>
                  <w:r>
                    <w:rPr>
                      <w:rFonts w:hint="eastAsia"/>
                      <w:color w:val="auto"/>
                      <w:sz w:val="21"/>
                      <w:szCs w:val="21"/>
                      <w:highlight w:val="none"/>
                      <w:u w:val="none" w:color="auto"/>
                    </w:rPr>
                    <w:t>资源开发效率要求</w:t>
                  </w:r>
                </w:p>
              </w:tc>
              <w:tc>
                <w:tcPr>
                  <w:tcW w:w="2850" w:type="pct"/>
                  <w:vAlign w:val="center"/>
                </w:tcPr>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（4.1）能源：</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（4.1.1）经开区位于永州市人民政府划定的高污染燃料禁燃区内，严格执行禁燃区有关要求。经开区内不得燃用中、高硫煤；积极推广清洁能源，北部片区实施集中供热，南部片区加快集中供热设施建设。</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4.1.2）2020年高科园（北片区）综合能源消费量预测当量值为13521.29吨标煤，单位工业增加值能耗预测值为0.025吨标煤/万元；到2025年，高科园能源消费强度控制在0.021吨标煤/万元，能源消费增量控制在1.05万吨标煤（当量值）以内，能源消费总量控制在24000.39吨标煤（当量值）以内。2020年，长丰工业园（南片区）年综合能源消费量预测值为313927.77吨标煤（当量值），单位GDP能耗预测值为0.227吨标煤/万元；2025年，长丰工业园年综合能源消费量预测值为362165.11吨标煤（当量值），单位GDP能耗预测值为0.188吨标煤/万元。</w:t>
                  </w:r>
                </w:p>
                <w:p>
                  <w:pPr>
                    <w:tabs>
                      <w:tab w:val="left" w:pos="1021"/>
                    </w:tabs>
                    <w:spacing w:line="300" w:lineRule="exact"/>
                    <w:rPr>
                      <w:rFonts w:ascii="宋体" w:hAnsi="宋体" w:cs="宋体"/>
                      <w:color w:val="auto"/>
                      <w:highlight w:val="none"/>
                      <w:u w:val="none" w:color="auto"/>
                    </w:rPr>
                  </w:pPr>
                  <w:r>
                    <w:rPr>
                      <w:rFonts w:hint="eastAsia" w:ascii="宋体" w:hAnsi="宋体" w:cs="宋体"/>
                      <w:color w:val="auto"/>
                      <w:highlight w:val="none"/>
                      <w:u w:val="none" w:color="auto"/>
                    </w:rPr>
                    <w:t>（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2020年，经开区全区年用水总量控制在7076万立方米以内，万元国内生产总值用水量、万元工业增加值用水量分别比2015年降低30%和25%。</w:t>
                  </w:r>
                </w:p>
                <w:p>
                  <w:pPr>
                    <w:pStyle w:val="38"/>
                    <w:snapToGrid/>
                    <w:jc w:val="both"/>
                    <w:rPr>
                      <w:color w:val="auto"/>
                      <w:sz w:val="21"/>
                      <w:szCs w:val="21"/>
                      <w:highlight w:val="none"/>
                      <w:u w:val="none" w:color="auto"/>
                    </w:rPr>
                  </w:pPr>
                  <w:r>
                    <w:rPr>
                      <w:rFonts w:hint="eastAsia" w:ascii="宋体" w:hAnsi="宋体" w:cs="宋体"/>
                      <w:color w:val="auto"/>
                      <w:sz w:val="21"/>
                      <w:szCs w:val="21"/>
                      <w:highlight w:val="none"/>
                      <w:u w:val="none" w:color="auto"/>
                    </w:rPr>
                    <w:t>（4.3）土地资源：新引入园的项目，投资强度须达到150万元/亩以上且固定资产投资总额5000万元以上。鼓励固定资产实际投资额5000 万元以下或固定资产投资强度在150 万元/亩以下的项目入驻标准厂房，原则上不单独供地。</w:t>
                  </w:r>
                </w:p>
              </w:tc>
              <w:tc>
                <w:tcPr>
                  <w:tcW w:w="1140" w:type="pct"/>
                  <w:vAlign w:val="center"/>
                </w:tcPr>
                <w:p>
                  <w:pPr>
                    <w:pStyle w:val="38"/>
                    <w:rPr>
                      <w:color w:val="auto"/>
                      <w:sz w:val="21"/>
                      <w:szCs w:val="21"/>
                      <w:highlight w:val="none"/>
                      <w:u w:val="none" w:color="auto"/>
                    </w:rPr>
                  </w:pPr>
                  <w:r>
                    <w:rPr>
                      <w:rFonts w:hint="eastAsia"/>
                      <w:color w:val="auto"/>
                      <w:sz w:val="21"/>
                      <w:szCs w:val="21"/>
                      <w:highlight w:val="none"/>
                      <w:u w:val="none" w:color="auto"/>
                    </w:rPr>
                    <w:t>本项目不涉及</w:t>
                  </w:r>
                  <w:r>
                    <w:rPr>
                      <w:rFonts w:hint="eastAsia" w:ascii="宋体" w:hAnsi="宋体" w:cs="宋体"/>
                      <w:color w:val="auto"/>
                      <w:sz w:val="21"/>
                      <w:szCs w:val="21"/>
                      <w:highlight w:val="none"/>
                      <w:u w:val="none" w:color="auto"/>
                    </w:rPr>
                    <w:t>中、高硫煤的使用</w:t>
                  </w:r>
                  <w:r>
                    <w:rPr>
                      <w:rFonts w:hint="eastAsia"/>
                      <w:color w:val="auto"/>
                      <w:sz w:val="21"/>
                      <w:szCs w:val="21"/>
                      <w:highlight w:val="none"/>
                      <w:u w:val="none" w:color="auto"/>
                    </w:rPr>
                    <w:t>；本项目已落实提高</w:t>
                  </w:r>
                  <w:r>
                    <w:rPr>
                      <w:rFonts w:hint="eastAsia" w:ascii="宋体" w:hAnsi="宋体" w:cs="宋体"/>
                      <w:color w:val="auto"/>
                      <w:sz w:val="21"/>
                      <w:szCs w:val="21"/>
                      <w:highlight w:val="none"/>
                      <w:u w:val="none" w:color="auto"/>
                    </w:rPr>
                    <w:t>水资源重复利用率，且落实了提高土地利用率。</w:t>
                  </w:r>
                </w:p>
              </w:tc>
              <w:tc>
                <w:tcPr>
                  <w:tcW w:w="529" w:type="pct"/>
                  <w:vAlign w:val="center"/>
                </w:tcPr>
                <w:p>
                  <w:pPr>
                    <w:pStyle w:val="38"/>
                    <w:rPr>
                      <w:color w:val="auto"/>
                      <w:sz w:val="21"/>
                      <w:szCs w:val="21"/>
                      <w:highlight w:val="none"/>
                      <w:u w:val="none" w:color="auto"/>
                    </w:rPr>
                  </w:pPr>
                  <w:r>
                    <w:rPr>
                      <w:rFonts w:hint="eastAsia"/>
                      <w:color w:val="auto"/>
                      <w:sz w:val="21"/>
                      <w:szCs w:val="21"/>
                      <w:highlight w:val="none"/>
                      <w:u w:val="none" w:color="auto"/>
                    </w:rPr>
                    <w:t>符合</w:t>
                  </w:r>
                </w:p>
              </w:tc>
            </w:tr>
          </w:tbl>
          <w:p>
            <w:pPr>
              <w:pStyle w:val="37"/>
              <w:jc w:val="both"/>
              <w:rPr>
                <w:rFonts w:hint="eastAsia"/>
                <w:color w:val="auto"/>
                <w:sz w:val="24"/>
                <w:szCs w:val="24"/>
                <w:highlight w:val="none"/>
                <w:u w:val="none" w:color="auto"/>
                <w:lang w:val="en-US" w:eastAsia="zh-CN"/>
              </w:rPr>
            </w:pPr>
            <w:r>
              <w:rPr>
                <w:rFonts w:hint="eastAsia"/>
                <w:color w:val="auto"/>
                <w:sz w:val="24"/>
                <w:szCs w:val="24"/>
                <w:highlight w:val="none"/>
                <w:u w:val="none" w:color="auto"/>
                <w:lang w:val="en-US" w:eastAsia="zh-CN"/>
              </w:rPr>
              <w:t>4、与《“十三五”挥发性有机物污染防治工作方案》的相符性分析</w:t>
            </w:r>
          </w:p>
          <w:p>
            <w:pPr>
              <w:pStyle w:val="37"/>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表1-4  《“十三五”挥发性有机物污染防治工作方案》</w:t>
            </w:r>
          </w:p>
          <w:tbl>
            <w:tblPr>
              <w:tblStyle w:val="27"/>
              <w:tblW w:w="6741"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59"/>
              <w:gridCol w:w="1875"/>
              <w:gridCol w:w="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6" w:type="dxa"/>
                  <w:tcBorders>
                    <w:tl2br w:val="nil"/>
                    <w:tr2bl w:val="nil"/>
                  </w:tcBorders>
                </w:tcPr>
                <w:p>
                  <w:pPr>
                    <w:pStyle w:val="37"/>
                    <w:spacing w:line="240" w:lineRule="auto"/>
                    <w:jc w:val="center"/>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序号</w:t>
                  </w:r>
                </w:p>
              </w:tc>
              <w:tc>
                <w:tcPr>
                  <w:tcW w:w="3259" w:type="dxa"/>
                  <w:tcBorders>
                    <w:tl2br w:val="nil"/>
                    <w:tr2bl w:val="nil"/>
                  </w:tcBorders>
                </w:tcPr>
                <w:p>
                  <w:pPr>
                    <w:pStyle w:val="37"/>
                    <w:spacing w:line="24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相关内容摘要</w:t>
                  </w:r>
                </w:p>
              </w:tc>
              <w:tc>
                <w:tcPr>
                  <w:tcW w:w="1875" w:type="dxa"/>
                  <w:tcBorders>
                    <w:tl2br w:val="nil"/>
                    <w:tr2bl w:val="nil"/>
                  </w:tcBorders>
                </w:tcPr>
                <w:p>
                  <w:pPr>
                    <w:pStyle w:val="37"/>
                    <w:spacing w:line="24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项目建设情况</w:t>
                  </w:r>
                </w:p>
              </w:tc>
              <w:tc>
                <w:tcPr>
                  <w:tcW w:w="891" w:type="dxa"/>
                  <w:tcBorders>
                    <w:tl2br w:val="nil"/>
                    <w:tr2bl w:val="nil"/>
                  </w:tcBorders>
                </w:tcPr>
                <w:p>
                  <w:pPr>
                    <w:pStyle w:val="37"/>
                    <w:spacing w:line="24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1</w:t>
                  </w:r>
                </w:p>
              </w:tc>
              <w:tc>
                <w:tcPr>
                  <w:tcW w:w="3259" w:type="dxa"/>
                  <w:tcBorders>
                    <w:tl2br w:val="nil"/>
                    <w:tr2bl w:val="nil"/>
                  </w:tcBorders>
                </w:tcPr>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rPr>
                    <w:t>提高VOCs排放重点行业环保准入门槛，严格控制新增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1875" w:type="dxa"/>
                  <w:tcBorders>
                    <w:tl2br w:val="nil"/>
                    <w:tr2bl w:val="nil"/>
                  </w:tcBorders>
                </w:tcPr>
                <w:p>
                  <w:pPr>
                    <w:pStyle w:val="37"/>
                    <w:spacing w:line="240" w:lineRule="auto"/>
                    <w:jc w:val="both"/>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shd w:val="clear"/>
                      <w:lang w:val="en-US" w:eastAsia="zh-CN"/>
                    </w:rPr>
                    <w:t>本项目建设位于</w:t>
                  </w:r>
                  <w:r>
                    <w:rPr>
                      <w:rFonts w:hint="eastAsia"/>
                      <w:b w:val="0"/>
                      <w:bCs/>
                      <w:color w:val="auto"/>
                      <w:sz w:val="21"/>
                      <w:szCs w:val="21"/>
                      <w:highlight w:val="none"/>
                      <w:u w:val="none" w:color="auto"/>
                      <w:shd w:val="clear"/>
                    </w:rPr>
                    <w:t>永州经济技术开发区锦络电子工业园3号栋1-3楼</w:t>
                  </w:r>
                  <w:r>
                    <w:rPr>
                      <w:rFonts w:hint="eastAsia"/>
                      <w:b w:val="0"/>
                      <w:bCs/>
                      <w:color w:val="auto"/>
                      <w:sz w:val="21"/>
                      <w:szCs w:val="21"/>
                      <w:highlight w:val="none"/>
                      <w:u w:val="none" w:color="auto"/>
                      <w:shd w:val="clear"/>
                      <w:lang w:eastAsia="zh-CN"/>
                    </w:rPr>
                    <w:t>，</w:t>
                  </w:r>
                  <w:r>
                    <w:rPr>
                      <w:rFonts w:hint="eastAsia"/>
                      <w:b w:val="0"/>
                      <w:bCs/>
                      <w:color w:val="auto"/>
                      <w:sz w:val="21"/>
                      <w:szCs w:val="21"/>
                      <w:highlight w:val="none"/>
                      <w:u w:val="none" w:color="auto"/>
                      <w:shd w:val="clear"/>
                      <w:lang w:val="en-US" w:eastAsia="zh-CN"/>
                    </w:rPr>
                    <w:t>为入园项目。项目焊锡、含浸、烘干、点胶废气经收集后通过管道引至楼顶，由同一套二级活性炭吸附装置处理后高空排放。</w:t>
                  </w:r>
                </w:p>
              </w:tc>
              <w:tc>
                <w:tcPr>
                  <w:tcW w:w="891" w:type="dxa"/>
                  <w:tcBorders>
                    <w:tl2br w:val="nil"/>
                    <w:tr2bl w:val="nil"/>
                  </w:tcBorders>
                </w:tcPr>
                <w:p>
                  <w:pPr>
                    <w:pStyle w:val="37"/>
                    <w:spacing w:line="240" w:lineRule="auto"/>
                    <w:jc w:val="both"/>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w:t>
                  </w:r>
                </w:p>
              </w:tc>
              <w:tc>
                <w:tcPr>
                  <w:tcW w:w="3259" w:type="dxa"/>
                  <w:tcBorders>
                    <w:tl2br w:val="nil"/>
                    <w:tr2bl w:val="nil"/>
                  </w:tcBorders>
                </w:tcPr>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rPr>
                    <w:t>加大制药、农药、煤化工（含现代煤化工、炼焦、合成氨等)、橡胶制品、涂料、油墨、胶粘剂、染料、化学助剂（塑料助剂和橡</w:t>
                  </w:r>
                </w:p>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rPr>
                    <w:t>胶助剂&gt;、日用化工等化工行业vOCs治理力度。推广使用低(无)voCs含量、低反诚活性的原辅材料和产品。参照石化行业vocs治理任务要求,全面推讲化工企业设备动静密封点、储存、装卸、废水系统、有组织工艺废气和非正常工况等源项整治。现代煤化工行业全面实施LDAR,制药、农药、炼焦、涂料、油墨、胶粘剂、染料等行业逐步推广LDAR工作。加强无组织废气排放控制，含VOCs物料的储存、输送、投料、卸料,涉及voCs物料的生产及含voCs产品分装等过程盛密闭操作。反应尾气、蒸馏装置不凝尾气等工艺排气，工艺容器的置换气、吹扫气、抽真空排气等应进行收集治理。</w:t>
                  </w:r>
                </w:p>
              </w:tc>
              <w:tc>
                <w:tcPr>
                  <w:tcW w:w="1875" w:type="dxa"/>
                  <w:tcBorders>
                    <w:tl2br w:val="nil"/>
                    <w:tr2bl w:val="nil"/>
                  </w:tcBorders>
                </w:tcPr>
                <w:p>
                  <w:pPr>
                    <w:pStyle w:val="37"/>
                    <w:numPr>
                      <w:ilvl w:val="0"/>
                      <w:numId w:val="2"/>
                    </w:numPr>
                    <w:spacing w:line="240" w:lineRule="auto"/>
                    <w:jc w:val="both"/>
                    <w:rPr>
                      <w:rFonts w:hint="eastAsia"/>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项目使用低挥发分原辅料；</w:t>
                  </w:r>
                </w:p>
                <w:p>
                  <w:pPr>
                    <w:pStyle w:val="37"/>
                    <w:numPr>
                      <w:ilvl w:val="0"/>
                      <w:numId w:val="2"/>
                    </w:numPr>
                    <w:spacing w:line="240" w:lineRule="auto"/>
                    <w:jc w:val="both"/>
                    <w:rPr>
                      <w:rFonts w:hint="default"/>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shd w:val="clear"/>
                      <w:lang w:val="en-US" w:eastAsia="zh-CN"/>
                    </w:rPr>
                    <w:t>项目焊锡、含浸、烘干、点胶废气经收集后通过管道引至楼顶，由同一套二级活性炭吸附装置处理后高空排放。</w:t>
                  </w:r>
                </w:p>
              </w:tc>
              <w:tc>
                <w:tcPr>
                  <w:tcW w:w="891" w:type="dxa"/>
                  <w:tcBorders>
                    <w:tl2br w:val="nil"/>
                    <w:tr2bl w:val="nil"/>
                  </w:tcBorders>
                </w:tcPr>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3</w:t>
                  </w:r>
                </w:p>
              </w:tc>
              <w:tc>
                <w:tcPr>
                  <w:tcW w:w="3259" w:type="dxa"/>
                  <w:tcBorders>
                    <w:tl2br w:val="nil"/>
                    <w:tr2bl w:val="nil"/>
                  </w:tcBorders>
                </w:tcPr>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rPr>
                    <w:t>将石化、化工、包装印刷、工业涂装等VOCs排放重点源纳入重点排污单位名录，主要排污口要安装污染物排放自动监测设备，并与环保部门联网，其他企业逐步配备自动监测设备或便携式voCs检测仪。推进VOCs重点排</w:t>
                  </w:r>
                </w:p>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rPr>
                    <w:t>放源厂界VOCs监测。</w:t>
                  </w:r>
                </w:p>
              </w:tc>
              <w:tc>
                <w:tcPr>
                  <w:tcW w:w="1875" w:type="dxa"/>
                  <w:tcBorders>
                    <w:tl2br w:val="nil"/>
                    <w:tr2bl w:val="nil"/>
                  </w:tcBorders>
                </w:tcPr>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rPr>
                    <w:t>根据湖南省VOCs污染防治三年实施方案，项目风量在5万立方米/小时以下，无需要安装在线VOCs监测设备，项目最大风量为</w:t>
                  </w:r>
                  <w:r>
                    <w:rPr>
                      <w:rFonts w:hint="eastAsia"/>
                      <w:b w:val="0"/>
                      <w:bCs/>
                      <w:color w:val="auto"/>
                      <w:sz w:val="21"/>
                      <w:szCs w:val="21"/>
                      <w:highlight w:val="none"/>
                      <w:u w:val="none" w:color="auto"/>
                      <w:vertAlign w:val="baseline"/>
                      <w:lang w:val="en-US" w:eastAsia="zh-CN"/>
                    </w:rPr>
                    <w:t>3</w:t>
                  </w:r>
                  <w:r>
                    <w:rPr>
                      <w:rFonts w:hint="eastAsia"/>
                      <w:b w:val="0"/>
                      <w:bCs/>
                      <w:color w:val="auto"/>
                      <w:sz w:val="21"/>
                      <w:szCs w:val="21"/>
                      <w:highlight w:val="none"/>
                      <w:u w:val="none" w:color="auto"/>
                      <w:vertAlign w:val="baseline"/>
                    </w:rPr>
                    <w:t>000立方米/小时，故无需安装在线监测设备。</w:t>
                  </w:r>
                </w:p>
              </w:tc>
              <w:tc>
                <w:tcPr>
                  <w:tcW w:w="891" w:type="dxa"/>
                  <w:tcBorders>
                    <w:tl2br w:val="nil"/>
                    <w:tr2bl w:val="nil"/>
                  </w:tcBorders>
                </w:tcPr>
                <w:p>
                  <w:pPr>
                    <w:pStyle w:val="37"/>
                    <w:spacing w:line="240" w:lineRule="auto"/>
                    <w:jc w:val="both"/>
                    <w:rPr>
                      <w:rFonts w:hint="eastAsia"/>
                      <w:b w:val="0"/>
                      <w:bCs/>
                      <w:color w:val="auto"/>
                      <w:sz w:val="21"/>
                      <w:szCs w:val="21"/>
                      <w:highlight w:val="none"/>
                      <w:u w:val="none" w:color="auto"/>
                      <w:vertAlign w:val="baseline"/>
                    </w:rPr>
                  </w:pPr>
                  <w:r>
                    <w:rPr>
                      <w:rFonts w:hint="eastAsia"/>
                      <w:b w:val="0"/>
                      <w:bCs/>
                      <w:color w:val="auto"/>
                      <w:sz w:val="21"/>
                      <w:szCs w:val="21"/>
                      <w:highlight w:val="none"/>
                      <w:u w:val="none" w:color="auto"/>
                      <w:vertAlign w:val="baseline"/>
                      <w:lang w:val="en-US" w:eastAsia="zh-CN"/>
                    </w:rPr>
                    <w:t>符合</w:t>
                  </w:r>
                </w:p>
              </w:tc>
            </w:tr>
          </w:tbl>
          <w:p>
            <w:pPr>
              <w:pStyle w:val="37"/>
              <w:jc w:val="both"/>
              <w:rPr>
                <w:rFonts w:hint="eastAsia"/>
                <w:color w:val="auto"/>
                <w:sz w:val="24"/>
                <w:szCs w:val="24"/>
                <w:highlight w:val="none"/>
                <w:u w:val="none" w:color="auto"/>
                <w:lang w:val="en-US" w:eastAsia="zh-CN"/>
              </w:rPr>
            </w:pPr>
            <w:r>
              <w:rPr>
                <w:rFonts w:hint="eastAsia"/>
                <w:color w:val="auto"/>
                <w:sz w:val="24"/>
                <w:szCs w:val="24"/>
                <w:highlight w:val="none"/>
                <w:u w:val="none" w:color="auto"/>
                <w:lang w:val="en-US" w:eastAsia="zh-CN"/>
              </w:rPr>
              <w:t>5、与《挥发性有机物(voCs）污染防治技术政策》(环保部2013年31号公告）的相符性分析</w:t>
            </w:r>
          </w:p>
          <w:p>
            <w:pPr>
              <w:pStyle w:val="37"/>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表1-4 《挥发性有机物(voCs）污染防治技术政策》</w:t>
            </w:r>
          </w:p>
          <w:tbl>
            <w:tblPr>
              <w:tblStyle w:val="27"/>
              <w:tblW w:w="6741"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771"/>
              <w:gridCol w:w="2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3"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序号</w:t>
                  </w:r>
                </w:p>
              </w:tc>
              <w:tc>
                <w:tcPr>
                  <w:tcW w:w="3771"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项目</w:t>
                  </w:r>
                </w:p>
              </w:tc>
              <w:tc>
                <w:tcPr>
                  <w:tcW w:w="2247"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41" w:type="dxa"/>
                  <w:gridSpan w:val="3"/>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末端治理与综合利用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3"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1</w:t>
                  </w:r>
                </w:p>
              </w:tc>
              <w:tc>
                <w:tcPr>
                  <w:tcW w:w="3771" w:type="dxa"/>
                  <w:tcBorders>
                    <w:tl2br w:val="nil"/>
                    <w:tr2bl w:val="nil"/>
                  </w:tcBorders>
                </w:tcPr>
                <w:p>
                  <w:pPr>
                    <w:pStyle w:val="37"/>
                    <w:spacing w:line="240" w:lineRule="auto"/>
                    <w:jc w:val="center"/>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在工业生产过程中鼓励voCs的回收利用，并优先鼓励在生产系统内回用</w:t>
                  </w:r>
                </w:p>
              </w:tc>
              <w:tc>
                <w:tcPr>
                  <w:tcW w:w="2247"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w:t>
                  </w:r>
                </w:p>
              </w:tc>
              <w:tc>
                <w:tcPr>
                  <w:tcW w:w="3771"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247"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项目废气采用“二级活性炭吸附装置处理”，能实现达标排放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3"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3</w:t>
                  </w:r>
                </w:p>
              </w:tc>
              <w:tc>
                <w:tcPr>
                  <w:tcW w:w="3771"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对于不能再生的过滤材料、吸附剂等净化材料，应按照国家固体废物管理的相关规定处理处置</w:t>
                  </w:r>
                </w:p>
              </w:tc>
              <w:tc>
                <w:tcPr>
                  <w:tcW w:w="2247"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废活性炭委托有资质单位处理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41" w:type="dxa"/>
                  <w:gridSpan w:val="3"/>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运行与监测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3" w:type="dxa"/>
                  <w:tcBorders>
                    <w:tl2br w:val="nil"/>
                    <w:tr2bl w:val="nil"/>
                  </w:tcBorders>
                </w:tcPr>
                <w:p>
                  <w:pPr>
                    <w:pStyle w:val="37"/>
                    <w:spacing w:line="240" w:lineRule="auto"/>
                    <w:jc w:val="center"/>
                    <w:rPr>
                      <w:rFonts w:hint="default"/>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1</w:t>
                  </w:r>
                </w:p>
              </w:tc>
              <w:tc>
                <w:tcPr>
                  <w:tcW w:w="3771"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鼓励企业自行开展VOCs监测，并及时主动向当地环保行政主管部门报送监测结果。</w:t>
                  </w:r>
                </w:p>
              </w:tc>
              <w:tc>
                <w:tcPr>
                  <w:tcW w:w="2247" w:type="dxa"/>
                  <w:tcBorders>
                    <w:tl2br w:val="nil"/>
                    <w:tr2bl w:val="nil"/>
                  </w:tcBorders>
                </w:tcPr>
                <w:p>
                  <w:pPr>
                    <w:pStyle w:val="37"/>
                    <w:spacing w:line="240" w:lineRule="auto"/>
                    <w:jc w:val="both"/>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建议企业自行开展VOCs监测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3" w:type="dxa"/>
                  <w:tcBorders>
                    <w:tl2br w:val="nil"/>
                    <w:tr2bl w:val="nil"/>
                  </w:tcBorders>
                </w:tcPr>
                <w:p>
                  <w:pPr>
                    <w:pStyle w:val="37"/>
                    <w:spacing w:line="240" w:lineRule="auto"/>
                    <w:jc w:val="center"/>
                    <w:rPr>
                      <w:rFonts w:hint="default"/>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w:t>
                  </w:r>
                </w:p>
              </w:tc>
              <w:tc>
                <w:tcPr>
                  <w:tcW w:w="3771"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企业应建立健全VoCs治理设施的运行维护规程和台账等日常管理制度，并根据工艺要求定期对各类设备、电气、自控仪表等进行检修维护，确保设施的稳定运行。</w:t>
                  </w:r>
                </w:p>
              </w:tc>
              <w:tc>
                <w:tcPr>
                  <w:tcW w:w="2247"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企业应按规定进行日常管理</w:t>
                  </w:r>
                </w:p>
              </w:tc>
            </w:tr>
          </w:tbl>
          <w:p>
            <w:pPr>
              <w:pStyle w:val="37"/>
              <w:jc w:val="both"/>
              <w:rPr>
                <w:rFonts w:hint="eastAsia" w:eastAsia="宋体"/>
                <w:color w:val="auto"/>
                <w:sz w:val="24"/>
                <w:szCs w:val="24"/>
                <w:highlight w:val="none"/>
                <w:u w:val="none" w:color="auto"/>
                <w:lang w:val="en-US" w:eastAsia="zh-CN"/>
              </w:rPr>
            </w:pPr>
            <w:r>
              <w:rPr>
                <w:rFonts w:hint="eastAsia" w:eastAsia="宋体"/>
                <w:color w:val="auto"/>
                <w:sz w:val="24"/>
                <w:szCs w:val="24"/>
                <w:highlight w:val="none"/>
                <w:u w:val="none" w:color="auto"/>
                <w:lang w:val="en-US" w:eastAsia="zh-CN"/>
              </w:rPr>
              <w:t>4、与《湖南省voCs污染防治三年实施方案》的相符性分析</w:t>
            </w:r>
          </w:p>
          <w:p>
            <w:pPr>
              <w:pStyle w:val="37"/>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表1-5《湖南省voCs污染防治三年实施方案》</w:t>
            </w:r>
          </w:p>
          <w:tbl>
            <w:tblPr>
              <w:tblStyle w:val="27"/>
              <w:tblW w:w="6741"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050"/>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6"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序号</w:t>
                  </w:r>
                </w:p>
              </w:tc>
              <w:tc>
                <w:tcPr>
                  <w:tcW w:w="4050"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项目</w:t>
                  </w:r>
                </w:p>
              </w:tc>
              <w:tc>
                <w:tcPr>
                  <w:tcW w:w="1805"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6"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1</w:t>
                  </w:r>
                </w:p>
              </w:tc>
              <w:tc>
                <w:tcPr>
                  <w:tcW w:w="4050"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严格执行voCs重点行业相关产业政策，全面落实国家及我省有关产业准入标准、淘汰落后生产工艺装备和产品指导目录，优先将VOCs排放类落后产能纳入各地产业结构调整计划，加快淘汰落后产品、技术和工艺装备。</w:t>
                  </w:r>
                </w:p>
                <w:p>
                  <w:pPr>
                    <w:pStyle w:val="37"/>
                    <w:spacing w:line="240" w:lineRule="auto"/>
                    <w:jc w:val="center"/>
                    <w:rPr>
                      <w:rFonts w:hint="eastAsia" w:eastAsia="宋体"/>
                      <w:b w:val="0"/>
                      <w:bCs/>
                      <w:color w:val="auto"/>
                      <w:sz w:val="21"/>
                      <w:szCs w:val="21"/>
                      <w:highlight w:val="none"/>
                      <w:u w:val="none" w:color="auto"/>
                      <w:vertAlign w:val="baseline"/>
                      <w:lang w:val="en-US" w:eastAsia="zh-CN"/>
                    </w:rPr>
                  </w:pPr>
                </w:p>
              </w:tc>
              <w:tc>
                <w:tcPr>
                  <w:tcW w:w="1805"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本项目为电感制造项目，属于《产业结构调整指导目录》(2019年本）</w:t>
                  </w:r>
                  <w:r>
                    <w:rPr>
                      <w:rFonts w:hint="eastAsia"/>
                      <w:b w:val="0"/>
                      <w:bCs/>
                      <w:color w:val="auto"/>
                      <w:sz w:val="21"/>
                      <w:szCs w:val="21"/>
                      <w:highlight w:val="none"/>
                      <w:u w:val="none" w:color="auto"/>
                      <w:vertAlign w:val="baseline"/>
                      <w:lang w:val="en-US" w:eastAsia="zh-CN"/>
                    </w:rPr>
                    <w:t>（2021年修订）</w:t>
                  </w:r>
                  <w:r>
                    <w:rPr>
                      <w:rFonts w:hint="eastAsia" w:eastAsia="宋体"/>
                      <w:b w:val="0"/>
                      <w:bCs/>
                      <w:color w:val="auto"/>
                      <w:sz w:val="21"/>
                      <w:szCs w:val="21"/>
                      <w:highlight w:val="none"/>
                      <w:u w:val="none" w:color="auto"/>
                      <w:vertAlign w:val="baseline"/>
                      <w:lang w:val="en-US" w:eastAsia="zh-CN"/>
                    </w:rPr>
                    <w:t>中允许类项目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6" w:type="dxa"/>
                  <w:tcBorders>
                    <w:tl2br w:val="nil"/>
                    <w:tr2bl w:val="nil"/>
                  </w:tcBorders>
                </w:tcPr>
                <w:p>
                  <w:pPr>
                    <w:pStyle w:val="37"/>
                    <w:spacing w:line="24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w:t>
                  </w:r>
                </w:p>
              </w:tc>
              <w:tc>
                <w:tcPr>
                  <w:tcW w:w="4050" w:type="dxa"/>
                  <w:tcBorders>
                    <w:tl2br w:val="nil"/>
                    <w:tr2bl w:val="nil"/>
                  </w:tcBorders>
                </w:tcPr>
                <w:p>
                  <w:pPr>
                    <w:pStyle w:val="37"/>
                    <w:spacing w:line="240" w:lineRule="auto"/>
                    <w:jc w:val="both"/>
                    <w:rPr>
                      <w:rFonts w:hint="eastAsia"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因地制宜推进其他工业行业 voCs综合治理。各市区应结合本区产业结构特征和voCs治理重点，因地制宜选择其他工业行业开展VoCs治理。制鞋行业应重点加强鞋面拼接、成型、组底、喷漆、发泡、注塑、印刷、清洗等工序voCS排放治理;纺织印染行业应重点加强化纤纺丝、热定型、涂层等工序VOCs排放治理。</w:t>
                  </w:r>
                </w:p>
              </w:tc>
              <w:tc>
                <w:tcPr>
                  <w:tcW w:w="1805" w:type="dxa"/>
                  <w:tcBorders>
                    <w:tl2br w:val="nil"/>
                    <w:tr2bl w:val="nil"/>
                  </w:tcBorders>
                </w:tcPr>
                <w:p>
                  <w:pPr>
                    <w:pStyle w:val="37"/>
                    <w:spacing w:line="240" w:lineRule="auto"/>
                    <w:jc w:val="both"/>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项目采用低VOCs含量原辅材料，废气采用“二级活性炭吸附装置处理”，能实现达标排放</w:t>
                  </w:r>
                </w:p>
              </w:tc>
            </w:tr>
          </w:tbl>
          <w:p>
            <w:pPr>
              <w:pStyle w:val="37"/>
              <w:jc w:val="both"/>
              <w:rPr>
                <w:rFonts w:hint="eastAsia" w:eastAsia="宋体"/>
                <w:color w:val="auto"/>
                <w:sz w:val="21"/>
                <w:szCs w:val="21"/>
                <w:highlight w:val="none"/>
                <w:u w:val="none" w:color="auto"/>
                <w:lang w:val="en-US" w:eastAsia="zh-CN"/>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pStyle w:val="37"/>
              <w:rPr>
                <w:rFonts w:hint="eastAsia"/>
                <w:color w:val="auto"/>
                <w:sz w:val="21"/>
                <w:szCs w:val="21"/>
                <w:highlight w:val="none"/>
                <w:u w:val="none" w:color="auto"/>
              </w:rPr>
            </w:pPr>
          </w:p>
          <w:p>
            <w:pPr>
              <w:jc w:val="center"/>
              <w:rPr>
                <w:color w:val="auto"/>
                <w:kern w:val="0"/>
                <w:sz w:val="24"/>
                <w:szCs w:val="24"/>
                <w:highlight w:val="none"/>
                <w:u w:val="none" w:color="auto"/>
              </w:rPr>
            </w:pPr>
          </w:p>
        </w:tc>
      </w:tr>
    </w:tbl>
    <w:p>
      <w:pPr>
        <w:pStyle w:val="2"/>
        <w:rPr>
          <w:color w:val="auto"/>
          <w:kern w:val="2"/>
          <w:sz w:val="24"/>
          <w:highlight w:val="none"/>
          <w:u w:val="none" w:color="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4"/>
        <w:spacing w:before="0" w:after="0" w:line="360" w:lineRule="auto"/>
        <w:jc w:val="center"/>
        <w:rPr>
          <w:color w:val="auto"/>
          <w:sz w:val="32"/>
          <w:highlight w:val="none"/>
          <w:u w:val="none" w:color="auto"/>
        </w:rPr>
      </w:pPr>
      <w:bookmarkStart w:id="4" w:name="_Toc28910_WPSOffice_Level1"/>
      <w:r>
        <w:rPr>
          <w:rFonts w:hint="eastAsia"/>
          <w:color w:val="auto"/>
          <w:sz w:val="32"/>
          <w:highlight w:val="none"/>
          <w:u w:val="none" w:color="auto"/>
        </w:rPr>
        <w:t>二、建设项目工程分析</w:t>
      </w:r>
      <w:bookmarkEnd w:id="4"/>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55" w:hRule="atLeast"/>
          <w:jc w:val="center"/>
        </w:trPr>
        <w:tc>
          <w:tcPr>
            <w:tcW w:w="1235" w:type="dxa"/>
            <w:vAlign w:val="center"/>
          </w:tcPr>
          <w:p>
            <w:pPr>
              <w:jc w:val="center"/>
              <w:rPr>
                <w:color w:val="auto"/>
                <w:kern w:val="0"/>
                <w:sz w:val="24"/>
                <w:szCs w:val="24"/>
                <w:highlight w:val="none"/>
                <w:u w:val="none" w:color="auto"/>
              </w:rPr>
            </w:pPr>
            <w:r>
              <w:rPr>
                <w:rFonts w:hint="eastAsia"/>
                <w:color w:val="auto"/>
                <w:kern w:val="0"/>
                <w:sz w:val="24"/>
                <w:szCs w:val="24"/>
                <w:highlight w:val="none"/>
                <w:u w:val="none" w:color="auto"/>
              </w:rPr>
              <w:t>建设</w:t>
            </w:r>
          </w:p>
          <w:p>
            <w:pPr>
              <w:jc w:val="center"/>
              <w:rPr>
                <w:color w:val="auto"/>
                <w:kern w:val="0"/>
                <w:sz w:val="24"/>
                <w:szCs w:val="24"/>
                <w:highlight w:val="none"/>
                <w:u w:val="none" w:color="auto"/>
              </w:rPr>
            </w:pPr>
            <w:r>
              <w:rPr>
                <w:rFonts w:hint="eastAsia"/>
                <w:color w:val="auto"/>
                <w:kern w:val="0"/>
                <w:sz w:val="24"/>
                <w:szCs w:val="24"/>
                <w:highlight w:val="none"/>
                <w:u w:val="none" w:color="auto"/>
              </w:rPr>
              <w:t>内容</w:t>
            </w:r>
          </w:p>
        </w:tc>
        <w:tc>
          <w:tcPr>
            <w:tcW w:w="7836" w:type="dxa"/>
            <w:vAlign w:val="center"/>
          </w:tcPr>
          <w:p>
            <w:pPr>
              <w:spacing w:line="360" w:lineRule="auto"/>
              <w:ind w:right="78" w:rightChars="37"/>
              <w:rPr>
                <w:b/>
                <w:bCs/>
                <w:color w:val="auto"/>
                <w:sz w:val="24"/>
                <w:highlight w:val="none"/>
                <w:u w:val="none" w:color="auto"/>
              </w:rPr>
            </w:pPr>
            <w:r>
              <w:rPr>
                <w:rFonts w:hint="eastAsia"/>
                <w:b/>
                <w:bCs/>
                <w:color w:val="auto"/>
                <w:sz w:val="24"/>
                <w:highlight w:val="none"/>
                <w:u w:val="none" w:color="auto"/>
              </w:rPr>
              <w:t>1、项目组成</w:t>
            </w:r>
          </w:p>
          <w:p>
            <w:pPr>
              <w:spacing w:line="360" w:lineRule="auto"/>
              <w:ind w:firstLine="480" w:firstLineChars="200"/>
              <w:jc w:val="left"/>
              <w:rPr>
                <w:bCs/>
                <w:color w:val="auto"/>
                <w:sz w:val="24"/>
                <w:highlight w:val="none"/>
                <w:u w:val="none" w:color="auto"/>
              </w:rPr>
            </w:pPr>
            <w:r>
              <w:rPr>
                <w:rFonts w:hint="eastAsia"/>
                <w:color w:val="auto"/>
                <w:sz w:val="24"/>
                <w:highlight w:val="none"/>
                <w:u w:val="none" w:color="auto"/>
              </w:rPr>
              <w:t>湖南友络电子有限公司拟投资1000</w:t>
            </w:r>
            <w:r>
              <w:rPr>
                <w:rFonts w:hint="eastAsia"/>
                <w:color w:val="auto"/>
                <w:sz w:val="24"/>
                <w:highlight w:val="none"/>
                <w:u w:val="none" w:color="auto"/>
                <w:lang w:val="en-US" w:eastAsia="zh-CN"/>
              </w:rPr>
              <w:t>0</w:t>
            </w:r>
            <w:r>
              <w:rPr>
                <w:rFonts w:hint="eastAsia"/>
                <w:color w:val="auto"/>
                <w:sz w:val="24"/>
                <w:highlight w:val="none"/>
                <w:u w:val="none" w:color="auto"/>
              </w:rPr>
              <w:t>万元在</w:t>
            </w:r>
            <w:r>
              <w:rPr>
                <w:rFonts w:hint="eastAsia"/>
                <w:color w:val="auto"/>
                <w:sz w:val="24"/>
                <w:szCs w:val="24"/>
                <w:highlight w:val="none"/>
                <w:u w:val="none" w:color="auto"/>
                <w:shd w:val="clear" w:color="auto" w:fill="FFFFFF"/>
              </w:rPr>
              <w:t>永州经济技术开发区锦络电子工业园3号栋1-3楼</w:t>
            </w:r>
            <w:r>
              <w:rPr>
                <w:rFonts w:hint="eastAsia"/>
                <w:color w:val="auto"/>
                <w:sz w:val="24"/>
                <w:highlight w:val="none"/>
                <w:u w:val="none" w:color="auto"/>
              </w:rPr>
              <w:t>建设湖南友络电子有限公司电感生产项目，</w:t>
            </w:r>
            <w:r>
              <w:rPr>
                <w:snapToGrid w:val="0"/>
                <w:color w:val="auto"/>
                <w:kern w:val="0"/>
                <w:sz w:val="24"/>
                <w:szCs w:val="24"/>
                <w:highlight w:val="none"/>
                <w:u w:val="none" w:color="auto"/>
              </w:rPr>
              <w:t>拟建项目主要进行</w:t>
            </w:r>
            <w:r>
              <w:rPr>
                <w:rFonts w:hint="eastAsia"/>
                <w:color w:val="auto"/>
                <w:sz w:val="24"/>
                <w:szCs w:val="24"/>
                <w:highlight w:val="none"/>
                <w:u w:val="none" w:color="auto"/>
                <w:lang w:val="en-US" w:eastAsia="zh-CN"/>
              </w:rPr>
              <w:t>电感</w:t>
            </w:r>
            <w:r>
              <w:rPr>
                <w:color w:val="auto"/>
                <w:sz w:val="24"/>
                <w:szCs w:val="24"/>
                <w:highlight w:val="none"/>
                <w:u w:val="none" w:color="auto"/>
              </w:rPr>
              <w:t>生产。</w:t>
            </w:r>
            <w:r>
              <w:rPr>
                <w:rFonts w:hint="eastAsia"/>
                <w:snapToGrid w:val="0"/>
                <w:color w:val="auto"/>
                <w:kern w:val="0"/>
                <w:sz w:val="24"/>
                <w:szCs w:val="24"/>
                <w:highlight w:val="none"/>
                <w:u w:val="none" w:color="auto"/>
              </w:rPr>
              <w:t>项目</w:t>
            </w:r>
            <w:r>
              <w:rPr>
                <w:snapToGrid w:val="0"/>
                <w:color w:val="auto"/>
                <w:kern w:val="0"/>
                <w:sz w:val="24"/>
                <w:szCs w:val="24"/>
                <w:highlight w:val="none"/>
                <w:u w:val="none" w:color="auto"/>
              </w:rPr>
              <w:t>租赁</w:t>
            </w:r>
            <w:r>
              <w:rPr>
                <w:rFonts w:hint="eastAsia"/>
                <w:color w:val="auto"/>
                <w:sz w:val="24"/>
                <w:szCs w:val="24"/>
                <w:highlight w:val="none"/>
                <w:u w:val="none" w:color="auto"/>
                <w:shd w:val="clear" w:color="auto" w:fill="FFFFFF"/>
              </w:rPr>
              <w:t>湖南锦络电子股份有限公司标准厂房</w:t>
            </w:r>
            <w:r>
              <w:rPr>
                <w:rFonts w:hint="eastAsia"/>
                <w:color w:val="auto"/>
                <w:sz w:val="24"/>
                <w:highlight w:val="none"/>
                <w:u w:val="none" w:color="auto"/>
              </w:rPr>
              <w:t>及配套附属设施</w:t>
            </w:r>
            <w:r>
              <w:rPr>
                <w:rFonts w:hint="eastAsia"/>
                <w:color w:val="auto"/>
                <w:sz w:val="24"/>
                <w:szCs w:val="24"/>
                <w:highlight w:val="none"/>
                <w:u w:val="none" w:color="auto"/>
              </w:rPr>
              <w:t>（租赁协议见附件）。</w:t>
            </w:r>
            <w:r>
              <w:rPr>
                <w:rFonts w:hint="eastAsia"/>
                <w:color w:val="auto"/>
                <w:sz w:val="24"/>
                <w:highlight w:val="none"/>
                <w:u w:val="none" w:color="auto"/>
              </w:rPr>
              <w:t>总占地面积</w:t>
            </w:r>
            <w:r>
              <w:rPr>
                <w:rFonts w:hint="eastAsia"/>
                <w:color w:val="auto"/>
                <w:kern w:val="0"/>
                <w:sz w:val="24"/>
                <w:highlight w:val="none"/>
                <w:u w:val="none" w:color="auto"/>
                <w:lang w:val="en-US" w:eastAsia="zh-CN"/>
              </w:rPr>
              <w:t>2513.75</w:t>
            </w:r>
            <w:r>
              <w:rPr>
                <w:rFonts w:hint="eastAsia"/>
                <w:color w:val="auto"/>
                <w:kern w:val="0"/>
                <w:sz w:val="24"/>
                <w:highlight w:val="none"/>
                <w:u w:val="none" w:color="auto"/>
              </w:rPr>
              <w:t xml:space="preserve"> </w:t>
            </w:r>
            <w:r>
              <w:rPr>
                <w:color w:val="auto"/>
                <w:sz w:val="24"/>
                <w:highlight w:val="none"/>
                <w:u w:val="none" w:color="auto"/>
              </w:rPr>
              <w:t>m</w:t>
            </w:r>
            <w:r>
              <w:rPr>
                <w:color w:val="auto"/>
                <w:sz w:val="24"/>
                <w:highlight w:val="none"/>
                <w:u w:val="none" w:color="auto"/>
                <w:vertAlign w:val="superscript"/>
              </w:rPr>
              <w:t>2</w:t>
            </w:r>
            <w:r>
              <w:rPr>
                <w:rFonts w:hint="eastAsia"/>
                <w:color w:val="auto"/>
                <w:sz w:val="24"/>
                <w:highlight w:val="none"/>
                <w:u w:val="none" w:color="auto"/>
              </w:rPr>
              <w:t>，</w:t>
            </w:r>
            <w:r>
              <w:rPr>
                <w:rFonts w:hint="eastAsia"/>
                <w:color w:val="auto"/>
                <w:sz w:val="24"/>
                <w:highlight w:val="none"/>
                <w:u w:val="none" w:color="auto"/>
                <w:lang w:val="en-US" w:eastAsia="zh-CN"/>
              </w:rPr>
              <w:t>建筑面积为7541.25</w:t>
            </w:r>
            <w:r>
              <w:rPr>
                <w:rFonts w:hint="eastAsia"/>
                <w:color w:val="auto"/>
                <w:sz w:val="24"/>
                <w:highlight w:val="none"/>
                <w:u w:val="none" w:color="auto"/>
                <w:shd w:val="clear" w:color="auto" w:fill="FFFFFF"/>
              </w:rPr>
              <w:t>m</w:t>
            </w:r>
            <w:r>
              <w:rPr>
                <w:rFonts w:hint="eastAsia"/>
                <w:color w:val="auto"/>
                <w:sz w:val="24"/>
                <w:highlight w:val="none"/>
                <w:u w:val="none" w:color="auto"/>
                <w:shd w:val="clear" w:color="auto" w:fill="FFFFFF"/>
                <w:vertAlign w:val="superscript"/>
              </w:rPr>
              <w:t>2</w:t>
            </w:r>
            <w:r>
              <w:rPr>
                <w:rFonts w:hint="eastAsia"/>
                <w:color w:val="auto"/>
                <w:sz w:val="24"/>
                <w:highlight w:val="none"/>
                <w:u w:val="none" w:color="auto"/>
                <w:shd w:val="clear" w:color="auto" w:fill="FFFFFF"/>
              </w:rPr>
              <w:t>，</w:t>
            </w:r>
            <w:r>
              <w:rPr>
                <w:rFonts w:hint="eastAsia"/>
                <w:color w:val="auto"/>
                <w:sz w:val="24"/>
                <w:highlight w:val="none"/>
                <w:u w:val="none" w:color="auto"/>
              </w:rPr>
              <w:t>建设内容：</w:t>
            </w:r>
            <w:r>
              <w:rPr>
                <w:rFonts w:hint="eastAsia"/>
                <w:color w:val="auto"/>
                <w:kern w:val="0"/>
                <w:sz w:val="24"/>
                <w:highlight w:val="none"/>
                <w:u w:val="none" w:color="auto"/>
              </w:rPr>
              <w:t>生产区建筑面积为</w:t>
            </w:r>
            <w:r>
              <w:rPr>
                <w:rFonts w:hint="eastAsia"/>
                <w:color w:val="auto"/>
                <w:sz w:val="24"/>
                <w:highlight w:val="none"/>
                <w:u w:val="none" w:color="auto"/>
                <w:shd w:val="clear" w:color="auto" w:fill="FFFFFF"/>
                <w:lang w:val="en-US" w:eastAsia="zh-CN"/>
              </w:rPr>
              <w:t>6374.74</w:t>
            </w:r>
            <w:r>
              <w:rPr>
                <w:rFonts w:hint="eastAsia"/>
                <w:color w:val="auto"/>
                <w:kern w:val="0"/>
                <w:sz w:val="24"/>
                <w:highlight w:val="none"/>
                <w:u w:val="none" w:color="auto"/>
              </w:rPr>
              <w:t>m</w:t>
            </w:r>
            <w:r>
              <w:rPr>
                <w:rFonts w:hint="eastAsia"/>
                <w:color w:val="auto"/>
                <w:kern w:val="0"/>
                <w:sz w:val="24"/>
                <w:highlight w:val="none"/>
                <w:u w:val="none" w:color="auto"/>
                <w:vertAlign w:val="superscript"/>
              </w:rPr>
              <w:t>2</w:t>
            </w:r>
            <w:r>
              <w:rPr>
                <w:rFonts w:hint="eastAsia"/>
                <w:color w:val="auto"/>
                <w:sz w:val="24"/>
                <w:highlight w:val="none"/>
                <w:u w:val="none" w:color="auto"/>
                <w:shd w:val="clear" w:color="auto" w:fill="FFFFFF"/>
              </w:rPr>
              <w:t>，原料区建筑面积为</w:t>
            </w:r>
            <w:r>
              <w:rPr>
                <w:rFonts w:hint="eastAsia"/>
                <w:color w:val="auto"/>
                <w:sz w:val="24"/>
                <w:highlight w:val="none"/>
                <w:u w:val="none" w:color="auto"/>
                <w:shd w:val="clear" w:color="auto" w:fill="FFFFFF"/>
                <w:lang w:val="en-US" w:eastAsia="zh-CN"/>
              </w:rPr>
              <w:t>300</w:t>
            </w:r>
            <w:r>
              <w:rPr>
                <w:rFonts w:hint="eastAsia"/>
                <w:color w:val="auto"/>
                <w:sz w:val="24"/>
                <w:highlight w:val="none"/>
                <w:u w:val="none" w:color="auto"/>
                <w:shd w:val="clear" w:color="auto" w:fill="FFFFFF"/>
              </w:rPr>
              <w:t>m</w:t>
            </w:r>
            <w:r>
              <w:rPr>
                <w:rFonts w:hint="eastAsia"/>
                <w:color w:val="auto"/>
                <w:sz w:val="24"/>
                <w:highlight w:val="none"/>
                <w:u w:val="none" w:color="auto"/>
                <w:shd w:val="clear" w:color="auto" w:fill="FFFFFF"/>
                <w:vertAlign w:val="superscript"/>
              </w:rPr>
              <w:t>2</w:t>
            </w:r>
            <w:r>
              <w:rPr>
                <w:rFonts w:hint="eastAsia"/>
                <w:color w:val="auto"/>
                <w:kern w:val="0"/>
                <w:sz w:val="24"/>
                <w:highlight w:val="none"/>
                <w:u w:val="none" w:color="auto"/>
              </w:rPr>
              <w:t>，</w:t>
            </w:r>
            <w:r>
              <w:rPr>
                <w:rFonts w:hint="eastAsia"/>
                <w:color w:val="auto"/>
                <w:sz w:val="24"/>
                <w:highlight w:val="none"/>
                <w:u w:val="none" w:color="auto"/>
                <w:shd w:val="clear" w:color="auto" w:fill="FFFFFF"/>
              </w:rPr>
              <w:t>成品区建筑面积为</w:t>
            </w:r>
            <w:bookmarkStart w:id="12" w:name="_GoBack"/>
            <w:bookmarkEnd w:id="12"/>
            <w:r>
              <w:rPr>
                <w:rFonts w:hint="eastAsia"/>
                <w:color w:val="auto"/>
                <w:sz w:val="24"/>
                <w:highlight w:val="none"/>
                <w:u w:val="none" w:color="auto"/>
                <w:shd w:val="clear" w:color="auto" w:fill="FFFFFF"/>
                <w:lang w:val="en-US" w:eastAsia="zh-CN"/>
              </w:rPr>
              <w:t>300</w:t>
            </w:r>
            <w:r>
              <w:rPr>
                <w:rFonts w:hint="eastAsia"/>
                <w:color w:val="auto"/>
                <w:sz w:val="24"/>
                <w:highlight w:val="none"/>
                <w:u w:val="none" w:color="auto"/>
                <w:shd w:val="clear" w:color="auto" w:fill="FFFFFF"/>
              </w:rPr>
              <w:t>m</w:t>
            </w:r>
            <w:r>
              <w:rPr>
                <w:rFonts w:hint="eastAsia"/>
                <w:color w:val="auto"/>
                <w:sz w:val="24"/>
                <w:highlight w:val="none"/>
                <w:u w:val="none" w:color="auto"/>
                <w:shd w:val="clear" w:color="auto" w:fill="FFFFFF"/>
                <w:vertAlign w:val="superscript"/>
              </w:rPr>
              <w:t>2</w:t>
            </w:r>
            <w:r>
              <w:rPr>
                <w:rFonts w:hint="eastAsia"/>
                <w:color w:val="auto"/>
                <w:sz w:val="24"/>
                <w:highlight w:val="none"/>
                <w:u w:val="none" w:color="auto"/>
                <w:shd w:val="clear" w:color="auto" w:fill="FFFFFF"/>
              </w:rPr>
              <w:t>，</w:t>
            </w:r>
            <w:r>
              <w:rPr>
                <w:rFonts w:hint="eastAsia"/>
                <w:bCs/>
                <w:color w:val="auto"/>
                <w:sz w:val="24"/>
                <w:highlight w:val="none"/>
                <w:u w:val="none" w:color="auto"/>
              </w:rPr>
              <w:t>办公区</w:t>
            </w:r>
            <w:r>
              <w:rPr>
                <w:bCs/>
                <w:color w:val="auto"/>
                <w:sz w:val="24"/>
                <w:highlight w:val="none"/>
                <w:u w:val="none" w:color="auto"/>
              </w:rPr>
              <w:t>建筑面积</w:t>
            </w:r>
            <w:r>
              <w:rPr>
                <w:rFonts w:hint="eastAsia"/>
                <w:bCs/>
                <w:color w:val="auto"/>
                <w:sz w:val="24"/>
                <w:highlight w:val="none"/>
                <w:u w:val="none" w:color="auto"/>
              </w:rPr>
              <w:t>为</w:t>
            </w:r>
            <w:r>
              <w:rPr>
                <w:rFonts w:hint="eastAsia"/>
                <w:color w:val="auto"/>
                <w:sz w:val="24"/>
                <w:highlight w:val="none"/>
                <w:u w:val="none" w:color="auto"/>
                <w:shd w:val="clear" w:color="auto" w:fill="FFFFFF"/>
                <w:lang w:val="en-US" w:eastAsia="zh-CN"/>
              </w:rPr>
              <w:t>566.51</w:t>
            </w:r>
            <w:r>
              <w:rPr>
                <w:bCs/>
                <w:color w:val="auto"/>
                <w:sz w:val="24"/>
                <w:highlight w:val="none"/>
                <w:u w:val="none" w:color="auto"/>
              </w:rPr>
              <w:t>m</w:t>
            </w:r>
            <w:r>
              <w:rPr>
                <w:bCs/>
                <w:color w:val="auto"/>
                <w:sz w:val="24"/>
                <w:highlight w:val="none"/>
                <w:u w:val="none" w:color="auto"/>
                <w:vertAlign w:val="superscript"/>
              </w:rPr>
              <w:t>2</w:t>
            </w:r>
            <w:r>
              <w:rPr>
                <w:rFonts w:hint="eastAsia"/>
                <w:bCs/>
                <w:color w:val="auto"/>
                <w:sz w:val="24"/>
                <w:highlight w:val="none"/>
                <w:u w:val="none" w:color="auto"/>
              </w:rPr>
              <w:t>，</w:t>
            </w:r>
            <w:r>
              <w:rPr>
                <w:bCs/>
                <w:color w:val="auto"/>
                <w:sz w:val="24"/>
                <w:highlight w:val="none"/>
                <w:u w:val="none" w:color="auto"/>
              </w:rPr>
              <w:t>同时建设电力、给排水、绿化等配套工程</w:t>
            </w:r>
            <w:r>
              <w:rPr>
                <w:rFonts w:hint="eastAsia"/>
                <w:bCs/>
                <w:color w:val="auto"/>
                <w:sz w:val="24"/>
                <w:highlight w:val="none"/>
                <w:u w:val="none" w:color="auto"/>
              </w:rPr>
              <w:t>，</w:t>
            </w:r>
            <w:r>
              <w:rPr>
                <w:bCs/>
                <w:color w:val="auto"/>
                <w:sz w:val="24"/>
                <w:highlight w:val="none"/>
                <w:u w:val="none" w:color="auto"/>
              </w:rPr>
              <w:t>主要工程组成见表</w:t>
            </w:r>
            <w:r>
              <w:rPr>
                <w:rFonts w:hint="eastAsia"/>
                <w:bCs/>
                <w:color w:val="auto"/>
                <w:sz w:val="24"/>
                <w:highlight w:val="none"/>
                <w:u w:val="none" w:color="auto"/>
              </w:rPr>
              <w:t>2</w:t>
            </w:r>
            <w:r>
              <w:rPr>
                <w:bCs/>
                <w:color w:val="auto"/>
                <w:sz w:val="24"/>
                <w:highlight w:val="none"/>
                <w:u w:val="none" w:color="auto"/>
              </w:rPr>
              <w:t>-1。</w:t>
            </w:r>
          </w:p>
          <w:p>
            <w:pPr>
              <w:autoSpaceDE w:val="0"/>
              <w:autoSpaceDN w:val="0"/>
              <w:adjustRightInd w:val="0"/>
              <w:jc w:val="center"/>
              <w:rPr>
                <w:rFonts w:ascii="宋体" w:hAnsi="宋体" w:cs="宋体"/>
                <w:b/>
                <w:bCs/>
                <w:color w:val="auto"/>
                <w:highlight w:val="none"/>
                <w:u w:val="none" w:color="auto"/>
              </w:rPr>
            </w:pPr>
            <w:r>
              <w:rPr>
                <w:rFonts w:hint="eastAsia" w:ascii="宋体" w:hAnsi="宋体" w:cs="宋体"/>
                <w:b/>
                <w:bCs/>
                <w:color w:val="auto"/>
                <w:highlight w:val="none"/>
                <w:u w:val="none" w:color="auto"/>
              </w:rPr>
              <w:t>表2-1   主要建设内容一览表</w:t>
            </w:r>
          </w:p>
          <w:tbl>
            <w:tblPr>
              <w:tblStyle w:val="26"/>
              <w:tblW w:w="76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70"/>
              <w:gridCol w:w="2417"/>
              <w:gridCol w:w="3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4" w:type="dxa"/>
                  <w:tcBorders>
                    <w:bottom w:val="single" w:color="auto" w:sz="4" w:space="0"/>
                  </w:tcBorders>
                  <w:vAlign w:val="center"/>
                </w:tcPr>
                <w:p>
                  <w:pPr>
                    <w:jc w:val="center"/>
                    <w:rPr>
                      <w:color w:val="auto"/>
                      <w:highlight w:val="none"/>
                      <w:u w:val="none" w:color="auto"/>
                    </w:rPr>
                  </w:pPr>
                  <w:r>
                    <w:rPr>
                      <w:rFonts w:hint="eastAsia"/>
                      <w:color w:val="auto"/>
                      <w:highlight w:val="none"/>
                      <w:u w:val="none" w:color="auto"/>
                    </w:rPr>
                    <w:t>工程</w:t>
                  </w:r>
                </w:p>
                <w:p>
                  <w:pPr>
                    <w:jc w:val="center"/>
                    <w:rPr>
                      <w:color w:val="auto"/>
                      <w:highlight w:val="none"/>
                      <w:u w:val="none" w:color="auto"/>
                    </w:rPr>
                  </w:pPr>
                  <w:r>
                    <w:rPr>
                      <w:rFonts w:hint="eastAsia"/>
                      <w:color w:val="auto"/>
                      <w:highlight w:val="none"/>
                      <w:u w:val="none" w:color="auto"/>
                    </w:rPr>
                    <w:t>名称</w:t>
                  </w:r>
                </w:p>
              </w:tc>
              <w:tc>
                <w:tcPr>
                  <w:tcW w:w="1270" w:type="dxa"/>
                  <w:vAlign w:val="center"/>
                </w:tcPr>
                <w:p>
                  <w:pPr>
                    <w:jc w:val="center"/>
                    <w:rPr>
                      <w:color w:val="auto"/>
                      <w:highlight w:val="none"/>
                      <w:u w:val="none" w:color="auto"/>
                    </w:rPr>
                  </w:pPr>
                  <w:r>
                    <w:rPr>
                      <w:rFonts w:hint="eastAsia" w:hAnsi="宋体"/>
                      <w:color w:val="auto"/>
                      <w:highlight w:val="none"/>
                      <w:u w:val="none" w:color="auto"/>
                    </w:rPr>
                    <w:t>建筑物名称</w:t>
                  </w:r>
                </w:p>
              </w:tc>
              <w:tc>
                <w:tcPr>
                  <w:tcW w:w="2417" w:type="dxa"/>
                  <w:vAlign w:val="center"/>
                </w:tcPr>
                <w:p>
                  <w:pPr>
                    <w:jc w:val="center"/>
                    <w:rPr>
                      <w:color w:val="auto"/>
                      <w:highlight w:val="none"/>
                      <w:u w:val="none" w:color="auto"/>
                    </w:rPr>
                  </w:pPr>
                  <w:r>
                    <w:rPr>
                      <w:rFonts w:hint="eastAsia" w:hAnsi="宋体"/>
                      <w:color w:val="auto"/>
                      <w:highlight w:val="none"/>
                      <w:u w:val="none" w:color="auto"/>
                    </w:rPr>
                    <w:t>建筑面积</w:t>
                  </w:r>
                </w:p>
              </w:tc>
              <w:tc>
                <w:tcPr>
                  <w:tcW w:w="3197" w:type="dxa"/>
                  <w:vAlign w:val="center"/>
                </w:tcPr>
                <w:p>
                  <w:pPr>
                    <w:jc w:val="center"/>
                    <w:rPr>
                      <w:color w:val="auto"/>
                      <w:highlight w:val="none"/>
                      <w:u w:val="none" w:color="auto"/>
                    </w:rPr>
                  </w:pPr>
                  <w:r>
                    <w:rPr>
                      <w:rFonts w:hint="eastAsia" w:hAnsi="宋体"/>
                      <w:color w:val="auto"/>
                      <w:highlight w:val="none"/>
                      <w:u w:val="none" w:color="auto"/>
                    </w:rPr>
                    <w:t>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restart"/>
                  <w:vAlign w:val="center"/>
                </w:tcPr>
                <w:p>
                  <w:pPr>
                    <w:jc w:val="center"/>
                    <w:rPr>
                      <w:color w:val="auto"/>
                      <w:highlight w:val="none"/>
                      <w:u w:val="none" w:color="auto"/>
                    </w:rPr>
                  </w:pPr>
                  <w:r>
                    <w:rPr>
                      <w:rFonts w:hint="eastAsia"/>
                      <w:color w:val="auto"/>
                      <w:highlight w:val="none"/>
                      <w:u w:val="none" w:color="auto"/>
                    </w:rPr>
                    <w:t>主体工程</w:t>
                  </w:r>
                </w:p>
              </w:tc>
              <w:tc>
                <w:tcPr>
                  <w:tcW w:w="1270" w:type="dxa"/>
                  <w:vAlign w:val="center"/>
                </w:tcPr>
                <w:p>
                  <w:pPr>
                    <w:jc w:val="center"/>
                    <w:rPr>
                      <w:color w:val="auto"/>
                      <w:highlight w:val="none"/>
                      <w:u w:val="none" w:color="auto"/>
                    </w:rPr>
                  </w:pPr>
                  <w:r>
                    <w:rPr>
                      <w:rFonts w:hint="eastAsia"/>
                      <w:color w:val="auto"/>
                      <w:highlight w:val="none"/>
                      <w:u w:val="none" w:color="auto"/>
                    </w:rPr>
                    <w:t>生产车间</w:t>
                  </w:r>
                </w:p>
              </w:tc>
              <w:tc>
                <w:tcPr>
                  <w:tcW w:w="2417" w:type="dxa"/>
                  <w:vAlign w:val="center"/>
                </w:tcPr>
                <w:p>
                  <w:pPr>
                    <w:jc w:val="center"/>
                    <w:rPr>
                      <w:color w:val="auto"/>
                      <w:highlight w:val="none"/>
                      <w:u w:val="none" w:color="auto"/>
                    </w:rPr>
                  </w:pPr>
                  <w:r>
                    <w:rPr>
                      <w:rFonts w:hint="eastAsia"/>
                      <w:color w:val="auto"/>
                      <w:highlight w:val="none"/>
                      <w:u w:val="none" w:color="auto"/>
                    </w:rPr>
                    <w:t>砖混结构，</w:t>
                  </w:r>
                  <w:r>
                    <w:rPr>
                      <w:color w:val="auto"/>
                      <w:highlight w:val="none"/>
                      <w:u w:val="none" w:color="auto"/>
                    </w:rPr>
                    <w:t>建筑面积</w:t>
                  </w:r>
                  <w:r>
                    <w:rPr>
                      <w:rFonts w:hint="eastAsia"/>
                      <w:color w:val="auto"/>
                      <w:highlight w:val="none"/>
                      <w:u w:val="none" w:color="auto"/>
                    </w:rPr>
                    <w:t>为</w:t>
                  </w:r>
                  <w:r>
                    <w:rPr>
                      <w:rFonts w:hint="eastAsia"/>
                      <w:color w:val="auto"/>
                      <w:highlight w:val="none"/>
                      <w:u w:val="none" w:color="auto"/>
                      <w:lang w:val="en-US" w:eastAsia="zh-CN"/>
                    </w:rPr>
                    <w:t>6374.74</w:t>
                  </w:r>
                  <w:r>
                    <w:rPr>
                      <w:color w:val="auto"/>
                      <w:highlight w:val="none"/>
                      <w:u w:val="none" w:color="auto"/>
                    </w:rPr>
                    <w:t>m</w:t>
                  </w:r>
                  <w:r>
                    <w:rPr>
                      <w:color w:val="auto"/>
                      <w:highlight w:val="none"/>
                      <w:u w:val="none" w:color="auto"/>
                      <w:vertAlign w:val="superscript"/>
                    </w:rPr>
                    <w:t>2</w:t>
                  </w:r>
                  <w:r>
                    <w:rPr>
                      <w:rFonts w:hint="eastAsia"/>
                      <w:color w:val="auto"/>
                      <w:highlight w:val="none"/>
                      <w:u w:val="none" w:color="auto"/>
                    </w:rPr>
                    <w:t>，砖混结构；位于二层、三层</w:t>
                  </w:r>
                </w:p>
              </w:tc>
              <w:tc>
                <w:tcPr>
                  <w:tcW w:w="3197" w:type="dxa"/>
                  <w:vAlign w:val="center"/>
                </w:tcPr>
                <w:p>
                  <w:pPr>
                    <w:pStyle w:val="2"/>
                    <w:rPr>
                      <w:rFonts w:hint="default" w:eastAsia="宋体"/>
                      <w:color w:val="auto"/>
                      <w:highlight w:val="none"/>
                      <w:u w:val="none" w:color="auto"/>
                      <w:lang w:val="en-US" w:eastAsia="zh-CN"/>
                    </w:rPr>
                  </w:pPr>
                  <w:r>
                    <w:rPr>
                      <w:rFonts w:hint="eastAsia"/>
                      <w:color w:val="auto"/>
                      <w:highlight w:val="none"/>
                      <w:u w:val="none" w:color="auto"/>
                      <w:lang w:val="en-US" w:eastAsia="zh-CN"/>
                    </w:rPr>
                    <w:t>主要为焊锡区、含浸区、烘干区、绕线区、测试区、组装区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Merge w:val="continue"/>
                  <w:vAlign w:val="center"/>
                </w:tcPr>
                <w:p>
                  <w:pPr>
                    <w:jc w:val="center"/>
                    <w:rPr>
                      <w:color w:val="auto"/>
                      <w:highlight w:val="none"/>
                      <w:u w:val="none" w:color="auto"/>
                    </w:rPr>
                  </w:pPr>
                </w:p>
              </w:tc>
              <w:tc>
                <w:tcPr>
                  <w:tcW w:w="1270" w:type="dxa"/>
                  <w:vAlign w:val="center"/>
                </w:tcPr>
                <w:p>
                  <w:pPr>
                    <w:jc w:val="center"/>
                    <w:rPr>
                      <w:color w:val="auto"/>
                      <w:highlight w:val="none"/>
                      <w:u w:val="none" w:color="auto"/>
                    </w:rPr>
                  </w:pPr>
                  <w:r>
                    <w:rPr>
                      <w:rFonts w:hint="eastAsia"/>
                      <w:color w:val="auto"/>
                      <w:highlight w:val="none"/>
                      <w:u w:val="none" w:color="auto"/>
                    </w:rPr>
                    <w:t>原材料仓库</w:t>
                  </w:r>
                </w:p>
              </w:tc>
              <w:tc>
                <w:tcPr>
                  <w:tcW w:w="2417" w:type="dxa"/>
                  <w:vAlign w:val="center"/>
                </w:tcPr>
                <w:p>
                  <w:pPr>
                    <w:jc w:val="center"/>
                    <w:rPr>
                      <w:color w:val="auto"/>
                      <w:highlight w:val="none"/>
                      <w:u w:val="none" w:color="auto"/>
                    </w:rPr>
                  </w:pPr>
                  <w:r>
                    <w:rPr>
                      <w:color w:val="auto"/>
                      <w:highlight w:val="none"/>
                      <w:u w:val="none" w:color="auto"/>
                    </w:rPr>
                    <w:t>总建筑面积</w:t>
                  </w:r>
                  <w:r>
                    <w:rPr>
                      <w:rFonts w:hint="eastAsia"/>
                      <w:color w:val="auto"/>
                      <w:highlight w:val="none"/>
                      <w:u w:val="none" w:color="auto"/>
                    </w:rPr>
                    <w:t>为</w:t>
                  </w:r>
                  <w:r>
                    <w:rPr>
                      <w:rFonts w:hint="eastAsia"/>
                      <w:color w:val="auto"/>
                      <w:highlight w:val="none"/>
                      <w:u w:val="none" w:color="auto"/>
                      <w:lang w:val="en-US" w:eastAsia="zh-CN"/>
                    </w:rPr>
                    <w:t>300</w:t>
                  </w:r>
                  <w:r>
                    <w:rPr>
                      <w:color w:val="auto"/>
                      <w:highlight w:val="none"/>
                      <w:u w:val="none" w:color="auto"/>
                    </w:rPr>
                    <w:t>m</w:t>
                  </w:r>
                  <w:r>
                    <w:rPr>
                      <w:color w:val="auto"/>
                      <w:highlight w:val="none"/>
                      <w:u w:val="none" w:color="auto"/>
                      <w:vertAlign w:val="superscript"/>
                    </w:rPr>
                    <w:t>2</w:t>
                  </w:r>
                </w:p>
              </w:tc>
              <w:tc>
                <w:tcPr>
                  <w:tcW w:w="3197" w:type="dxa"/>
                  <w:vAlign w:val="center"/>
                </w:tcPr>
                <w:p>
                  <w:pPr>
                    <w:jc w:val="center"/>
                    <w:rPr>
                      <w:color w:val="auto"/>
                      <w:highlight w:val="none"/>
                      <w:u w:val="none" w:color="auto"/>
                    </w:rPr>
                  </w:pPr>
                  <w:r>
                    <w:rPr>
                      <w:rFonts w:hint="eastAsia"/>
                      <w:color w:val="auto"/>
                      <w:highlight w:val="none"/>
                      <w:u w:val="none" w:color="auto"/>
                    </w:rPr>
                    <w:t>位于一层；砖混结构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Merge w:val="continue"/>
                  <w:vAlign w:val="center"/>
                </w:tcPr>
                <w:p>
                  <w:pPr>
                    <w:jc w:val="center"/>
                    <w:rPr>
                      <w:color w:val="auto"/>
                      <w:highlight w:val="none"/>
                      <w:u w:val="none" w:color="auto"/>
                    </w:rPr>
                  </w:pPr>
                </w:p>
              </w:tc>
              <w:tc>
                <w:tcPr>
                  <w:tcW w:w="1270" w:type="dxa"/>
                  <w:vAlign w:val="center"/>
                </w:tcPr>
                <w:p>
                  <w:pPr>
                    <w:jc w:val="center"/>
                    <w:rPr>
                      <w:color w:val="auto"/>
                      <w:highlight w:val="none"/>
                      <w:u w:val="none" w:color="auto"/>
                    </w:rPr>
                  </w:pPr>
                  <w:r>
                    <w:rPr>
                      <w:rFonts w:hint="eastAsia"/>
                      <w:color w:val="auto"/>
                      <w:highlight w:val="none"/>
                      <w:u w:val="none" w:color="auto"/>
                    </w:rPr>
                    <w:t>成品仓库</w:t>
                  </w:r>
                </w:p>
              </w:tc>
              <w:tc>
                <w:tcPr>
                  <w:tcW w:w="2417" w:type="dxa"/>
                  <w:vAlign w:val="center"/>
                </w:tcPr>
                <w:p>
                  <w:pPr>
                    <w:jc w:val="center"/>
                    <w:rPr>
                      <w:color w:val="auto"/>
                      <w:highlight w:val="none"/>
                      <w:u w:val="none" w:color="auto"/>
                    </w:rPr>
                  </w:pPr>
                  <w:r>
                    <w:rPr>
                      <w:color w:val="auto"/>
                      <w:highlight w:val="none"/>
                      <w:u w:val="none" w:color="auto"/>
                    </w:rPr>
                    <w:t>总建筑面积</w:t>
                  </w:r>
                  <w:r>
                    <w:rPr>
                      <w:rFonts w:hint="eastAsia"/>
                      <w:color w:val="auto"/>
                      <w:highlight w:val="none"/>
                      <w:u w:val="none" w:color="auto"/>
                    </w:rPr>
                    <w:t>为</w:t>
                  </w:r>
                  <w:r>
                    <w:rPr>
                      <w:rFonts w:hint="eastAsia"/>
                      <w:color w:val="auto"/>
                      <w:highlight w:val="none"/>
                      <w:u w:val="none" w:color="auto"/>
                      <w:lang w:val="en-US" w:eastAsia="zh-CN"/>
                    </w:rPr>
                    <w:t>300</w:t>
                  </w:r>
                  <w:r>
                    <w:rPr>
                      <w:color w:val="auto"/>
                      <w:highlight w:val="none"/>
                      <w:u w:val="none" w:color="auto"/>
                    </w:rPr>
                    <w:t>m</w:t>
                  </w:r>
                  <w:r>
                    <w:rPr>
                      <w:color w:val="auto"/>
                      <w:highlight w:val="none"/>
                      <w:u w:val="none" w:color="auto"/>
                      <w:vertAlign w:val="superscript"/>
                    </w:rPr>
                    <w:t>2</w:t>
                  </w:r>
                </w:p>
              </w:tc>
              <w:tc>
                <w:tcPr>
                  <w:tcW w:w="3197" w:type="dxa"/>
                  <w:vAlign w:val="center"/>
                </w:tcPr>
                <w:p>
                  <w:pPr>
                    <w:jc w:val="center"/>
                    <w:rPr>
                      <w:color w:val="auto"/>
                      <w:highlight w:val="none"/>
                      <w:u w:val="none" w:color="auto"/>
                    </w:rPr>
                  </w:pPr>
                  <w:r>
                    <w:rPr>
                      <w:rFonts w:hint="eastAsia"/>
                      <w:color w:val="auto"/>
                      <w:highlight w:val="none"/>
                      <w:u w:val="none" w:color="auto"/>
                    </w:rPr>
                    <w:t>位于一层；砖混结构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4" w:type="dxa"/>
                  <w:tcBorders>
                    <w:top w:val="single" w:color="auto" w:sz="4" w:space="0"/>
                  </w:tcBorders>
                  <w:vAlign w:val="center"/>
                </w:tcPr>
                <w:p>
                  <w:pPr>
                    <w:spacing w:line="360" w:lineRule="auto"/>
                    <w:jc w:val="center"/>
                    <w:rPr>
                      <w:color w:val="auto"/>
                      <w:highlight w:val="none"/>
                      <w:u w:val="none" w:color="auto"/>
                    </w:rPr>
                  </w:pPr>
                  <w:r>
                    <w:rPr>
                      <w:rFonts w:hint="eastAsia" w:hAnsi="宋体"/>
                      <w:color w:val="auto"/>
                      <w:highlight w:val="none"/>
                      <w:u w:val="none" w:color="auto"/>
                    </w:rPr>
                    <w:t>辅助工程</w:t>
                  </w:r>
                </w:p>
              </w:tc>
              <w:tc>
                <w:tcPr>
                  <w:tcW w:w="1270" w:type="dxa"/>
                  <w:vAlign w:val="center"/>
                </w:tcPr>
                <w:p>
                  <w:pPr>
                    <w:jc w:val="center"/>
                    <w:rPr>
                      <w:rFonts w:hAnsi="宋体"/>
                      <w:color w:val="auto"/>
                      <w:highlight w:val="none"/>
                      <w:u w:val="none" w:color="auto"/>
                    </w:rPr>
                  </w:pPr>
                  <w:r>
                    <w:rPr>
                      <w:rFonts w:hint="eastAsia"/>
                      <w:color w:val="auto"/>
                      <w:highlight w:val="none"/>
                      <w:u w:val="none" w:color="auto"/>
                    </w:rPr>
                    <w:t xml:space="preserve"> 办公区</w:t>
                  </w:r>
                </w:p>
              </w:tc>
              <w:tc>
                <w:tcPr>
                  <w:tcW w:w="2417" w:type="dxa"/>
                  <w:vAlign w:val="center"/>
                </w:tcPr>
                <w:p>
                  <w:pPr>
                    <w:jc w:val="center"/>
                    <w:rPr>
                      <w:color w:val="auto"/>
                      <w:highlight w:val="none"/>
                      <w:u w:val="none" w:color="auto"/>
                    </w:rPr>
                  </w:pPr>
                  <w:r>
                    <w:rPr>
                      <w:rFonts w:hint="eastAsia"/>
                      <w:color w:val="auto"/>
                      <w:highlight w:val="none"/>
                      <w:u w:val="none" w:color="auto"/>
                    </w:rPr>
                    <w:t>总建筑面积</w:t>
                  </w:r>
                  <w:r>
                    <w:rPr>
                      <w:rFonts w:hint="eastAsia"/>
                      <w:color w:val="auto"/>
                      <w:highlight w:val="none"/>
                      <w:u w:val="none" w:color="auto"/>
                      <w:lang w:val="en-US" w:eastAsia="zh-CN"/>
                    </w:rPr>
                    <w:t>566.51</w:t>
                  </w:r>
                  <w:r>
                    <w:rPr>
                      <w:rFonts w:hint="eastAsia"/>
                      <w:color w:val="auto"/>
                      <w:highlight w:val="none"/>
                      <w:u w:val="none" w:color="auto"/>
                    </w:rPr>
                    <w:t>m</w:t>
                  </w:r>
                  <w:r>
                    <w:rPr>
                      <w:rFonts w:hint="eastAsia"/>
                      <w:color w:val="auto"/>
                      <w:highlight w:val="none"/>
                      <w:u w:val="none" w:color="auto"/>
                      <w:vertAlign w:val="superscript"/>
                    </w:rPr>
                    <w:t>2</w:t>
                  </w:r>
                </w:p>
              </w:tc>
              <w:tc>
                <w:tcPr>
                  <w:tcW w:w="3197" w:type="dxa"/>
                  <w:tcBorders>
                    <w:bottom w:val="single" w:color="auto" w:sz="4" w:space="0"/>
                  </w:tcBorders>
                  <w:vAlign w:val="center"/>
                </w:tcPr>
                <w:p>
                  <w:pPr>
                    <w:jc w:val="center"/>
                    <w:rPr>
                      <w:color w:val="auto"/>
                      <w:highlight w:val="none"/>
                      <w:u w:val="none" w:color="auto"/>
                    </w:rPr>
                  </w:pPr>
                  <w:r>
                    <w:rPr>
                      <w:rFonts w:hint="eastAsia"/>
                      <w:color w:val="auto"/>
                      <w:highlight w:val="none"/>
                      <w:u w:val="none" w:color="auto"/>
                    </w:rPr>
                    <w:t>位于</w:t>
                  </w:r>
                  <w:r>
                    <w:rPr>
                      <w:rFonts w:hint="eastAsia"/>
                      <w:color w:val="auto"/>
                      <w:highlight w:val="none"/>
                      <w:u w:val="none" w:color="auto"/>
                      <w:lang w:val="en-US" w:eastAsia="zh-CN"/>
                    </w:rPr>
                    <w:t>三</w:t>
                  </w:r>
                  <w:r>
                    <w:rPr>
                      <w:rFonts w:hint="eastAsia"/>
                      <w:color w:val="auto"/>
                      <w:highlight w:val="none"/>
                      <w:u w:val="none" w:color="auto"/>
                    </w:rPr>
                    <w:t>层；砖混</w:t>
                  </w:r>
                  <w:r>
                    <w:rPr>
                      <w:color w:val="auto"/>
                      <w:highlight w:val="none"/>
                      <w:u w:val="none" w:color="auto"/>
                    </w:rPr>
                    <w:t xml:space="preserve">结构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Merge w:val="restart"/>
                  <w:vAlign w:val="center"/>
                </w:tcPr>
                <w:p>
                  <w:pPr>
                    <w:jc w:val="center"/>
                    <w:rPr>
                      <w:color w:val="auto"/>
                      <w:highlight w:val="none"/>
                      <w:u w:val="none" w:color="auto"/>
                    </w:rPr>
                  </w:pPr>
                  <w:r>
                    <w:rPr>
                      <w:rFonts w:hAnsi="宋体"/>
                      <w:color w:val="auto"/>
                      <w:highlight w:val="none"/>
                      <w:u w:val="none" w:color="auto"/>
                    </w:rPr>
                    <w:t>公用工程</w:t>
                  </w:r>
                </w:p>
              </w:tc>
              <w:tc>
                <w:tcPr>
                  <w:tcW w:w="1270" w:type="dxa"/>
                  <w:vAlign w:val="center"/>
                </w:tcPr>
                <w:p>
                  <w:pPr>
                    <w:jc w:val="center"/>
                    <w:rPr>
                      <w:color w:val="auto"/>
                      <w:highlight w:val="none"/>
                      <w:u w:val="none" w:color="auto"/>
                    </w:rPr>
                  </w:pPr>
                  <w:r>
                    <w:rPr>
                      <w:rFonts w:hAnsi="宋体"/>
                      <w:color w:val="auto"/>
                      <w:highlight w:val="none"/>
                      <w:u w:val="none" w:color="auto"/>
                    </w:rPr>
                    <w:t>供水</w:t>
                  </w:r>
                </w:p>
              </w:tc>
              <w:tc>
                <w:tcPr>
                  <w:tcW w:w="5614" w:type="dxa"/>
                  <w:gridSpan w:val="2"/>
                  <w:vAlign w:val="center"/>
                </w:tcPr>
                <w:p>
                  <w:pPr>
                    <w:pStyle w:val="30"/>
                    <w:jc w:val="center"/>
                    <w:rPr>
                      <w:rFonts w:hint="default" w:eastAsia="宋体"/>
                      <w:color w:val="auto"/>
                      <w:szCs w:val="21"/>
                      <w:highlight w:val="none"/>
                      <w:u w:val="none" w:color="auto"/>
                      <w:lang w:val="en-US" w:eastAsia="zh-CN"/>
                    </w:rPr>
                  </w:pPr>
                  <w:r>
                    <w:rPr>
                      <w:rFonts w:hint="eastAsia" w:hAnsi="宋体"/>
                      <w:color w:val="auto"/>
                      <w:sz w:val="21"/>
                      <w:szCs w:val="21"/>
                      <w:highlight w:val="none"/>
                      <w:u w:val="none" w:color="auto"/>
                      <w:lang w:val="en-US" w:eastAsia="zh-CN"/>
                    </w:rPr>
                    <w:t>市政自来水管网供水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4" w:type="dxa"/>
                  <w:vMerge w:val="continue"/>
                  <w:vAlign w:val="center"/>
                </w:tcPr>
                <w:p>
                  <w:pPr>
                    <w:jc w:val="center"/>
                    <w:rPr>
                      <w:color w:val="auto"/>
                      <w:highlight w:val="none"/>
                      <w:u w:val="none" w:color="auto"/>
                    </w:rPr>
                  </w:pPr>
                </w:p>
              </w:tc>
              <w:tc>
                <w:tcPr>
                  <w:tcW w:w="1270" w:type="dxa"/>
                  <w:vAlign w:val="center"/>
                </w:tcPr>
                <w:p>
                  <w:pPr>
                    <w:jc w:val="center"/>
                    <w:rPr>
                      <w:rFonts w:hAnsi="宋体"/>
                      <w:color w:val="auto"/>
                      <w:kern w:val="0"/>
                      <w:highlight w:val="none"/>
                      <w:u w:val="none" w:color="auto"/>
                    </w:rPr>
                  </w:pPr>
                  <w:r>
                    <w:rPr>
                      <w:rFonts w:hint="eastAsia" w:hAnsi="宋体"/>
                      <w:color w:val="auto"/>
                      <w:kern w:val="0"/>
                      <w:highlight w:val="none"/>
                      <w:u w:val="none" w:color="auto"/>
                    </w:rPr>
                    <w:t>供电</w:t>
                  </w:r>
                </w:p>
              </w:tc>
              <w:tc>
                <w:tcPr>
                  <w:tcW w:w="5614" w:type="dxa"/>
                  <w:gridSpan w:val="2"/>
                  <w:vAlign w:val="center"/>
                </w:tcPr>
                <w:p>
                  <w:pPr>
                    <w:pStyle w:val="2"/>
                    <w:spacing w:line="360" w:lineRule="auto"/>
                    <w:jc w:val="center"/>
                    <w:rPr>
                      <w:rFonts w:hint="default" w:hAnsi="宋体" w:eastAsia="宋体"/>
                      <w:color w:val="auto"/>
                      <w:sz w:val="21"/>
                      <w:highlight w:val="none"/>
                      <w:u w:val="none" w:color="auto"/>
                      <w:lang w:val="en-US" w:eastAsia="zh-CN"/>
                    </w:rPr>
                  </w:pPr>
                  <w:r>
                    <w:rPr>
                      <w:rFonts w:hint="eastAsia" w:hAnsi="宋体"/>
                      <w:color w:val="auto"/>
                      <w:sz w:val="21"/>
                      <w:highlight w:val="none"/>
                      <w:u w:val="none" w:color="auto"/>
                      <w:lang w:val="en-US" w:eastAsia="zh-CN"/>
                    </w:rPr>
                    <w:t>市政供电，现已接入用电，项目自行建设配电箱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4" w:type="dxa"/>
                  <w:vMerge w:val="continue"/>
                  <w:vAlign w:val="center"/>
                </w:tcPr>
                <w:p>
                  <w:pPr>
                    <w:jc w:val="center"/>
                    <w:rPr>
                      <w:color w:val="auto"/>
                      <w:highlight w:val="none"/>
                      <w:u w:val="none" w:color="auto"/>
                    </w:rPr>
                  </w:pPr>
                </w:p>
              </w:tc>
              <w:tc>
                <w:tcPr>
                  <w:tcW w:w="1270" w:type="dxa"/>
                  <w:vAlign w:val="center"/>
                </w:tcPr>
                <w:p>
                  <w:pPr>
                    <w:jc w:val="center"/>
                    <w:rPr>
                      <w:color w:val="auto"/>
                      <w:highlight w:val="none"/>
                      <w:u w:val="none" w:color="auto"/>
                    </w:rPr>
                  </w:pPr>
                  <w:r>
                    <w:rPr>
                      <w:rFonts w:hAnsi="宋体"/>
                      <w:color w:val="auto"/>
                      <w:highlight w:val="none"/>
                      <w:u w:val="none" w:color="auto"/>
                    </w:rPr>
                    <w:t>道路</w:t>
                  </w:r>
                </w:p>
              </w:tc>
              <w:tc>
                <w:tcPr>
                  <w:tcW w:w="5614" w:type="dxa"/>
                  <w:gridSpan w:val="2"/>
                  <w:vAlign w:val="center"/>
                </w:tcPr>
                <w:p>
                  <w:pPr>
                    <w:jc w:val="center"/>
                    <w:rPr>
                      <w:color w:val="auto"/>
                      <w:highlight w:val="none"/>
                      <w:u w:val="none" w:color="auto"/>
                    </w:rPr>
                  </w:pPr>
                  <w:r>
                    <w:rPr>
                      <w:rFonts w:hint="eastAsia" w:hAnsi="宋体"/>
                      <w:color w:val="auto"/>
                      <w:highlight w:val="none"/>
                      <w:u w:val="none" w:color="auto"/>
                    </w:rPr>
                    <w:t>依托永州经济技术开发区锦络电子工业园车辆</w:t>
                  </w:r>
                  <w:r>
                    <w:rPr>
                      <w:rFonts w:hint="eastAsia"/>
                      <w:color w:val="auto"/>
                      <w:highlight w:val="none"/>
                      <w:u w:val="none" w:color="auto"/>
                    </w:rPr>
                    <w:t>进出站道路、人行道及消防通道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4" w:type="dxa"/>
                  <w:vMerge w:val="restart"/>
                  <w:vAlign w:val="center"/>
                </w:tcPr>
                <w:p>
                  <w:pPr>
                    <w:jc w:val="center"/>
                    <w:rPr>
                      <w:color w:val="auto"/>
                      <w:highlight w:val="none"/>
                      <w:u w:val="none" w:color="auto"/>
                    </w:rPr>
                  </w:pPr>
                  <w:r>
                    <w:rPr>
                      <w:rFonts w:hAnsi="宋体"/>
                      <w:color w:val="auto"/>
                      <w:highlight w:val="none"/>
                      <w:u w:val="none" w:color="auto"/>
                    </w:rPr>
                    <w:t>环保工程</w:t>
                  </w:r>
                </w:p>
              </w:tc>
              <w:tc>
                <w:tcPr>
                  <w:tcW w:w="1270" w:type="dxa"/>
                  <w:vAlign w:val="center"/>
                </w:tcPr>
                <w:p>
                  <w:pPr>
                    <w:jc w:val="center"/>
                    <w:rPr>
                      <w:color w:val="auto"/>
                      <w:highlight w:val="none"/>
                      <w:u w:val="none" w:color="auto"/>
                    </w:rPr>
                  </w:pPr>
                  <w:r>
                    <w:rPr>
                      <w:rFonts w:hAnsi="宋体"/>
                      <w:color w:val="auto"/>
                      <w:highlight w:val="none"/>
                      <w:u w:val="none" w:color="auto"/>
                    </w:rPr>
                    <w:t>废水处理设施</w:t>
                  </w:r>
                </w:p>
              </w:tc>
              <w:tc>
                <w:tcPr>
                  <w:tcW w:w="5614" w:type="dxa"/>
                  <w:gridSpan w:val="2"/>
                  <w:vAlign w:val="center"/>
                </w:tcPr>
                <w:p>
                  <w:pPr>
                    <w:widowControl/>
                    <w:jc w:val="both"/>
                    <w:rPr>
                      <w:color w:val="auto"/>
                      <w:kern w:val="0"/>
                      <w:highlight w:val="none"/>
                      <w:u w:val="none" w:color="auto"/>
                    </w:rPr>
                  </w:pPr>
                  <w:r>
                    <w:rPr>
                      <w:rFonts w:hint="eastAsia" w:hAnsi="宋体"/>
                      <w:color w:val="auto"/>
                      <w:szCs w:val="18"/>
                      <w:highlight w:val="none"/>
                      <w:u w:val="none" w:color="auto"/>
                    </w:rPr>
                    <w:t>项目采取“雨、污分流”排水机制，雨水通过厂区内雨水管网排入雨水管道；生活污水经化粪池处理后排入市政污水管网。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4" w:type="dxa"/>
                  <w:vMerge w:val="continue"/>
                  <w:vAlign w:val="center"/>
                </w:tcPr>
                <w:p>
                  <w:pPr>
                    <w:jc w:val="center"/>
                    <w:rPr>
                      <w:color w:val="auto"/>
                      <w:highlight w:val="none"/>
                      <w:u w:val="none" w:color="auto"/>
                    </w:rPr>
                  </w:pPr>
                </w:p>
              </w:tc>
              <w:tc>
                <w:tcPr>
                  <w:tcW w:w="1270" w:type="dxa"/>
                  <w:vAlign w:val="center"/>
                </w:tcPr>
                <w:p>
                  <w:pPr>
                    <w:widowControl/>
                    <w:jc w:val="center"/>
                    <w:rPr>
                      <w:color w:val="auto"/>
                      <w:highlight w:val="none"/>
                      <w:u w:val="none" w:color="auto"/>
                    </w:rPr>
                  </w:pPr>
                  <w:r>
                    <w:rPr>
                      <w:rFonts w:hint="eastAsia"/>
                      <w:color w:val="auto"/>
                      <w:highlight w:val="none"/>
                      <w:u w:val="none" w:color="auto"/>
                    </w:rPr>
                    <w:t>废气处理设施</w:t>
                  </w:r>
                </w:p>
              </w:tc>
              <w:tc>
                <w:tcPr>
                  <w:tcW w:w="5614" w:type="dxa"/>
                  <w:gridSpan w:val="2"/>
                  <w:vAlign w:val="center"/>
                </w:tcPr>
                <w:p>
                  <w:pPr>
                    <w:widowControl/>
                    <w:jc w:val="both"/>
                    <w:rPr>
                      <w:color w:val="auto"/>
                      <w:highlight w:val="none"/>
                      <w:u w:val="none" w:color="auto"/>
                    </w:rPr>
                  </w:pPr>
                  <w:r>
                    <w:rPr>
                      <w:rFonts w:hint="eastAsia"/>
                      <w:color w:val="auto"/>
                      <w:highlight w:val="none"/>
                      <w:u w:val="none" w:color="auto"/>
                      <w:lang w:val="en-US" w:eastAsia="zh-CN"/>
                    </w:rPr>
                    <w:t>点胶废气、含浸废气及焊锡废气采用集气罩收集，隧道炉产生的烘干废气采用设备排口直连收集，上述废气一同汇入一套</w:t>
                  </w:r>
                  <w:r>
                    <w:rPr>
                      <w:rFonts w:hint="eastAsia" w:cs="Times New Roman"/>
                      <w:color w:val="auto"/>
                      <w:highlight w:val="none"/>
                      <w:u w:val="none" w:color="auto"/>
                      <w:lang w:val="en-US" w:eastAsia="zh-CN"/>
                    </w:rPr>
                    <w:t>二级活性炭吸附装置+楼顶高空排气筒排放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continue"/>
                  <w:vAlign w:val="center"/>
                </w:tcPr>
                <w:p>
                  <w:pPr>
                    <w:jc w:val="center"/>
                    <w:rPr>
                      <w:color w:val="auto"/>
                      <w:highlight w:val="none"/>
                      <w:u w:val="none" w:color="auto"/>
                    </w:rPr>
                  </w:pPr>
                </w:p>
              </w:tc>
              <w:tc>
                <w:tcPr>
                  <w:tcW w:w="1270" w:type="dxa"/>
                  <w:vAlign w:val="center"/>
                </w:tcPr>
                <w:p>
                  <w:pPr>
                    <w:jc w:val="center"/>
                    <w:rPr>
                      <w:color w:val="auto"/>
                      <w:highlight w:val="none"/>
                      <w:u w:val="none" w:color="auto"/>
                    </w:rPr>
                  </w:pPr>
                  <w:r>
                    <w:rPr>
                      <w:rFonts w:hAnsi="宋体"/>
                      <w:color w:val="auto"/>
                      <w:highlight w:val="none"/>
                      <w:u w:val="none" w:color="auto"/>
                    </w:rPr>
                    <w:t>噪声处理设施</w:t>
                  </w:r>
                </w:p>
              </w:tc>
              <w:tc>
                <w:tcPr>
                  <w:tcW w:w="5614" w:type="dxa"/>
                  <w:gridSpan w:val="2"/>
                  <w:vAlign w:val="center"/>
                </w:tcPr>
                <w:p>
                  <w:pPr>
                    <w:widowControl/>
                    <w:jc w:val="center"/>
                    <w:rPr>
                      <w:color w:val="auto"/>
                      <w:highlight w:val="none"/>
                      <w:u w:val="none" w:color="auto"/>
                    </w:rPr>
                  </w:pPr>
                  <w:r>
                    <w:rPr>
                      <w:rFonts w:hint="eastAsia" w:hAnsi="宋体"/>
                      <w:color w:val="auto"/>
                      <w:highlight w:val="none"/>
                      <w:u w:val="none" w:color="auto"/>
                    </w:rPr>
                    <w:t>隔声、减震垫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34" w:type="dxa"/>
                  <w:vMerge w:val="continue"/>
                  <w:vAlign w:val="center"/>
                </w:tcPr>
                <w:p>
                  <w:pPr>
                    <w:jc w:val="center"/>
                    <w:rPr>
                      <w:color w:val="auto"/>
                      <w:highlight w:val="none"/>
                      <w:u w:val="none" w:color="auto"/>
                    </w:rPr>
                  </w:pPr>
                </w:p>
              </w:tc>
              <w:tc>
                <w:tcPr>
                  <w:tcW w:w="1270" w:type="dxa"/>
                  <w:vAlign w:val="center"/>
                </w:tcPr>
                <w:p>
                  <w:pPr>
                    <w:jc w:val="center"/>
                    <w:rPr>
                      <w:color w:val="auto"/>
                      <w:highlight w:val="none"/>
                      <w:u w:val="none" w:color="auto"/>
                    </w:rPr>
                  </w:pPr>
                  <w:r>
                    <w:rPr>
                      <w:rFonts w:hAnsi="宋体"/>
                      <w:color w:val="auto"/>
                      <w:highlight w:val="none"/>
                      <w:u w:val="none" w:color="auto"/>
                    </w:rPr>
                    <w:t>固废处理设施</w:t>
                  </w:r>
                </w:p>
              </w:tc>
              <w:tc>
                <w:tcPr>
                  <w:tcW w:w="5614" w:type="dxa"/>
                  <w:gridSpan w:val="2"/>
                  <w:vAlign w:val="center"/>
                </w:tcPr>
                <w:p>
                  <w:pPr>
                    <w:widowControl/>
                    <w:jc w:val="center"/>
                    <w:rPr>
                      <w:color w:val="auto"/>
                      <w:highlight w:val="none"/>
                      <w:u w:val="none" w:color="auto"/>
                    </w:rPr>
                  </w:pPr>
                  <w:r>
                    <w:rPr>
                      <w:rFonts w:hAnsi="宋体"/>
                      <w:color w:val="auto"/>
                      <w:highlight w:val="none"/>
                      <w:u w:val="none" w:color="auto"/>
                    </w:rPr>
                    <w:t>垃圾桶、</w:t>
                  </w:r>
                  <w:r>
                    <w:rPr>
                      <w:rFonts w:hint="eastAsia"/>
                      <w:color w:val="auto"/>
                      <w:highlight w:val="none"/>
                      <w:u w:val="none" w:color="auto"/>
                    </w:rPr>
                    <w:t>一般固废收集桶（位于一层）、危险废物暂存间</w:t>
                  </w:r>
                  <w:r>
                    <w:rPr>
                      <w:rStyle w:val="29"/>
                      <w:rFonts w:hint="eastAsia"/>
                      <w:color w:val="auto"/>
                      <w:kern w:val="28"/>
                      <w:highlight w:val="none"/>
                      <w:u w:val="none" w:color="auto"/>
                    </w:rPr>
                    <w:t>（位于一层，5m</w:t>
                  </w:r>
                  <w:r>
                    <w:rPr>
                      <w:rStyle w:val="29"/>
                      <w:rFonts w:hint="eastAsia"/>
                      <w:color w:val="auto"/>
                      <w:kern w:val="28"/>
                      <w:highlight w:val="none"/>
                      <w:u w:val="none" w:color="auto"/>
                      <w:vertAlign w:val="superscript"/>
                    </w:rPr>
                    <w:t>2</w:t>
                  </w:r>
                  <w:r>
                    <w:rPr>
                      <w:rStyle w:val="29"/>
                      <w:rFonts w:hint="eastAsia"/>
                      <w:color w:val="auto"/>
                      <w:kern w:val="28"/>
                      <w:highlight w:val="none"/>
                      <w:u w:val="none" w:color="auto"/>
                    </w:rPr>
                    <w:t>）</w:t>
                  </w:r>
                </w:p>
              </w:tc>
            </w:tr>
          </w:tbl>
          <w:p>
            <w:pPr>
              <w:widowControl/>
              <w:spacing w:line="360" w:lineRule="auto"/>
              <w:jc w:val="left"/>
              <w:rPr>
                <w:b/>
                <w:color w:val="auto"/>
                <w:kern w:val="0"/>
                <w:sz w:val="24"/>
                <w:highlight w:val="none"/>
                <w:u w:val="none" w:color="auto"/>
              </w:rPr>
            </w:pPr>
            <w:r>
              <w:rPr>
                <w:rFonts w:hint="eastAsia"/>
                <w:b/>
                <w:color w:val="auto"/>
                <w:kern w:val="0"/>
                <w:sz w:val="24"/>
                <w:highlight w:val="none"/>
                <w:u w:val="none" w:color="auto"/>
              </w:rPr>
              <w:t>2</w:t>
            </w:r>
            <w:r>
              <w:rPr>
                <w:b/>
                <w:color w:val="auto"/>
                <w:kern w:val="0"/>
                <w:sz w:val="24"/>
                <w:highlight w:val="none"/>
                <w:u w:val="none" w:color="auto"/>
              </w:rPr>
              <w:t>、</w:t>
            </w:r>
            <w:r>
              <w:rPr>
                <w:rFonts w:hint="eastAsia"/>
                <w:b/>
                <w:color w:val="auto"/>
                <w:kern w:val="0"/>
                <w:sz w:val="24"/>
                <w:highlight w:val="none"/>
                <w:u w:val="none" w:color="auto"/>
              </w:rPr>
              <w:t>主要产品</w:t>
            </w:r>
          </w:p>
          <w:p>
            <w:pPr>
              <w:spacing w:line="360" w:lineRule="auto"/>
              <w:ind w:firstLine="480"/>
              <w:rPr>
                <w:color w:val="auto"/>
                <w:sz w:val="24"/>
                <w:szCs w:val="24"/>
                <w:highlight w:val="none"/>
                <w:u w:val="none" w:color="auto"/>
              </w:rPr>
            </w:pPr>
            <w:r>
              <w:rPr>
                <w:rFonts w:hAnsi="宋体"/>
                <w:color w:val="auto"/>
                <w:sz w:val="24"/>
                <w:highlight w:val="none"/>
                <w:u w:val="none" w:color="auto"/>
              </w:rPr>
              <w:t>项目设计年产量：</w:t>
            </w:r>
            <w:r>
              <w:rPr>
                <w:rFonts w:hint="eastAsia" w:ascii="宋体" w:hAnsi="宋体" w:cs="宋体"/>
                <w:color w:val="auto"/>
                <w:sz w:val="24"/>
                <w:szCs w:val="24"/>
                <w:highlight w:val="none"/>
                <w:u w:val="none" w:color="auto"/>
              </w:rPr>
              <w:t>年产</w:t>
            </w:r>
            <w:r>
              <w:rPr>
                <w:rFonts w:hint="eastAsia" w:ascii="宋体" w:hAnsi="宋体" w:cs="宋体"/>
                <w:color w:val="auto"/>
                <w:sz w:val="24"/>
                <w:szCs w:val="24"/>
                <w:highlight w:val="none"/>
                <w:u w:val="none" w:color="auto"/>
                <w:lang w:val="en-US" w:eastAsia="zh-CN"/>
              </w:rPr>
              <w:t>2000</w:t>
            </w:r>
            <w:r>
              <w:rPr>
                <w:rFonts w:hint="eastAsia" w:ascii="宋体" w:hAnsi="宋体" w:cs="宋体"/>
                <w:color w:val="auto"/>
                <w:sz w:val="24"/>
                <w:szCs w:val="24"/>
                <w:highlight w:val="none"/>
                <w:u w:val="none" w:color="auto"/>
              </w:rPr>
              <w:t>万</w:t>
            </w:r>
            <w:r>
              <w:rPr>
                <w:rFonts w:hint="eastAsia" w:ascii="宋体" w:hAnsi="宋体" w:cs="宋体"/>
                <w:color w:val="auto"/>
                <w:sz w:val="24"/>
                <w:szCs w:val="24"/>
                <w:highlight w:val="none"/>
                <w:u w:val="none" w:color="auto"/>
                <w:lang w:val="en-US" w:eastAsia="zh-CN"/>
              </w:rPr>
              <w:t>只电感</w:t>
            </w:r>
            <w:r>
              <w:rPr>
                <w:rFonts w:hint="eastAsia" w:ascii="宋体" w:hAnsi="宋体" w:cs="宋体"/>
                <w:color w:val="auto"/>
                <w:sz w:val="24"/>
                <w:szCs w:val="24"/>
                <w:highlight w:val="none"/>
                <w:u w:val="none" w:color="auto"/>
              </w:rPr>
              <w:t>。</w:t>
            </w:r>
          </w:p>
          <w:p>
            <w:pPr>
              <w:spacing w:line="360" w:lineRule="auto"/>
              <w:jc w:val="center"/>
              <w:rPr>
                <w:b/>
                <w:color w:val="auto"/>
                <w:highlight w:val="none"/>
                <w:u w:val="none" w:color="auto"/>
              </w:rPr>
            </w:pPr>
            <w:r>
              <w:rPr>
                <w:rFonts w:hAnsi="宋体"/>
                <w:b/>
                <w:color w:val="auto"/>
                <w:highlight w:val="none"/>
                <w:u w:val="none" w:color="auto"/>
              </w:rPr>
              <w:t>表</w:t>
            </w:r>
            <w:r>
              <w:rPr>
                <w:rFonts w:hint="eastAsia" w:hAnsi="宋体"/>
                <w:b/>
                <w:color w:val="auto"/>
                <w:highlight w:val="none"/>
                <w:u w:val="none" w:color="auto"/>
              </w:rPr>
              <w:t>2-</w:t>
            </w:r>
            <w:r>
              <w:rPr>
                <w:b/>
                <w:color w:val="auto"/>
                <w:highlight w:val="none"/>
                <w:u w:val="none" w:color="auto"/>
              </w:rPr>
              <w:t xml:space="preserve">2  </w:t>
            </w:r>
            <w:r>
              <w:rPr>
                <w:rFonts w:hAnsi="宋体"/>
                <w:b/>
                <w:color w:val="auto"/>
                <w:highlight w:val="none"/>
                <w:u w:val="none" w:color="auto"/>
              </w:rPr>
              <w:t>产品方案及规模一览表</w:t>
            </w:r>
          </w:p>
          <w:tbl>
            <w:tblPr>
              <w:tblStyle w:val="27"/>
              <w:tblW w:w="76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35"/>
              <w:gridCol w:w="2114"/>
              <w:gridCol w:w="2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40" w:type="dxa"/>
                  <w:tcBorders>
                    <w:tl2br w:val="nil"/>
                    <w:tr2bl w:val="nil"/>
                  </w:tcBorders>
                  <w:vAlign w:val="center"/>
                </w:tcPr>
                <w:p>
                  <w:pPr>
                    <w:jc w:val="center"/>
                    <w:rPr>
                      <w:b/>
                      <w:color w:val="auto"/>
                      <w:spacing w:val="2"/>
                      <w:highlight w:val="none"/>
                      <w:u w:val="none" w:color="auto"/>
                    </w:rPr>
                  </w:pPr>
                  <w:r>
                    <w:rPr>
                      <w:rFonts w:hint="eastAsia"/>
                      <w:b/>
                      <w:color w:val="auto"/>
                      <w:spacing w:val="2"/>
                      <w:highlight w:val="none"/>
                      <w:u w:val="none" w:color="auto"/>
                    </w:rPr>
                    <w:t>序号</w:t>
                  </w:r>
                </w:p>
              </w:tc>
              <w:tc>
                <w:tcPr>
                  <w:tcW w:w="2235" w:type="dxa"/>
                  <w:tcBorders>
                    <w:tl2br w:val="nil"/>
                    <w:tr2bl w:val="nil"/>
                  </w:tcBorders>
                  <w:vAlign w:val="center"/>
                </w:tcPr>
                <w:p>
                  <w:pPr>
                    <w:jc w:val="center"/>
                    <w:rPr>
                      <w:b/>
                      <w:color w:val="auto"/>
                      <w:spacing w:val="2"/>
                      <w:highlight w:val="none"/>
                      <w:u w:val="none" w:color="auto"/>
                    </w:rPr>
                  </w:pPr>
                  <w:r>
                    <w:rPr>
                      <w:rFonts w:hint="eastAsia"/>
                      <w:b/>
                      <w:color w:val="auto"/>
                      <w:highlight w:val="none"/>
                      <w:u w:val="none" w:color="auto"/>
                    </w:rPr>
                    <w:t>产品名称</w:t>
                  </w:r>
                </w:p>
              </w:tc>
              <w:tc>
                <w:tcPr>
                  <w:tcW w:w="2114" w:type="dxa"/>
                  <w:tcBorders>
                    <w:tl2br w:val="nil"/>
                    <w:tr2bl w:val="nil"/>
                  </w:tcBorders>
                  <w:vAlign w:val="center"/>
                </w:tcPr>
                <w:p>
                  <w:pPr>
                    <w:jc w:val="center"/>
                    <w:rPr>
                      <w:b/>
                      <w:color w:val="auto"/>
                      <w:spacing w:val="2"/>
                      <w:highlight w:val="none"/>
                      <w:u w:val="none" w:color="auto"/>
                    </w:rPr>
                  </w:pPr>
                  <w:r>
                    <w:rPr>
                      <w:rFonts w:hint="eastAsia"/>
                      <w:b/>
                      <w:color w:val="auto"/>
                      <w:spacing w:val="2"/>
                      <w:highlight w:val="none"/>
                      <w:u w:val="none" w:color="auto"/>
                    </w:rPr>
                    <w:t>年产量（万个）</w:t>
                  </w:r>
                </w:p>
              </w:tc>
              <w:tc>
                <w:tcPr>
                  <w:tcW w:w="2329" w:type="dxa"/>
                  <w:tcBorders>
                    <w:tl2br w:val="nil"/>
                    <w:tr2bl w:val="nil"/>
                  </w:tcBorders>
                  <w:vAlign w:val="center"/>
                </w:tcPr>
                <w:p>
                  <w:pPr>
                    <w:jc w:val="center"/>
                    <w:rPr>
                      <w:b/>
                      <w:color w:val="auto"/>
                      <w:spacing w:val="2"/>
                      <w:highlight w:val="none"/>
                      <w:u w:val="none" w:color="auto"/>
                    </w:rPr>
                  </w:pPr>
                  <w:r>
                    <w:rPr>
                      <w:rFonts w:hint="eastAsia"/>
                      <w:b/>
                      <w:color w:val="auto"/>
                      <w:highlight w:val="none"/>
                      <w:u w:val="none" w:color="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0" w:type="dxa"/>
                  <w:tcBorders>
                    <w:tl2br w:val="nil"/>
                    <w:tr2bl w:val="nil"/>
                  </w:tcBorders>
                  <w:vAlign w:val="center"/>
                </w:tcPr>
                <w:p>
                  <w:pPr>
                    <w:jc w:val="center"/>
                    <w:rPr>
                      <w:bCs/>
                      <w:color w:val="auto"/>
                      <w:spacing w:val="2"/>
                      <w:highlight w:val="none"/>
                      <w:u w:val="none" w:color="auto"/>
                    </w:rPr>
                  </w:pPr>
                  <w:r>
                    <w:rPr>
                      <w:rFonts w:hint="eastAsia"/>
                      <w:bCs/>
                      <w:color w:val="auto"/>
                      <w:spacing w:val="2"/>
                      <w:highlight w:val="none"/>
                      <w:u w:val="none" w:color="auto"/>
                    </w:rPr>
                    <w:t>1</w:t>
                  </w:r>
                </w:p>
              </w:tc>
              <w:tc>
                <w:tcPr>
                  <w:tcW w:w="2235" w:type="dxa"/>
                  <w:tcBorders>
                    <w:tl2br w:val="nil"/>
                    <w:tr2bl w:val="nil"/>
                  </w:tcBorders>
                  <w:vAlign w:val="center"/>
                </w:tcPr>
                <w:p>
                  <w:pPr>
                    <w:widowControl/>
                    <w:jc w:val="center"/>
                    <w:textAlignment w:val="center"/>
                    <w:rPr>
                      <w:rFonts w:hint="eastAsia" w:eastAsia="宋体"/>
                      <w:bCs/>
                      <w:color w:val="auto"/>
                      <w:spacing w:val="2"/>
                      <w:highlight w:val="none"/>
                      <w:u w:val="none" w:color="auto"/>
                      <w:lang w:val="en-US" w:eastAsia="zh-CN"/>
                    </w:rPr>
                  </w:pPr>
                  <w:r>
                    <w:rPr>
                      <w:rFonts w:hint="eastAsia"/>
                      <w:bCs/>
                      <w:color w:val="auto"/>
                      <w:spacing w:val="2"/>
                      <w:highlight w:val="none"/>
                      <w:u w:val="none" w:color="auto"/>
                      <w:lang w:val="en-US" w:eastAsia="zh-CN"/>
                    </w:rPr>
                    <w:t>电感</w:t>
                  </w:r>
                </w:p>
              </w:tc>
              <w:tc>
                <w:tcPr>
                  <w:tcW w:w="2114" w:type="dxa"/>
                  <w:tcBorders>
                    <w:tl2br w:val="nil"/>
                    <w:tr2bl w:val="nil"/>
                  </w:tcBorders>
                  <w:vAlign w:val="center"/>
                </w:tcPr>
                <w:p>
                  <w:pPr>
                    <w:widowControl/>
                    <w:jc w:val="center"/>
                    <w:textAlignment w:val="center"/>
                    <w:rPr>
                      <w:bCs/>
                      <w:color w:val="auto"/>
                      <w:spacing w:val="2"/>
                      <w:highlight w:val="none"/>
                      <w:u w:val="none" w:color="auto"/>
                    </w:rPr>
                  </w:pPr>
                  <w:r>
                    <w:rPr>
                      <w:rFonts w:hint="eastAsia"/>
                      <w:bCs/>
                      <w:color w:val="auto"/>
                      <w:spacing w:val="2"/>
                      <w:highlight w:val="none"/>
                      <w:u w:val="none" w:color="auto"/>
                      <w:lang w:val="en-US" w:eastAsia="zh-CN"/>
                    </w:rPr>
                    <w:t>2000万只</w:t>
                  </w:r>
                </w:p>
              </w:tc>
              <w:tc>
                <w:tcPr>
                  <w:tcW w:w="2329" w:type="dxa"/>
                  <w:tcBorders>
                    <w:tl2br w:val="nil"/>
                    <w:tr2bl w:val="nil"/>
                  </w:tcBorders>
                  <w:vAlign w:val="center"/>
                </w:tcPr>
                <w:p>
                  <w:pPr>
                    <w:jc w:val="both"/>
                    <w:rPr>
                      <w:bCs/>
                      <w:color w:val="auto"/>
                      <w:spacing w:val="2"/>
                      <w:highlight w:val="none"/>
                      <w:u w:val="none" w:color="auto"/>
                    </w:rPr>
                  </w:pPr>
                  <w:r>
                    <w:rPr>
                      <w:rFonts w:hint="eastAsia"/>
                      <w:bCs/>
                      <w:color w:val="auto"/>
                      <w:spacing w:val="2"/>
                      <w:highlight w:val="none"/>
                      <w:u w:val="none" w:color="auto"/>
                    </w:rPr>
                    <w:t>库房暂存，物流运输</w:t>
                  </w:r>
                </w:p>
              </w:tc>
            </w:tr>
          </w:tbl>
          <w:p>
            <w:pPr>
              <w:spacing w:line="360" w:lineRule="auto"/>
              <w:jc w:val="left"/>
              <w:rPr>
                <w:b/>
                <w:bCs/>
                <w:color w:val="auto"/>
                <w:sz w:val="24"/>
                <w:highlight w:val="none"/>
                <w:u w:val="none" w:color="auto"/>
              </w:rPr>
            </w:pPr>
            <w:r>
              <w:rPr>
                <w:rFonts w:hint="eastAsia"/>
                <w:b/>
                <w:bCs/>
                <w:color w:val="auto"/>
                <w:sz w:val="24"/>
                <w:highlight w:val="none"/>
                <w:u w:val="none" w:color="auto"/>
              </w:rPr>
              <w:t>3、主要原辅材料</w:t>
            </w:r>
          </w:p>
          <w:p>
            <w:pPr>
              <w:tabs>
                <w:tab w:val="center" w:pos="4871"/>
              </w:tabs>
              <w:spacing w:line="360" w:lineRule="auto"/>
              <w:ind w:firstLine="480" w:firstLineChars="200"/>
              <w:jc w:val="left"/>
              <w:rPr>
                <w:rFonts w:eastAsia="黑体"/>
                <w:color w:val="auto"/>
                <w:highlight w:val="none"/>
                <w:u w:val="none" w:color="auto"/>
              </w:rPr>
            </w:pPr>
            <w:r>
              <w:rPr>
                <w:rFonts w:hint="eastAsia"/>
                <w:color w:val="auto"/>
                <w:sz w:val="24"/>
                <w:highlight w:val="none"/>
                <w:u w:val="none" w:color="auto"/>
              </w:rPr>
              <w:t>本项目主要原辅材料见下表2-3。</w:t>
            </w:r>
            <w:r>
              <w:rPr>
                <w:color w:val="auto"/>
                <w:highlight w:val="none"/>
                <w:u w:val="none" w:color="auto"/>
              </w:rPr>
              <w:tab/>
            </w:r>
          </w:p>
          <w:p>
            <w:pPr>
              <w:autoSpaceDE w:val="0"/>
              <w:autoSpaceDN w:val="0"/>
              <w:adjustRightInd w:val="0"/>
              <w:spacing w:line="360" w:lineRule="auto"/>
              <w:jc w:val="center"/>
              <w:rPr>
                <w:rFonts w:eastAsia="黑体"/>
                <w:b/>
                <w:bCs/>
                <w:color w:val="auto"/>
                <w:sz w:val="24"/>
                <w:highlight w:val="none"/>
                <w:u w:val="none" w:color="auto"/>
              </w:rPr>
            </w:pPr>
            <w:r>
              <w:rPr>
                <w:rFonts w:hint="eastAsia" w:ascii="宋体" w:hAnsi="宋体" w:cs="宋体"/>
                <w:b/>
                <w:bCs/>
                <w:color w:val="auto"/>
                <w:highlight w:val="none"/>
                <w:u w:val="none" w:color="auto"/>
              </w:rPr>
              <w:t>表2-3  主要原辅材料一览表</w:t>
            </w:r>
          </w:p>
          <w:tbl>
            <w:tblPr>
              <w:tblStyle w:val="26"/>
              <w:tblW w:w="487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18"/>
              <w:gridCol w:w="750"/>
              <w:gridCol w:w="1200"/>
              <w:gridCol w:w="1287"/>
              <w:gridCol w:w="1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42" w:type="pct"/>
                  <w:vAlign w:val="center"/>
                </w:tcPr>
                <w:p>
                  <w:pPr>
                    <w:jc w:val="center"/>
                    <w:rPr>
                      <w:b/>
                      <w:color w:val="auto"/>
                      <w:highlight w:val="none"/>
                      <w:u w:val="none" w:color="auto"/>
                    </w:rPr>
                  </w:pPr>
                  <w:r>
                    <w:rPr>
                      <w:b/>
                      <w:color w:val="auto"/>
                      <w:highlight w:val="none"/>
                      <w:u w:val="none" w:color="auto"/>
                    </w:rPr>
                    <w:t>序号</w:t>
                  </w:r>
                </w:p>
              </w:tc>
              <w:tc>
                <w:tcPr>
                  <w:tcW w:w="1161" w:type="pct"/>
                  <w:vAlign w:val="center"/>
                </w:tcPr>
                <w:p>
                  <w:pPr>
                    <w:jc w:val="center"/>
                    <w:rPr>
                      <w:b/>
                      <w:color w:val="auto"/>
                      <w:highlight w:val="none"/>
                      <w:u w:val="none" w:color="auto"/>
                    </w:rPr>
                  </w:pPr>
                  <w:r>
                    <w:rPr>
                      <w:b/>
                      <w:color w:val="auto"/>
                      <w:highlight w:val="none"/>
                      <w:u w:val="none" w:color="auto"/>
                    </w:rPr>
                    <w:t>名称</w:t>
                  </w:r>
                </w:p>
              </w:tc>
              <w:tc>
                <w:tcPr>
                  <w:tcW w:w="506" w:type="pct"/>
                  <w:vAlign w:val="center"/>
                </w:tcPr>
                <w:p>
                  <w:pPr>
                    <w:jc w:val="center"/>
                    <w:rPr>
                      <w:b/>
                      <w:color w:val="auto"/>
                      <w:highlight w:val="none"/>
                      <w:u w:val="none" w:color="auto"/>
                    </w:rPr>
                  </w:pPr>
                  <w:r>
                    <w:rPr>
                      <w:rFonts w:hint="eastAsia"/>
                      <w:b/>
                      <w:color w:val="auto"/>
                      <w:highlight w:val="none"/>
                      <w:u w:val="none" w:color="auto"/>
                    </w:rPr>
                    <w:t>单位</w:t>
                  </w:r>
                </w:p>
              </w:tc>
              <w:tc>
                <w:tcPr>
                  <w:tcW w:w="811" w:type="pct"/>
                  <w:vAlign w:val="center"/>
                </w:tcPr>
                <w:p>
                  <w:pPr>
                    <w:jc w:val="center"/>
                    <w:rPr>
                      <w:b/>
                      <w:color w:val="auto"/>
                      <w:highlight w:val="none"/>
                      <w:u w:val="none" w:color="auto"/>
                    </w:rPr>
                  </w:pPr>
                  <w:r>
                    <w:rPr>
                      <w:b/>
                      <w:color w:val="auto"/>
                      <w:highlight w:val="none"/>
                      <w:u w:val="none" w:color="auto"/>
                    </w:rPr>
                    <w:t>年耗量</w:t>
                  </w:r>
                </w:p>
              </w:tc>
              <w:tc>
                <w:tcPr>
                  <w:tcW w:w="869" w:type="pct"/>
                  <w:vAlign w:val="center"/>
                </w:tcPr>
                <w:p>
                  <w:pPr>
                    <w:jc w:val="center"/>
                    <w:rPr>
                      <w:b/>
                      <w:color w:val="auto"/>
                      <w:highlight w:val="none"/>
                      <w:u w:val="none" w:color="auto"/>
                    </w:rPr>
                  </w:pPr>
                  <w:r>
                    <w:rPr>
                      <w:rFonts w:hint="eastAsia"/>
                      <w:b/>
                      <w:color w:val="auto"/>
                      <w:highlight w:val="none"/>
                      <w:u w:val="none" w:color="auto"/>
                    </w:rPr>
                    <w:t>最大暂存量</w:t>
                  </w:r>
                </w:p>
              </w:tc>
              <w:tc>
                <w:tcPr>
                  <w:tcW w:w="1208" w:type="pct"/>
                  <w:vAlign w:val="center"/>
                </w:tcPr>
                <w:p>
                  <w:pPr>
                    <w:jc w:val="center"/>
                    <w:rPr>
                      <w:b/>
                      <w:color w:val="auto"/>
                      <w:highlight w:val="none"/>
                      <w:u w:val="none" w:color="auto"/>
                    </w:rPr>
                  </w:pPr>
                  <w:r>
                    <w:rPr>
                      <w:rFonts w:hint="eastAsia"/>
                      <w:b/>
                      <w:color w:val="auto"/>
                      <w:highlight w:val="none"/>
                      <w:u w:val="none" w:color="auto"/>
                    </w:rPr>
                    <w:t>包装方式及形态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color w:val="auto"/>
                      <w:kern w:val="0"/>
                      <w:highlight w:val="none"/>
                      <w:u w:val="none" w:color="auto"/>
                    </w:rPr>
                  </w:pPr>
                  <w:r>
                    <w:rPr>
                      <w:color w:val="auto"/>
                      <w:kern w:val="0"/>
                      <w:highlight w:val="none"/>
                      <w:u w:val="none" w:color="auto"/>
                    </w:rPr>
                    <w:t>1</w:t>
                  </w:r>
                </w:p>
              </w:tc>
              <w:tc>
                <w:tcPr>
                  <w:tcW w:w="1161" w:type="pct"/>
                  <w:vAlign w:val="center"/>
                </w:tcPr>
                <w:p>
                  <w:pPr>
                    <w:adjustRightInd w:val="0"/>
                    <w:snapToGrid w:val="0"/>
                    <w:jc w:val="center"/>
                    <w:rPr>
                      <w:color w:val="auto"/>
                      <w:highlight w:val="none"/>
                      <w:u w:val="none" w:color="auto"/>
                    </w:rPr>
                  </w:pPr>
                  <w:r>
                    <w:rPr>
                      <w:color w:val="auto"/>
                      <w:szCs w:val="21"/>
                      <w:highlight w:val="none"/>
                      <w:u w:val="none" w:color="auto"/>
                    </w:rPr>
                    <w:t>漆包线</w:t>
                  </w:r>
                </w:p>
              </w:tc>
              <w:tc>
                <w:tcPr>
                  <w:tcW w:w="506" w:type="pct"/>
                  <w:vAlign w:val="center"/>
                </w:tcPr>
                <w:p>
                  <w:pPr>
                    <w:widowControl/>
                    <w:jc w:val="center"/>
                    <w:textAlignment w:val="center"/>
                    <w:rPr>
                      <w:rFonts w:hint="default" w:eastAsia="宋体"/>
                      <w:color w:val="auto"/>
                      <w:highlight w:val="none"/>
                      <w:u w:val="none" w:color="auto"/>
                      <w:lang w:val="en-US" w:eastAsia="zh-CN"/>
                    </w:rPr>
                  </w:pPr>
                  <w:r>
                    <w:rPr>
                      <w:rFonts w:hint="eastAsia" w:cs="Times New Roman"/>
                      <w:color w:val="auto"/>
                      <w:sz w:val="21"/>
                      <w:szCs w:val="21"/>
                      <w:highlight w:val="none"/>
                      <w:u w:val="none" w:color="auto"/>
                      <w:lang w:val="en-US" w:eastAsia="zh-CN"/>
                    </w:rPr>
                    <w:t>t/a</w:t>
                  </w:r>
                </w:p>
              </w:tc>
              <w:tc>
                <w:tcPr>
                  <w:tcW w:w="811" w:type="pct"/>
                  <w:vAlign w:val="center"/>
                </w:tcPr>
                <w:p>
                  <w:pPr>
                    <w:pStyle w:val="72"/>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kern w:val="2"/>
                      <w:sz w:val="21"/>
                      <w:szCs w:val="21"/>
                      <w:highlight w:val="none"/>
                      <w:u w:val="none" w:color="auto"/>
                      <w:lang w:val="en-US" w:eastAsia="zh-CN" w:bidi="ar-SA"/>
                    </w:rPr>
                    <w:t>80</w:t>
                  </w:r>
                  <w:r>
                    <w:rPr>
                      <w:rFonts w:hint="eastAsia" w:ascii="Times New Roman" w:hAnsi="Times New Roman" w:eastAsia="宋体" w:cs="Times New Roman"/>
                      <w:color w:val="auto"/>
                      <w:kern w:val="2"/>
                      <w:sz w:val="21"/>
                      <w:szCs w:val="21"/>
                      <w:highlight w:val="none"/>
                      <w:u w:val="none" w:color="auto"/>
                      <w:lang w:val="en-US" w:eastAsia="zh-CN" w:bidi="ar-SA"/>
                    </w:rPr>
                    <w:t xml:space="preserve">  </w:t>
                  </w:r>
                </w:p>
              </w:tc>
              <w:tc>
                <w:tcPr>
                  <w:tcW w:w="1287"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5</w:t>
                  </w:r>
                </w:p>
              </w:tc>
              <w:tc>
                <w:tcPr>
                  <w:tcW w:w="1208" w:type="pct"/>
                  <w:vAlign w:val="center"/>
                </w:tcPr>
                <w:p>
                  <w:pPr>
                    <w:widowControl/>
                    <w:jc w:val="center"/>
                    <w:textAlignment w:val="center"/>
                    <w:rPr>
                      <w:rFonts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袋装、固态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color w:val="auto"/>
                      <w:kern w:val="0"/>
                      <w:highlight w:val="none"/>
                      <w:u w:val="none" w:color="auto"/>
                    </w:rPr>
                  </w:pPr>
                  <w:r>
                    <w:rPr>
                      <w:rFonts w:hint="eastAsia"/>
                      <w:color w:val="auto"/>
                      <w:kern w:val="0"/>
                      <w:highlight w:val="none"/>
                      <w:u w:val="none" w:color="auto"/>
                    </w:rPr>
                    <w:t>2</w:t>
                  </w:r>
                </w:p>
              </w:tc>
              <w:tc>
                <w:tcPr>
                  <w:tcW w:w="1161" w:type="pct"/>
                  <w:vAlign w:val="center"/>
                </w:tcPr>
                <w:p>
                  <w:pPr>
                    <w:adjustRightInd w:val="0"/>
                    <w:snapToGrid w:val="0"/>
                    <w:jc w:val="center"/>
                    <w:rPr>
                      <w:color w:val="auto"/>
                      <w:highlight w:val="none"/>
                      <w:u w:val="none" w:color="auto"/>
                    </w:rPr>
                  </w:pPr>
                  <w:r>
                    <w:rPr>
                      <w:color w:val="auto"/>
                      <w:szCs w:val="21"/>
                      <w:highlight w:val="none"/>
                      <w:u w:val="none" w:color="auto"/>
                    </w:rPr>
                    <w:t>磁芯</w:t>
                  </w:r>
                </w:p>
              </w:tc>
              <w:tc>
                <w:tcPr>
                  <w:tcW w:w="506" w:type="pct"/>
                  <w:vAlign w:val="center"/>
                </w:tcPr>
                <w:p>
                  <w:pPr>
                    <w:widowControl/>
                    <w:jc w:val="center"/>
                    <w:textAlignment w:val="center"/>
                    <w:rPr>
                      <w:color w:val="auto"/>
                      <w:highlight w:val="none"/>
                      <w:u w:val="none" w:color="auto"/>
                    </w:rPr>
                  </w:pPr>
                  <w:r>
                    <w:rPr>
                      <w:rFonts w:ascii="Times New Roman" w:hAnsi="Times New Roman" w:cs="Times New Roman"/>
                      <w:color w:val="auto"/>
                      <w:sz w:val="21"/>
                      <w:szCs w:val="21"/>
                      <w:highlight w:val="none"/>
                      <w:u w:val="none" w:color="auto"/>
                    </w:rPr>
                    <w:t>对</w:t>
                  </w:r>
                </w:p>
              </w:tc>
              <w:tc>
                <w:tcPr>
                  <w:tcW w:w="811" w:type="pct"/>
                  <w:vAlign w:val="center"/>
                </w:tcPr>
                <w:p>
                  <w:pPr>
                    <w:pStyle w:val="72"/>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kern w:val="2"/>
                      <w:sz w:val="21"/>
                      <w:szCs w:val="21"/>
                      <w:highlight w:val="none"/>
                      <w:u w:val="none" w:color="auto"/>
                      <w:lang w:val="en-US" w:eastAsia="zh-CN" w:bidi="ar-SA"/>
                    </w:rPr>
                    <w:t>300</w:t>
                  </w:r>
                  <w:r>
                    <w:rPr>
                      <w:rFonts w:hint="eastAsia" w:ascii="Times New Roman" w:hAnsi="Times New Roman" w:eastAsia="宋体" w:cs="Times New Roman"/>
                      <w:color w:val="auto"/>
                      <w:kern w:val="2"/>
                      <w:sz w:val="21"/>
                      <w:szCs w:val="21"/>
                      <w:highlight w:val="none"/>
                      <w:u w:val="none" w:color="auto"/>
                      <w:lang w:val="en-US" w:eastAsia="zh-CN" w:bidi="ar-SA"/>
                    </w:rPr>
                    <w:t>万</w:t>
                  </w:r>
                </w:p>
              </w:tc>
              <w:tc>
                <w:tcPr>
                  <w:tcW w:w="1287"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30</w:t>
                  </w:r>
                </w:p>
              </w:tc>
              <w:tc>
                <w:tcPr>
                  <w:tcW w:w="1208" w:type="pct"/>
                  <w:vAlign w:val="center"/>
                </w:tcPr>
                <w:p>
                  <w:pPr>
                    <w:widowControl/>
                    <w:jc w:val="center"/>
                    <w:textAlignment w:val="center"/>
                    <w:rPr>
                      <w:rFonts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纸箱装、固态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color w:val="auto"/>
                      <w:kern w:val="0"/>
                      <w:highlight w:val="none"/>
                      <w:u w:val="none" w:color="auto"/>
                    </w:rPr>
                  </w:pPr>
                  <w:r>
                    <w:rPr>
                      <w:rFonts w:hint="eastAsia"/>
                      <w:color w:val="auto"/>
                      <w:kern w:val="0"/>
                      <w:highlight w:val="none"/>
                      <w:u w:val="none" w:color="auto"/>
                    </w:rPr>
                    <w:t>3</w:t>
                  </w:r>
                </w:p>
              </w:tc>
              <w:tc>
                <w:tcPr>
                  <w:tcW w:w="1161" w:type="pct"/>
                  <w:vAlign w:val="center"/>
                </w:tcPr>
                <w:p>
                  <w:pPr>
                    <w:adjustRightInd w:val="0"/>
                    <w:snapToGrid w:val="0"/>
                    <w:jc w:val="center"/>
                    <w:rPr>
                      <w:rFonts w:hint="eastAsia" w:eastAsia="宋体"/>
                      <w:color w:val="auto"/>
                      <w:highlight w:val="none"/>
                      <w:u w:val="none" w:color="auto"/>
                      <w:lang w:eastAsia="zh-CN"/>
                    </w:rPr>
                  </w:pPr>
                  <w:r>
                    <w:rPr>
                      <w:color w:val="auto"/>
                      <w:szCs w:val="21"/>
                      <w:highlight w:val="none"/>
                      <w:u w:val="none" w:color="auto"/>
                    </w:rPr>
                    <w:t>绝缘油</w:t>
                  </w:r>
                  <w:r>
                    <w:rPr>
                      <w:rFonts w:hint="eastAsia"/>
                      <w:color w:val="auto"/>
                      <w:szCs w:val="21"/>
                      <w:highlight w:val="none"/>
                      <w:u w:val="none" w:color="auto"/>
                      <w:lang w:eastAsia="zh-CN"/>
                    </w:rPr>
                    <w:t>（</w:t>
                  </w:r>
                  <w:r>
                    <w:rPr>
                      <w:rFonts w:hint="eastAsia"/>
                      <w:color w:val="auto"/>
                      <w:szCs w:val="21"/>
                      <w:highlight w:val="none"/>
                      <w:u w:val="none" w:color="auto"/>
                      <w:lang w:val="en-US" w:eastAsia="zh-CN"/>
                    </w:rPr>
                    <w:t>凡立水</w:t>
                  </w:r>
                  <w:r>
                    <w:rPr>
                      <w:rFonts w:hint="eastAsia"/>
                      <w:color w:val="auto"/>
                      <w:szCs w:val="21"/>
                      <w:highlight w:val="none"/>
                      <w:u w:val="none" w:color="auto"/>
                      <w:lang w:eastAsia="zh-CN"/>
                    </w:rPr>
                    <w:t>）</w:t>
                  </w:r>
                </w:p>
              </w:tc>
              <w:tc>
                <w:tcPr>
                  <w:tcW w:w="506" w:type="pct"/>
                  <w:vAlign w:val="center"/>
                </w:tcPr>
                <w:p>
                  <w:pPr>
                    <w:widowControl/>
                    <w:jc w:val="center"/>
                    <w:textAlignment w:val="center"/>
                    <w:rPr>
                      <w:color w:val="auto"/>
                      <w:highlight w:val="none"/>
                      <w:u w:val="none" w:color="auto"/>
                    </w:rPr>
                  </w:pPr>
                  <w:r>
                    <w:rPr>
                      <w:rFonts w:hint="eastAsia" w:cs="Times New Roman"/>
                      <w:color w:val="auto"/>
                      <w:sz w:val="21"/>
                      <w:szCs w:val="21"/>
                      <w:highlight w:val="none"/>
                      <w:u w:val="none" w:color="auto"/>
                      <w:lang w:val="en-US" w:eastAsia="zh-CN"/>
                    </w:rPr>
                    <w:t>t/a</w:t>
                  </w:r>
                </w:p>
              </w:tc>
              <w:tc>
                <w:tcPr>
                  <w:tcW w:w="811" w:type="pct"/>
                  <w:vAlign w:val="center"/>
                </w:tcPr>
                <w:p>
                  <w:pPr>
                    <w:pStyle w:val="72"/>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 xml:space="preserve"> </w:t>
                  </w:r>
                  <w:r>
                    <w:rPr>
                      <w:rFonts w:hint="eastAsia" w:ascii="Times New Roman" w:hAnsi="Times New Roman" w:cs="Times New Roman"/>
                      <w:color w:val="auto"/>
                      <w:kern w:val="2"/>
                      <w:sz w:val="21"/>
                      <w:szCs w:val="21"/>
                      <w:highlight w:val="none"/>
                      <w:u w:val="none" w:color="auto"/>
                      <w:lang w:val="en-US" w:eastAsia="zh-CN" w:bidi="ar-SA"/>
                    </w:rPr>
                    <w:t>1.2</w:t>
                  </w:r>
                  <w:r>
                    <w:rPr>
                      <w:rFonts w:hint="eastAsia" w:ascii="Times New Roman" w:hAnsi="Times New Roman" w:eastAsia="宋体" w:cs="Times New Roman"/>
                      <w:color w:val="auto"/>
                      <w:kern w:val="2"/>
                      <w:sz w:val="21"/>
                      <w:szCs w:val="21"/>
                      <w:highlight w:val="none"/>
                      <w:u w:val="none" w:color="auto"/>
                      <w:lang w:val="en-US" w:eastAsia="zh-CN" w:bidi="ar-SA"/>
                    </w:rPr>
                    <w:t xml:space="preserve"> </w:t>
                  </w:r>
                </w:p>
              </w:tc>
              <w:tc>
                <w:tcPr>
                  <w:tcW w:w="1287"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0.2</w:t>
                  </w:r>
                </w:p>
              </w:tc>
              <w:tc>
                <w:tcPr>
                  <w:tcW w:w="1208" w:type="pct"/>
                  <w:vAlign w:val="center"/>
                </w:tcPr>
                <w:p>
                  <w:pPr>
                    <w:widowControl/>
                    <w:jc w:val="center"/>
                    <w:textAlignment w:val="center"/>
                    <w:rPr>
                      <w:rFonts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纸箱装、</w:t>
                  </w:r>
                  <w:r>
                    <w:rPr>
                      <w:rFonts w:hint="eastAsia" w:ascii="宋体" w:hAnsi="宋体" w:cs="宋体"/>
                      <w:color w:val="auto"/>
                      <w:kern w:val="0"/>
                      <w:highlight w:val="none"/>
                      <w:u w:val="none" w:color="auto"/>
                      <w:lang w:val="en-US" w:eastAsia="zh-CN" w:bidi="ar"/>
                    </w:rPr>
                    <w:t>液</w:t>
                  </w:r>
                  <w:r>
                    <w:rPr>
                      <w:rFonts w:hint="eastAsia" w:ascii="宋体" w:hAnsi="宋体" w:cs="宋体"/>
                      <w:color w:val="auto"/>
                      <w:kern w:val="0"/>
                      <w:highlight w:val="none"/>
                      <w:u w:val="none" w:color="auto"/>
                      <w:lang w:bidi="ar"/>
                    </w:rPr>
                    <w:t>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color w:val="auto"/>
                      <w:kern w:val="0"/>
                      <w:highlight w:val="none"/>
                      <w:u w:val="none" w:color="auto"/>
                    </w:rPr>
                  </w:pPr>
                  <w:r>
                    <w:rPr>
                      <w:rFonts w:hint="eastAsia"/>
                      <w:color w:val="auto"/>
                      <w:kern w:val="0"/>
                      <w:highlight w:val="none"/>
                      <w:u w:val="none" w:color="auto"/>
                    </w:rPr>
                    <w:t>4</w:t>
                  </w:r>
                </w:p>
              </w:tc>
              <w:tc>
                <w:tcPr>
                  <w:tcW w:w="1161" w:type="pct"/>
                  <w:vAlign w:val="center"/>
                </w:tcPr>
                <w:p>
                  <w:pPr>
                    <w:adjustRightInd w:val="0"/>
                    <w:snapToGrid w:val="0"/>
                    <w:jc w:val="center"/>
                    <w:rPr>
                      <w:color w:val="auto"/>
                      <w:highlight w:val="none"/>
                      <w:u w:val="none" w:color="auto"/>
                    </w:rPr>
                  </w:pPr>
                  <w:r>
                    <w:rPr>
                      <w:color w:val="auto"/>
                      <w:szCs w:val="21"/>
                      <w:highlight w:val="none"/>
                      <w:u w:val="none" w:color="auto"/>
                    </w:rPr>
                    <w:t>稀释剂</w:t>
                  </w:r>
                </w:p>
              </w:tc>
              <w:tc>
                <w:tcPr>
                  <w:tcW w:w="506" w:type="pct"/>
                  <w:vAlign w:val="center"/>
                </w:tcPr>
                <w:p>
                  <w:pPr>
                    <w:spacing w:line="420" w:lineRule="exact"/>
                    <w:ind w:right="110"/>
                    <w:jc w:val="center"/>
                    <w:rPr>
                      <w:color w:val="auto"/>
                      <w:highlight w:val="none"/>
                      <w:u w:val="none" w:color="auto"/>
                    </w:rPr>
                  </w:pPr>
                  <w:r>
                    <w:rPr>
                      <w:rFonts w:hint="eastAsia" w:cs="Times New Roman"/>
                      <w:color w:val="auto"/>
                      <w:sz w:val="21"/>
                      <w:szCs w:val="21"/>
                      <w:highlight w:val="none"/>
                      <w:u w:val="none" w:color="auto"/>
                      <w:lang w:val="en-US" w:eastAsia="zh-CN"/>
                    </w:rPr>
                    <w:t>t/a</w:t>
                  </w:r>
                </w:p>
              </w:tc>
              <w:tc>
                <w:tcPr>
                  <w:tcW w:w="811" w:type="pct"/>
                  <w:vAlign w:val="center"/>
                </w:tcPr>
                <w:p>
                  <w:pPr>
                    <w:pStyle w:val="72"/>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kern w:val="2"/>
                      <w:sz w:val="21"/>
                      <w:szCs w:val="21"/>
                      <w:highlight w:val="none"/>
                      <w:u w:val="none" w:color="auto"/>
                      <w:lang w:val="en-US" w:eastAsia="zh-CN" w:bidi="ar-SA"/>
                    </w:rPr>
                    <w:t>0.3</w:t>
                  </w:r>
                </w:p>
              </w:tc>
              <w:tc>
                <w:tcPr>
                  <w:tcW w:w="1287" w:type="dxa"/>
                  <w:vAlign w:val="center"/>
                </w:tcPr>
                <w:p>
                  <w:pPr>
                    <w:ind w:right="110" w:rightChars="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0.05</w:t>
                  </w:r>
                </w:p>
              </w:tc>
              <w:tc>
                <w:tcPr>
                  <w:tcW w:w="1208" w:type="pct"/>
                  <w:vAlign w:val="center"/>
                </w:tcPr>
                <w:p>
                  <w:pPr>
                    <w:widowControl/>
                    <w:jc w:val="center"/>
                    <w:textAlignment w:val="center"/>
                    <w:rPr>
                      <w:rFonts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纸箱装、</w:t>
                  </w:r>
                  <w:r>
                    <w:rPr>
                      <w:rFonts w:hint="eastAsia" w:ascii="宋体" w:hAnsi="宋体" w:cs="宋体"/>
                      <w:color w:val="auto"/>
                      <w:kern w:val="0"/>
                      <w:highlight w:val="none"/>
                      <w:u w:val="none" w:color="auto"/>
                      <w:lang w:val="en-US" w:eastAsia="zh-CN" w:bidi="ar"/>
                    </w:rPr>
                    <w:t>液</w:t>
                  </w:r>
                  <w:r>
                    <w:rPr>
                      <w:rFonts w:hint="eastAsia" w:ascii="宋体" w:hAnsi="宋体" w:cs="宋体"/>
                      <w:color w:val="auto"/>
                      <w:kern w:val="0"/>
                      <w:highlight w:val="none"/>
                      <w:u w:val="none" w:color="auto"/>
                      <w:lang w:bidi="ar"/>
                    </w:rPr>
                    <w:t>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5</w:t>
                  </w:r>
                </w:p>
              </w:tc>
              <w:tc>
                <w:tcPr>
                  <w:tcW w:w="1161" w:type="pct"/>
                  <w:vAlign w:val="center"/>
                </w:tcPr>
                <w:p>
                  <w:pPr>
                    <w:adjustRightInd w:val="0"/>
                    <w:snapToGrid w:val="0"/>
                    <w:jc w:val="center"/>
                    <w:rPr>
                      <w:color w:val="auto"/>
                      <w:highlight w:val="none"/>
                      <w:u w:val="none" w:color="auto"/>
                    </w:rPr>
                  </w:pPr>
                  <w:r>
                    <w:rPr>
                      <w:rFonts w:hint="eastAsia"/>
                      <w:color w:val="auto"/>
                      <w:szCs w:val="21"/>
                      <w:highlight w:val="none"/>
                      <w:u w:val="none" w:color="auto"/>
                      <w:lang w:val="en-US" w:eastAsia="zh-CN"/>
                    </w:rPr>
                    <w:t>工业酒精</w:t>
                  </w:r>
                </w:p>
              </w:tc>
              <w:tc>
                <w:tcPr>
                  <w:tcW w:w="506" w:type="pct"/>
                  <w:vAlign w:val="center"/>
                </w:tcPr>
                <w:p>
                  <w:pPr>
                    <w:spacing w:line="420" w:lineRule="exact"/>
                    <w:ind w:right="110"/>
                    <w:jc w:val="center"/>
                    <w:rPr>
                      <w:color w:val="auto"/>
                      <w:highlight w:val="none"/>
                      <w:u w:val="none" w:color="auto"/>
                    </w:rPr>
                  </w:pPr>
                  <w:r>
                    <w:rPr>
                      <w:rFonts w:hint="eastAsia" w:cs="Times New Roman"/>
                      <w:color w:val="auto"/>
                      <w:sz w:val="21"/>
                      <w:szCs w:val="21"/>
                      <w:highlight w:val="none"/>
                      <w:u w:val="none" w:color="auto"/>
                      <w:lang w:val="en-US" w:eastAsia="zh-CN"/>
                    </w:rPr>
                    <w:t>t/a</w:t>
                  </w:r>
                </w:p>
              </w:tc>
              <w:tc>
                <w:tcPr>
                  <w:tcW w:w="811" w:type="pct"/>
                  <w:vAlign w:val="center"/>
                </w:tcPr>
                <w:p>
                  <w:pPr>
                    <w:pStyle w:val="72"/>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 xml:space="preserve"> </w:t>
                  </w:r>
                  <w:r>
                    <w:rPr>
                      <w:rFonts w:hint="eastAsia" w:ascii="Times New Roman" w:hAnsi="Times New Roman" w:cs="Times New Roman"/>
                      <w:color w:val="auto"/>
                      <w:kern w:val="2"/>
                      <w:sz w:val="21"/>
                      <w:szCs w:val="21"/>
                      <w:highlight w:val="none"/>
                      <w:u w:val="none" w:color="auto"/>
                      <w:lang w:val="en-US" w:eastAsia="zh-CN" w:bidi="ar-SA"/>
                    </w:rPr>
                    <w:t>0.1</w:t>
                  </w:r>
                </w:p>
              </w:tc>
              <w:tc>
                <w:tcPr>
                  <w:tcW w:w="1287" w:type="dxa"/>
                  <w:vAlign w:val="center"/>
                </w:tcPr>
                <w:p>
                  <w:pPr>
                    <w:ind w:right="110" w:rightChars="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0.001</w:t>
                  </w:r>
                </w:p>
              </w:tc>
              <w:tc>
                <w:tcPr>
                  <w:tcW w:w="1208" w:type="pct"/>
                  <w:vAlign w:val="center"/>
                </w:tcPr>
                <w:p>
                  <w:pPr>
                    <w:widowControl/>
                    <w:jc w:val="center"/>
                    <w:textAlignment w:val="center"/>
                    <w:rPr>
                      <w:rFonts w:hint="eastAsia"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纸箱装、</w:t>
                  </w:r>
                  <w:r>
                    <w:rPr>
                      <w:rFonts w:hint="eastAsia" w:ascii="宋体" w:hAnsi="宋体" w:cs="宋体"/>
                      <w:color w:val="auto"/>
                      <w:kern w:val="0"/>
                      <w:highlight w:val="none"/>
                      <w:u w:val="none" w:color="auto"/>
                      <w:lang w:val="en-US" w:eastAsia="zh-CN" w:bidi="ar"/>
                    </w:rPr>
                    <w:t>液</w:t>
                  </w:r>
                  <w:r>
                    <w:rPr>
                      <w:rFonts w:hint="eastAsia" w:ascii="宋体" w:hAnsi="宋体" w:cs="宋体"/>
                      <w:color w:val="auto"/>
                      <w:kern w:val="0"/>
                      <w:highlight w:val="none"/>
                      <w:u w:val="none" w:color="auto"/>
                      <w:lang w:bidi="ar"/>
                    </w:rPr>
                    <w:t>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6</w:t>
                  </w:r>
                </w:p>
              </w:tc>
              <w:tc>
                <w:tcPr>
                  <w:tcW w:w="1161" w:type="pct"/>
                  <w:vAlign w:val="center"/>
                </w:tcPr>
                <w:p>
                  <w:pPr>
                    <w:adjustRightInd w:val="0"/>
                    <w:snapToGrid w:val="0"/>
                    <w:jc w:val="center"/>
                    <w:rPr>
                      <w:color w:val="auto"/>
                      <w:highlight w:val="none"/>
                      <w:u w:val="none" w:color="auto"/>
                    </w:rPr>
                  </w:pPr>
                  <w:r>
                    <w:rPr>
                      <w:rFonts w:hint="eastAsia"/>
                      <w:color w:val="auto"/>
                      <w:szCs w:val="21"/>
                      <w:highlight w:val="none"/>
                      <w:u w:val="none" w:color="auto"/>
                      <w:lang w:val="en-US" w:eastAsia="zh-CN"/>
                    </w:rPr>
                    <w:t>无铅</w:t>
                  </w:r>
                  <w:r>
                    <w:rPr>
                      <w:color w:val="auto"/>
                      <w:szCs w:val="21"/>
                      <w:highlight w:val="none"/>
                      <w:u w:val="none" w:color="auto"/>
                    </w:rPr>
                    <w:t>锡条</w:t>
                  </w:r>
                </w:p>
              </w:tc>
              <w:tc>
                <w:tcPr>
                  <w:tcW w:w="506" w:type="pct"/>
                  <w:vAlign w:val="center"/>
                </w:tcPr>
                <w:p>
                  <w:pPr>
                    <w:spacing w:line="420" w:lineRule="exact"/>
                    <w:ind w:right="110"/>
                    <w:jc w:val="center"/>
                    <w:rPr>
                      <w:color w:val="auto"/>
                      <w:highlight w:val="none"/>
                      <w:u w:val="none" w:color="auto"/>
                    </w:rPr>
                  </w:pPr>
                  <w:r>
                    <w:rPr>
                      <w:rFonts w:hint="eastAsia" w:cs="Times New Roman"/>
                      <w:color w:val="auto"/>
                      <w:sz w:val="21"/>
                      <w:szCs w:val="21"/>
                      <w:highlight w:val="none"/>
                      <w:u w:val="none" w:color="auto"/>
                      <w:lang w:val="en-US" w:eastAsia="zh-CN"/>
                    </w:rPr>
                    <w:t>t/a</w:t>
                  </w:r>
                </w:p>
              </w:tc>
              <w:tc>
                <w:tcPr>
                  <w:tcW w:w="811" w:type="pct"/>
                  <w:vAlign w:val="center"/>
                </w:tcPr>
                <w:p>
                  <w:pPr>
                    <w:pStyle w:val="72"/>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kern w:val="2"/>
                      <w:sz w:val="21"/>
                      <w:szCs w:val="21"/>
                      <w:highlight w:val="none"/>
                      <w:u w:val="none" w:color="auto"/>
                      <w:lang w:val="en-US" w:eastAsia="zh-CN" w:bidi="ar-SA"/>
                    </w:rPr>
                    <w:t>0.5</w:t>
                  </w:r>
                </w:p>
              </w:tc>
              <w:tc>
                <w:tcPr>
                  <w:tcW w:w="1287" w:type="dxa"/>
                  <w:vAlign w:val="center"/>
                </w:tcPr>
                <w:p>
                  <w:pPr>
                    <w:ind w:right="110" w:rightChars="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0.04</w:t>
                  </w:r>
                </w:p>
              </w:tc>
              <w:tc>
                <w:tcPr>
                  <w:tcW w:w="1208" w:type="pct"/>
                  <w:vAlign w:val="center"/>
                </w:tcPr>
                <w:p>
                  <w:pPr>
                    <w:widowControl/>
                    <w:jc w:val="center"/>
                    <w:textAlignment w:val="center"/>
                    <w:rPr>
                      <w:rFonts w:hint="eastAsia"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纸箱装、固态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7</w:t>
                  </w:r>
                </w:p>
              </w:tc>
              <w:tc>
                <w:tcPr>
                  <w:tcW w:w="1161" w:type="pct"/>
                  <w:vAlign w:val="center"/>
                </w:tcPr>
                <w:p>
                  <w:pPr>
                    <w:adjustRightInd w:val="0"/>
                    <w:snapToGrid w:val="0"/>
                    <w:jc w:val="center"/>
                    <w:rPr>
                      <w:color w:val="auto"/>
                      <w:highlight w:val="none"/>
                      <w:u w:val="none" w:color="auto"/>
                    </w:rPr>
                  </w:pPr>
                  <w:r>
                    <w:rPr>
                      <w:rFonts w:hint="eastAsia"/>
                      <w:color w:val="auto"/>
                      <w:szCs w:val="21"/>
                      <w:highlight w:val="none"/>
                      <w:u w:val="none" w:color="auto"/>
                      <w:lang w:val="en-US" w:eastAsia="zh-CN"/>
                    </w:rPr>
                    <w:t>胶水</w:t>
                  </w:r>
                </w:p>
              </w:tc>
              <w:tc>
                <w:tcPr>
                  <w:tcW w:w="506" w:type="pct"/>
                  <w:vAlign w:val="center"/>
                </w:tcPr>
                <w:p>
                  <w:pPr>
                    <w:spacing w:line="420" w:lineRule="exact"/>
                    <w:ind w:right="110"/>
                    <w:jc w:val="center"/>
                    <w:rPr>
                      <w:color w:val="auto"/>
                      <w:highlight w:val="none"/>
                      <w:u w:val="none" w:color="auto"/>
                    </w:rPr>
                  </w:pPr>
                  <w:r>
                    <w:rPr>
                      <w:rFonts w:hint="eastAsia" w:cs="Times New Roman"/>
                      <w:color w:val="auto"/>
                      <w:sz w:val="21"/>
                      <w:szCs w:val="21"/>
                      <w:highlight w:val="none"/>
                      <w:u w:val="none" w:color="auto"/>
                      <w:lang w:val="en-US" w:eastAsia="zh-CN"/>
                    </w:rPr>
                    <w:t>t/a</w:t>
                  </w:r>
                </w:p>
              </w:tc>
              <w:tc>
                <w:tcPr>
                  <w:tcW w:w="811" w:type="pct"/>
                  <w:vAlign w:val="center"/>
                </w:tcPr>
                <w:p>
                  <w:pPr>
                    <w:widowControl/>
                    <w:jc w:val="center"/>
                    <w:textAlignment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1</w:t>
                  </w:r>
                </w:p>
              </w:tc>
              <w:tc>
                <w:tcPr>
                  <w:tcW w:w="1287" w:type="dxa"/>
                  <w:vAlign w:val="center"/>
                </w:tcPr>
                <w:p>
                  <w:pPr>
                    <w:ind w:right="110" w:rightChars="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0.05</w:t>
                  </w:r>
                </w:p>
              </w:tc>
              <w:tc>
                <w:tcPr>
                  <w:tcW w:w="1208" w:type="pct"/>
                  <w:vAlign w:val="center"/>
                </w:tcPr>
                <w:p>
                  <w:pPr>
                    <w:widowControl/>
                    <w:jc w:val="center"/>
                    <w:textAlignment w:val="center"/>
                    <w:rPr>
                      <w:rFonts w:hint="eastAsia"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纸箱装、</w:t>
                  </w:r>
                  <w:r>
                    <w:rPr>
                      <w:rFonts w:hint="eastAsia" w:ascii="宋体" w:hAnsi="宋体" w:cs="宋体"/>
                      <w:color w:val="auto"/>
                      <w:kern w:val="0"/>
                      <w:highlight w:val="none"/>
                      <w:u w:val="none" w:color="auto"/>
                      <w:lang w:val="en-US" w:eastAsia="zh-CN" w:bidi="ar"/>
                    </w:rPr>
                    <w:t>液</w:t>
                  </w:r>
                  <w:r>
                    <w:rPr>
                      <w:rFonts w:hint="eastAsia" w:ascii="宋体" w:hAnsi="宋体" w:cs="宋体"/>
                      <w:color w:val="auto"/>
                      <w:kern w:val="0"/>
                      <w:highlight w:val="none"/>
                      <w:u w:val="none" w:color="auto"/>
                      <w:lang w:bidi="ar"/>
                    </w:rPr>
                    <w:t>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Align w:val="center"/>
                </w:tcPr>
                <w:p>
                  <w:pPr>
                    <w:widowControl/>
                    <w:jc w:val="center"/>
                    <w:textAlignment w:val="center"/>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8</w:t>
                  </w:r>
                </w:p>
              </w:tc>
              <w:tc>
                <w:tcPr>
                  <w:tcW w:w="1161" w:type="pct"/>
                  <w:vAlign w:val="center"/>
                </w:tcPr>
                <w:p>
                  <w:pPr>
                    <w:adjustRightInd w:val="0"/>
                    <w:snapToGrid w:val="0"/>
                    <w:jc w:val="center"/>
                    <w:rPr>
                      <w:color w:val="auto"/>
                      <w:highlight w:val="none"/>
                      <w:u w:val="none" w:color="auto"/>
                    </w:rPr>
                  </w:pPr>
                  <w:r>
                    <w:rPr>
                      <w:rFonts w:hint="eastAsia"/>
                      <w:color w:val="auto"/>
                      <w:szCs w:val="21"/>
                      <w:highlight w:val="none"/>
                      <w:u w:val="none" w:color="auto"/>
                      <w:lang w:val="en-US" w:eastAsia="zh-CN"/>
                    </w:rPr>
                    <w:t>包材</w:t>
                  </w:r>
                </w:p>
              </w:tc>
              <w:tc>
                <w:tcPr>
                  <w:tcW w:w="506" w:type="pct"/>
                  <w:vAlign w:val="center"/>
                </w:tcPr>
                <w:p>
                  <w:pPr>
                    <w:spacing w:line="420" w:lineRule="exact"/>
                    <w:ind w:right="110"/>
                    <w:jc w:val="center"/>
                    <w:rPr>
                      <w:color w:val="auto"/>
                      <w:highlight w:val="none"/>
                      <w:u w:val="none" w:color="auto"/>
                    </w:rPr>
                  </w:pPr>
                  <w:r>
                    <w:rPr>
                      <w:rFonts w:hint="eastAsia"/>
                      <w:color w:val="auto"/>
                      <w:highlight w:val="none"/>
                      <w:u w:val="none" w:color="auto"/>
                      <w:lang w:val="en-US" w:eastAsia="zh-CN"/>
                    </w:rPr>
                    <w:t>个</w:t>
                  </w:r>
                </w:p>
              </w:tc>
              <w:tc>
                <w:tcPr>
                  <w:tcW w:w="811" w:type="pct"/>
                  <w:vAlign w:val="center"/>
                </w:tcPr>
                <w:p>
                  <w:pPr>
                    <w:widowControl/>
                    <w:jc w:val="center"/>
                    <w:textAlignment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200000</w:t>
                  </w:r>
                </w:p>
              </w:tc>
              <w:tc>
                <w:tcPr>
                  <w:tcW w:w="1287" w:type="dxa"/>
                  <w:vAlign w:val="center"/>
                </w:tcPr>
                <w:p>
                  <w:pPr>
                    <w:ind w:right="110" w:rightChars="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10000</w:t>
                  </w:r>
                </w:p>
              </w:tc>
              <w:tc>
                <w:tcPr>
                  <w:tcW w:w="1208" w:type="pct"/>
                  <w:vAlign w:val="center"/>
                </w:tcPr>
                <w:p>
                  <w:pPr>
                    <w:widowControl/>
                    <w:jc w:val="center"/>
                    <w:textAlignment w:val="center"/>
                    <w:rPr>
                      <w:rFonts w:hint="eastAsia" w:ascii="宋体" w:hAnsi="宋体" w:cs="宋体"/>
                      <w:color w:val="auto"/>
                      <w:kern w:val="0"/>
                      <w:highlight w:val="none"/>
                      <w:u w:val="none" w:color="auto"/>
                      <w:lang w:bidi="ar"/>
                    </w:rPr>
                  </w:pPr>
                  <w:r>
                    <w:rPr>
                      <w:rFonts w:hint="eastAsia" w:ascii="宋体" w:hAnsi="宋体" w:cs="宋体"/>
                      <w:color w:val="auto"/>
                      <w:kern w:val="0"/>
                      <w:highlight w:val="none"/>
                      <w:u w:val="none" w:color="auto"/>
                      <w:lang w:bidi="ar"/>
                    </w:rPr>
                    <w:t>纸箱装、固态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42" w:type="pct"/>
                  <w:vAlign w:val="center"/>
                </w:tcPr>
                <w:p>
                  <w:pPr>
                    <w:widowControl/>
                    <w:jc w:val="center"/>
                    <w:textAlignment w:val="center"/>
                    <w:rPr>
                      <w:rFonts w:hint="eastAsia" w:eastAsia="宋体"/>
                      <w:color w:val="auto"/>
                      <w:highlight w:val="none"/>
                      <w:u w:val="none" w:color="auto"/>
                      <w:lang w:val="en-US" w:eastAsia="zh-CN"/>
                    </w:rPr>
                  </w:pPr>
                  <w:r>
                    <w:rPr>
                      <w:rFonts w:hint="eastAsia"/>
                      <w:color w:val="auto"/>
                      <w:highlight w:val="none"/>
                      <w:u w:val="none" w:color="auto"/>
                      <w:lang w:val="en-US" w:eastAsia="zh-CN"/>
                    </w:rPr>
                    <w:t>9</w:t>
                  </w:r>
                </w:p>
              </w:tc>
              <w:tc>
                <w:tcPr>
                  <w:tcW w:w="1161" w:type="pct"/>
                  <w:vAlign w:val="center"/>
                </w:tcPr>
                <w:p>
                  <w:pPr>
                    <w:widowControl/>
                    <w:jc w:val="center"/>
                    <w:rPr>
                      <w:color w:val="auto"/>
                      <w:kern w:val="0"/>
                      <w:highlight w:val="none"/>
                      <w:u w:val="none" w:color="auto"/>
                      <w:lang w:bidi="ar"/>
                    </w:rPr>
                  </w:pPr>
                  <w:r>
                    <w:rPr>
                      <w:color w:val="auto"/>
                      <w:kern w:val="0"/>
                      <w:highlight w:val="none"/>
                      <w:u w:val="none" w:color="auto"/>
                      <w:lang w:bidi="ar"/>
                    </w:rPr>
                    <w:t>水</w:t>
                  </w:r>
                </w:p>
              </w:tc>
              <w:tc>
                <w:tcPr>
                  <w:tcW w:w="506" w:type="pct"/>
                  <w:vAlign w:val="center"/>
                </w:tcPr>
                <w:p>
                  <w:pPr>
                    <w:jc w:val="center"/>
                    <w:rPr>
                      <w:color w:val="auto"/>
                      <w:highlight w:val="none"/>
                      <w:u w:val="none" w:color="auto"/>
                    </w:rPr>
                  </w:pPr>
                  <w:r>
                    <w:rPr>
                      <w:color w:val="auto"/>
                      <w:highlight w:val="none"/>
                      <w:u w:val="none" w:color="auto"/>
                    </w:rPr>
                    <w:t>m</w:t>
                  </w:r>
                  <w:r>
                    <w:rPr>
                      <w:color w:val="auto"/>
                      <w:highlight w:val="none"/>
                      <w:u w:val="none" w:color="auto"/>
                      <w:vertAlign w:val="superscript"/>
                    </w:rPr>
                    <w:t>3</w:t>
                  </w:r>
                  <w:r>
                    <w:rPr>
                      <w:color w:val="auto"/>
                      <w:highlight w:val="none"/>
                      <w:u w:val="none" w:color="auto"/>
                    </w:rPr>
                    <w:t>/a</w:t>
                  </w:r>
                </w:p>
              </w:tc>
              <w:tc>
                <w:tcPr>
                  <w:tcW w:w="811" w:type="pct"/>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405</w:t>
                  </w:r>
                </w:p>
              </w:tc>
              <w:tc>
                <w:tcPr>
                  <w:tcW w:w="869" w:type="pct"/>
                  <w:vAlign w:val="center"/>
                </w:tcPr>
                <w:p>
                  <w:pPr>
                    <w:jc w:val="center"/>
                    <w:rPr>
                      <w:color w:val="auto"/>
                      <w:highlight w:val="none"/>
                      <w:u w:val="none" w:color="auto"/>
                    </w:rPr>
                  </w:pPr>
                  <w:r>
                    <w:rPr>
                      <w:rFonts w:hint="eastAsia"/>
                      <w:color w:val="auto"/>
                      <w:highlight w:val="none"/>
                      <w:u w:val="none" w:color="auto"/>
                    </w:rPr>
                    <w:t>/</w:t>
                  </w:r>
                </w:p>
              </w:tc>
              <w:tc>
                <w:tcPr>
                  <w:tcW w:w="1208" w:type="pct"/>
                  <w:vAlign w:val="center"/>
                </w:tcPr>
                <w:p>
                  <w:pPr>
                    <w:jc w:val="center"/>
                    <w:rPr>
                      <w:color w:val="auto"/>
                      <w:highlight w:val="none"/>
                      <w:u w:val="none" w:color="auto"/>
                    </w:rPr>
                  </w:pPr>
                  <w:r>
                    <w:rPr>
                      <w:rFonts w:hint="eastAsia"/>
                      <w:color w:val="auto"/>
                      <w:highlight w:val="none"/>
                      <w:u w:val="non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42" w:type="pct"/>
                  <w:vAlign w:val="center"/>
                </w:tcPr>
                <w:p>
                  <w:pPr>
                    <w:widowControl/>
                    <w:jc w:val="center"/>
                    <w:textAlignment w:val="center"/>
                    <w:rPr>
                      <w:rFonts w:hint="eastAsia" w:eastAsia="宋体"/>
                      <w:color w:val="auto"/>
                      <w:highlight w:val="none"/>
                      <w:u w:val="none" w:color="auto"/>
                      <w:lang w:val="en-US" w:eastAsia="zh-CN"/>
                    </w:rPr>
                  </w:pPr>
                  <w:r>
                    <w:rPr>
                      <w:rFonts w:hint="eastAsia"/>
                      <w:color w:val="auto"/>
                      <w:highlight w:val="none"/>
                      <w:u w:val="none" w:color="auto"/>
                      <w:lang w:val="en-US" w:eastAsia="zh-CN"/>
                    </w:rPr>
                    <w:t>10</w:t>
                  </w:r>
                </w:p>
              </w:tc>
              <w:tc>
                <w:tcPr>
                  <w:tcW w:w="1161" w:type="pct"/>
                  <w:vAlign w:val="center"/>
                </w:tcPr>
                <w:p>
                  <w:pPr>
                    <w:widowControl/>
                    <w:jc w:val="center"/>
                    <w:rPr>
                      <w:color w:val="auto"/>
                      <w:kern w:val="0"/>
                      <w:highlight w:val="none"/>
                      <w:u w:val="none" w:color="auto"/>
                      <w:lang w:bidi="ar"/>
                    </w:rPr>
                  </w:pPr>
                  <w:r>
                    <w:rPr>
                      <w:color w:val="auto"/>
                      <w:kern w:val="0"/>
                      <w:highlight w:val="none"/>
                      <w:u w:val="none" w:color="auto"/>
                      <w:lang w:bidi="ar"/>
                    </w:rPr>
                    <w:t>电</w:t>
                  </w:r>
                </w:p>
              </w:tc>
              <w:tc>
                <w:tcPr>
                  <w:tcW w:w="506" w:type="pct"/>
                  <w:vAlign w:val="center"/>
                </w:tcPr>
                <w:p>
                  <w:pPr>
                    <w:jc w:val="center"/>
                    <w:rPr>
                      <w:color w:val="auto"/>
                      <w:highlight w:val="none"/>
                      <w:u w:val="none" w:color="auto"/>
                    </w:rPr>
                  </w:pPr>
                  <w:r>
                    <w:rPr>
                      <w:color w:val="auto"/>
                      <w:highlight w:val="none"/>
                      <w:u w:val="none" w:color="auto"/>
                    </w:rPr>
                    <w:t>kw·h</w:t>
                  </w:r>
                </w:p>
              </w:tc>
              <w:tc>
                <w:tcPr>
                  <w:tcW w:w="811" w:type="pct"/>
                  <w:vAlign w:val="center"/>
                </w:tcPr>
                <w:p>
                  <w:pPr>
                    <w:jc w:val="center"/>
                    <w:rPr>
                      <w:color w:val="auto"/>
                      <w:highlight w:val="none"/>
                      <w:u w:val="none" w:color="auto"/>
                    </w:rPr>
                  </w:pPr>
                  <w:r>
                    <w:rPr>
                      <w:rFonts w:hint="eastAsia"/>
                      <w:color w:val="auto"/>
                      <w:highlight w:val="none"/>
                      <w:u w:val="none" w:color="auto"/>
                      <w:lang w:val="en-US" w:eastAsia="zh-CN"/>
                    </w:rPr>
                    <w:t>14.9</w:t>
                  </w:r>
                  <w:r>
                    <w:rPr>
                      <w:rFonts w:hint="eastAsia"/>
                      <w:color w:val="auto"/>
                      <w:highlight w:val="none"/>
                      <w:u w:val="none" w:color="auto"/>
                    </w:rPr>
                    <w:t>万</w:t>
                  </w:r>
                </w:p>
              </w:tc>
              <w:tc>
                <w:tcPr>
                  <w:tcW w:w="869" w:type="pct"/>
                  <w:vAlign w:val="center"/>
                </w:tcPr>
                <w:p>
                  <w:pPr>
                    <w:jc w:val="center"/>
                    <w:rPr>
                      <w:color w:val="auto"/>
                      <w:highlight w:val="none"/>
                      <w:u w:val="none" w:color="auto"/>
                    </w:rPr>
                  </w:pPr>
                  <w:r>
                    <w:rPr>
                      <w:rFonts w:hint="eastAsia"/>
                      <w:color w:val="auto"/>
                      <w:highlight w:val="none"/>
                      <w:u w:val="none" w:color="auto"/>
                    </w:rPr>
                    <w:t>/</w:t>
                  </w:r>
                </w:p>
              </w:tc>
              <w:tc>
                <w:tcPr>
                  <w:tcW w:w="1208" w:type="pct"/>
                  <w:vAlign w:val="center"/>
                </w:tcPr>
                <w:p>
                  <w:pPr>
                    <w:jc w:val="center"/>
                    <w:rPr>
                      <w:color w:val="auto"/>
                      <w:highlight w:val="none"/>
                      <w:u w:val="none" w:color="auto"/>
                    </w:rPr>
                  </w:pPr>
                  <w:r>
                    <w:rPr>
                      <w:rFonts w:hint="eastAsia"/>
                      <w:color w:val="auto"/>
                      <w:highlight w:val="none"/>
                      <w:u w:val="none" w:color="auto"/>
                    </w:rPr>
                    <w:t>/</w:t>
                  </w:r>
                </w:p>
              </w:tc>
            </w:tr>
          </w:tbl>
          <w:p>
            <w:pPr>
              <w:spacing w:line="360" w:lineRule="auto"/>
              <w:ind w:firstLine="482" w:firstLineChars="200"/>
              <w:rPr>
                <w:b/>
                <w:color w:val="auto"/>
                <w:sz w:val="24"/>
                <w:highlight w:val="none"/>
                <w:u w:val="none" w:color="auto"/>
              </w:rPr>
            </w:pPr>
            <w:r>
              <w:rPr>
                <w:b/>
                <w:color w:val="auto"/>
                <w:sz w:val="24"/>
                <w:highlight w:val="none"/>
                <w:u w:val="none" w:color="auto"/>
              </w:rPr>
              <w:t>本项目主要原材料理化性质如下：</w:t>
            </w:r>
          </w:p>
          <w:p>
            <w:pPr>
              <w:tabs>
                <w:tab w:val="left" w:pos="484"/>
              </w:tabs>
              <w:spacing w:line="360" w:lineRule="auto"/>
              <w:ind w:firstLine="482" w:firstLineChars="200"/>
              <w:jc w:val="left"/>
              <w:rPr>
                <w:rFonts w:hint="default"/>
                <w:color w:val="auto"/>
                <w:sz w:val="24"/>
                <w:highlight w:val="none"/>
                <w:u w:val="none" w:color="auto"/>
              </w:rPr>
            </w:pPr>
            <w:r>
              <w:rPr>
                <w:rFonts w:hint="eastAsia"/>
                <w:b/>
                <w:bCs/>
                <w:color w:val="auto"/>
                <w:sz w:val="24"/>
                <w:highlight w:val="none"/>
                <w:u w:val="none" w:color="auto"/>
              </w:rPr>
              <w:t>①</w:t>
            </w:r>
            <w:r>
              <w:rPr>
                <w:rFonts w:hint="default"/>
                <w:b/>
                <w:bCs/>
                <w:color w:val="auto"/>
                <w:sz w:val="24"/>
                <w:highlight w:val="none"/>
                <w:u w:val="none" w:color="auto"/>
              </w:rPr>
              <w:t>无铅锡条</w:t>
            </w:r>
            <w:r>
              <w:rPr>
                <w:rFonts w:hint="eastAsia"/>
                <w:b/>
                <w:bCs/>
                <w:color w:val="auto"/>
                <w:sz w:val="24"/>
                <w:highlight w:val="none"/>
                <w:u w:val="none" w:color="auto"/>
                <w:lang w:eastAsia="zh-CN"/>
              </w:rPr>
              <w:t>：</w:t>
            </w:r>
            <w:r>
              <w:rPr>
                <w:rFonts w:hint="default"/>
                <w:color w:val="auto"/>
                <w:sz w:val="24"/>
                <w:highlight w:val="none"/>
                <w:u w:val="none" w:color="auto"/>
              </w:rPr>
              <w:t>本项目使用无铅焊锡，是由99.97%的纯锡和其他非铅金属成分经过真空脱氧处理后的互相融合，能有效控制其它杂质，完全符合国际标准焊锡的要求，有下列特点：抗氧化性能极高；杂质浮渣极少，</w:t>
            </w:r>
          </w:p>
          <w:p>
            <w:pPr>
              <w:tabs>
                <w:tab w:val="left" w:pos="484"/>
              </w:tabs>
              <w:spacing w:line="360" w:lineRule="auto"/>
              <w:jc w:val="left"/>
              <w:rPr>
                <w:rFonts w:hint="eastAsia"/>
                <w:color w:val="auto"/>
                <w:sz w:val="24"/>
                <w:highlight w:val="none"/>
                <w:u w:val="none" w:color="auto"/>
              </w:rPr>
            </w:pPr>
            <w:r>
              <w:rPr>
                <w:rFonts w:hint="default"/>
                <w:color w:val="auto"/>
                <w:sz w:val="24"/>
                <w:highlight w:val="none"/>
                <w:u w:val="none" w:color="auto"/>
              </w:rPr>
              <w:t>流动性大，损耗少。</w:t>
            </w:r>
          </w:p>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2" w:firstLineChars="200"/>
              <w:jc w:val="left"/>
              <w:textAlignment w:val="auto"/>
              <w:rPr>
                <w:rFonts w:hint="eastAsia"/>
                <w:b w:val="0"/>
                <w:bCs w:val="0"/>
                <w:color w:val="auto"/>
                <w:sz w:val="24"/>
                <w:highlight w:val="none"/>
                <w:u w:val="none" w:color="auto"/>
                <w:lang w:val="en-US" w:eastAsia="zh-CN"/>
              </w:rPr>
            </w:pPr>
            <w:r>
              <w:rPr>
                <w:rFonts w:hint="eastAsia"/>
                <w:b/>
                <w:bCs/>
                <w:color w:val="auto"/>
                <w:sz w:val="24"/>
                <w:highlight w:val="none"/>
                <w:u w:val="none" w:color="auto"/>
              </w:rPr>
              <w:t>②</w:t>
            </w:r>
            <w:r>
              <w:rPr>
                <w:rFonts w:hint="eastAsia"/>
                <w:b/>
                <w:bCs/>
                <w:color w:val="auto"/>
                <w:sz w:val="24"/>
                <w:highlight w:val="none"/>
                <w:u w:val="none" w:color="auto"/>
                <w:lang w:val="en-US" w:eastAsia="zh-CN"/>
              </w:rPr>
              <w:t>绝缘油（凡立水）：</w:t>
            </w:r>
            <w:r>
              <w:rPr>
                <w:rFonts w:hint="eastAsia"/>
                <w:b w:val="0"/>
                <w:bCs w:val="0"/>
                <w:color w:val="auto"/>
                <w:sz w:val="24"/>
                <w:highlight w:val="none"/>
                <w:u w:val="none" w:color="auto"/>
                <w:lang w:val="en-US" w:eastAsia="zh-CN"/>
              </w:rPr>
              <w:t>主要成分：主要由聚酯树脂、氨基树脂及二甲苯等组成。本项目绝缘油的主要成分及占比参考《永州市兴络电子有限公司智能电感变压器、磁环共模电感、汽车电感、绕线机设备生产项目环境影响报告表》中绝缘油的主要成分及占比。主要成分及占比见表2-5。</w:t>
            </w:r>
          </w:p>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eastAsia" w:eastAsia="宋体"/>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主要用途：用于各种电机、变压器等绝缘处理。</w:t>
            </w:r>
          </w:p>
          <w:p>
            <w:pPr>
              <w:tabs>
                <w:tab w:val="left" w:pos="484"/>
              </w:tabs>
              <w:spacing w:line="360" w:lineRule="auto"/>
              <w:ind w:firstLine="480" w:firstLineChars="200"/>
              <w:jc w:val="left"/>
              <w:rPr>
                <w:rFonts w:hint="eastAsia"/>
                <w:b w:val="0"/>
                <w:bCs w:val="0"/>
                <w:color w:val="auto"/>
                <w:sz w:val="24"/>
                <w:highlight w:val="none"/>
                <w:u w:val="none" w:color="auto"/>
              </w:rPr>
            </w:pPr>
            <w:r>
              <w:rPr>
                <w:rFonts w:hint="eastAsia"/>
                <w:b w:val="0"/>
                <w:bCs w:val="0"/>
                <w:color w:val="auto"/>
                <w:sz w:val="24"/>
                <w:highlight w:val="none"/>
                <w:u w:val="none" w:color="auto"/>
              </w:rPr>
              <w:t>理化特性：淡黄至棕褐色透明液体，不溶于水，可溶于乙醇、乙醚、甲醇、丙酮等，闪点：32.2℃。</w:t>
            </w:r>
          </w:p>
          <w:p>
            <w:pPr>
              <w:tabs>
                <w:tab w:val="left" w:pos="484"/>
              </w:tabs>
              <w:spacing w:line="360" w:lineRule="auto"/>
              <w:ind w:firstLine="480" w:firstLineChars="200"/>
              <w:jc w:val="left"/>
              <w:rPr>
                <w:rFonts w:hint="eastAsia"/>
                <w:b w:val="0"/>
                <w:bCs w:val="0"/>
                <w:color w:val="auto"/>
                <w:sz w:val="24"/>
                <w:highlight w:val="none"/>
                <w:u w:val="none" w:color="auto"/>
              </w:rPr>
            </w:pPr>
            <w:r>
              <w:rPr>
                <w:rFonts w:hint="eastAsia"/>
                <w:b w:val="0"/>
                <w:bCs w:val="0"/>
                <w:color w:val="auto"/>
                <w:sz w:val="24"/>
                <w:highlight w:val="none"/>
                <w:u w:val="none" w:color="auto"/>
              </w:rPr>
              <w:t>稳定性和反应活性：性质稳定，不聚合，禁止与强氧化剂接触，分解产物为一氧化碳、二氧化碳等。</w:t>
            </w:r>
          </w:p>
          <w:p>
            <w:pPr>
              <w:tabs>
                <w:tab w:val="left" w:pos="484"/>
              </w:tabs>
              <w:spacing w:line="360" w:lineRule="auto"/>
              <w:ind w:firstLine="480" w:firstLineChars="200"/>
              <w:jc w:val="left"/>
              <w:rPr>
                <w:rFonts w:hint="eastAsia"/>
                <w:b/>
                <w:bCs/>
                <w:color w:val="auto"/>
                <w:sz w:val="24"/>
                <w:highlight w:val="none"/>
                <w:u w:val="none" w:color="auto"/>
              </w:rPr>
            </w:pPr>
            <w:r>
              <w:rPr>
                <w:rFonts w:hint="eastAsia"/>
                <w:b w:val="0"/>
                <w:bCs w:val="0"/>
                <w:color w:val="auto"/>
                <w:sz w:val="24"/>
                <w:highlight w:val="none"/>
                <w:u w:val="none" w:color="auto"/>
              </w:rPr>
              <w:t>危害性：第3.3类高闪点易燃液体；对眼及上呼吸道有刺激作用，高浓度时对中枢神经系统有麻醉作用。急性中毒：短时间内吸入较高浓度本品可出现眼及上呼吸道明显的刺激症状、眼结膜及咽部充血、头晕、头痛、恶心、呕吐、胸闷、四肢无力、步态蹒跚、意识模糊。重症者可有躁动、抽搐、昏迷。</w:t>
            </w:r>
          </w:p>
          <w:p>
            <w:pPr>
              <w:tabs>
                <w:tab w:val="left" w:pos="484"/>
              </w:tabs>
              <w:spacing w:line="360" w:lineRule="auto"/>
              <w:ind w:firstLine="482" w:firstLineChars="200"/>
              <w:jc w:val="center"/>
              <w:rPr>
                <w:rFonts w:hint="eastAsia"/>
                <w:b/>
                <w:bCs/>
                <w:color w:val="auto"/>
                <w:sz w:val="24"/>
                <w:highlight w:val="none"/>
                <w:u w:val="none" w:color="auto"/>
              </w:rPr>
            </w:pPr>
            <w:r>
              <w:rPr>
                <w:rFonts w:hint="eastAsia"/>
                <w:b/>
                <w:bCs/>
                <w:color w:val="auto"/>
                <w:sz w:val="24"/>
                <w:highlight w:val="none"/>
                <w:u w:val="none" w:color="auto"/>
                <w:lang w:val="en-US" w:eastAsia="zh-CN"/>
              </w:rPr>
              <w:t>表2-4  绝缘油</w:t>
            </w:r>
            <w:r>
              <w:rPr>
                <w:rFonts w:hint="eastAsia"/>
                <w:b/>
                <w:bCs/>
                <w:color w:val="auto"/>
                <w:sz w:val="24"/>
                <w:highlight w:val="none"/>
                <w:u w:val="none" w:color="auto"/>
              </w:rPr>
              <w:t>主要成分表</w:t>
            </w:r>
          </w:p>
          <w:tbl>
            <w:tblPr>
              <w:tblStyle w:val="27"/>
              <w:tblW w:w="7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637"/>
              <w:gridCol w:w="1563"/>
              <w:gridCol w:w="1625"/>
              <w:gridCol w:w="1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27" w:type="dxa"/>
                  <w:vMerge w:val="restart"/>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原料名称</w:t>
                  </w:r>
                </w:p>
              </w:tc>
              <w:tc>
                <w:tcPr>
                  <w:tcW w:w="6432" w:type="dxa"/>
                  <w:gridSpan w:val="4"/>
                  <w:tcBorders>
                    <w:tl2br w:val="nil"/>
                    <w:tr2bl w:val="nil"/>
                  </w:tcBorders>
                  <w:vAlign w:val="center"/>
                </w:tcPr>
                <w:p>
                  <w:pPr>
                    <w:spacing w:line="360" w:lineRule="auto"/>
                    <w:jc w:val="center"/>
                    <w:rPr>
                      <w:rFonts w:hint="eastAsia"/>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27" w:type="dxa"/>
                  <w:vMerge w:val="continue"/>
                  <w:tcBorders>
                    <w:tl2br w:val="nil"/>
                    <w:tr2bl w:val="nil"/>
                  </w:tcBorders>
                  <w:vAlign w:val="center"/>
                </w:tcPr>
                <w:p>
                  <w:pPr>
                    <w:spacing w:line="360" w:lineRule="auto"/>
                    <w:jc w:val="center"/>
                    <w:rPr>
                      <w:rFonts w:hint="eastAsia"/>
                      <w:b w:val="0"/>
                      <w:bCs/>
                      <w:color w:val="auto"/>
                      <w:sz w:val="21"/>
                      <w:szCs w:val="21"/>
                      <w:highlight w:val="none"/>
                      <w:u w:val="none" w:color="auto"/>
                      <w:vertAlign w:val="baseline"/>
                    </w:rPr>
                  </w:pPr>
                </w:p>
              </w:tc>
              <w:tc>
                <w:tcPr>
                  <w:tcW w:w="1637"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聚酯树脂</w:t>
                  </w:r>
                </w:p>
              </w:tc>
              <w:tc>
                <w:tcPr>
                  <w:tcW w:w="1563"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氨基树脂</w:t>
                  </w:r>
                </w:p>
              </w:tc>
              <w:tc>
                <w:tcPr>
                  <w:tcW w:w="1625"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二甲苯</w:t>
                  </w:r>
                </w:p>
              </w:tc>
              <w:tc>
                <w:tcPr>
                  <w:tcW w:w="1607" w:type="dxa"/>
                  <w:tcBorders>
                    <w:tl2br w:val="nil"/>
                    <w:tr2bl w:val="nil"/>
                  </w:tcBorders>
                  <w:vAlign w:val="center"/>
                </w:tcPr>
                <w:p>
                  <w:pPr>
                    <w:spacing w:line="360" w:lineRule="auto"/>
                    <w:jc w:val="center"/>
                    <w:rPr>
                      <w:rFonts w:hint="default"/>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脱芳烃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27"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绝缘油</w:t>
                  </w:r>
                </w:p>
              </w:tc>
              <w:tc>
                <w:tcPr>
                  <w:tcW w:w="1637"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50%-</w:t>
                  </w:r>
                  <w:r>
                    <w:rPr>
                      <w:rFonts w:hint="eastAsia"/>
                      <w:b w:val="0"/>
                      <w:bCs/>
                      <w:color w:val="auto"/>
                      <w:sz w:val="21"/>
                      <w:szCs w:val="21"/>
                      <w:highlight w:val="none"/>
                      <w:u w:val="none" w:color="auto"/>
                      <w:vertAlign w:val="baseline"/>
                      <w:lang w:val="en-US" w:eastAsia="zh-CN"/>
                    </w:rPr>
                    <w:t>53</w:t>
                  </w:r>
                  <w:r>
                    <w:rPr>
                      <w:rFonts w:hint="eastAsia" w:eastAsia="宋体"/>
                      <w:b w:val="0"/>
                      <w:bCs/>
                      <w:color w:val="auto"/>
                      <w:sz w:val="21"/>
                      <w:szCs w:val="21"/>
                      <w:highlight w:val="none"/>
                      <w:u w:val="none" w:color="auto"/>
                      <w:vertAlign w:val="baseline"/>
                      <w:lang w:val="en-US" w:eastAsia="zh-CN"/>
                    </w:rPr>
                    <w:t>%</w:t>
                  </w:r>
                </w:p>
              </w:tc>
              <w:tc>
                <w:tcPr>
                  <w:tcW w:w="1563"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17</w:t>
                  </w:r>
                  <w:r>
                    <w:rPr>
                      <w:rFonts w:hint="eastAsia" w:eastAsia="宋体"/>
                      <w:b w:val="0"/>
                      <w:bCs/>
                      <w:color w:val="auto"/>
                      <w:sz w:val="21"/>
                      <w:szCs w:val="21"/>
                      <w:highlight w:val="none"/>
                      <w:u w:val="none" w:color="auto"/>
                      <w:vertAlign w:val="baseline"/>
                      <w:lang w:val="en-US" w:eastAsia="zh-CN"/>
                    </w:rPr>
                    <w:t>%-</w:t>
                  </w:r>
                  <w:r>
                    <w:rPr>
                      <w:rFonts w:hint="eastAsia"/>
                      <w:b w:val="0"/>
                      <w:bCs/>
                      <w:color w:val="auto"/>
                      <w:sz w:val="21"/>
                      <w:szCs w:val="21"/>
                      <w:highlight w:val="none"/>
                      <w:u w:val="none" w:color="auto"/>
                      <w:vertAlign w:val="baseline"/>
                      <w:lang w:val="en-US" w:eastAsia="zh-CN"/>
                    </w:rPr>
                    <w:t>21</w:t>
                  </w:r>
                  <w:r>
                    <w:rPr>
                      <w:rFonts w:hint="eastAsia" w:eastAsia="宋体"/>
                      <w:b w:val="0"/>
                      <w:bCs/>
                      <w:color w:val="auto"/>
                      <w:sz w:val="21"/>
                      <w:szCs w:val="21"/>
                      <w:highlight w:val="none"/>
                      <w:u w:val="none" w:color="auto"/>
                      <w:vertAlign w:val="baseline"/>
                      <w:lang w:val="en-US" w:eastAsia="zh-CN"/>
                    </w:rPr>
                    <w:t>%</w:t>
                  </w:r>
                </w:p>
              </w:tc>
              <w:tc>
                <w:tcPr>
                  <w:tcW w:w="1625"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10</w:t>
                  </w:r>
                  <w:r>
                    <w:rPr>
                      <w:rFonts w:hint="eastAsia" w:eastAsia="宋体"/>
                      <w:b w:val="0"/>
                      <w:bCs/>
                      <w:color w:val="auto"/>
                      <w:sz w:val="21"/>
                      <w:szCs w:val="21"/>
                      <w:highlight w:val="none"/>
                      <w:u w:val="none" w:color="auto"/>
                      <w:vertAlign w:val="baseline"/>
                      <w:lang w:val="en-US" w:eastAsia="zh-CN"/>
                    </w:rPr>
                    <w:t>%-</w:t>
                  </w:r>
                  <w:r>
                    <w:rPr>
                      <w:rFonts w:hint="eastAsia"/>
                      <w:b w:val="0"/>
                      <w:bCs/>
                      <w:color w:val="auto"/>
                      <w:sz w:val="21"/>
                      <w:szCs w:val="21"/>
                      <w:highlight w:val="none"/>
                      <w:u w:val="none" w:color="auto"/>
                      <w:vertAlign w:val="baseline"/>
                      <w:lang w:val="en-US" w:eastAsia="zh-CN"/>
                    </w:rPr>
                    <w:t>2</w:t>
                  </w:r>
                  <w:r>
                    <w:rPr>
                      <w:rFonts w:hint="eastAsia" w:eastAsia="宋体"/>
                      <w:b w:val="0"/>
                      <w:bCs/>
                      <w:color w:val="auto"/>
                      <w:sz w:val="21"/>
                      <w:szCs w:val="21"/>
                      <w:highlight w:val="none"/>
                      <w:u w:val="none" w:color="auto"/>
                      <w:vertAlign w:val="baseline"/>
                      <w:lang w:val="en-US" w:eastAsia="zh-CN"/>
                    </w:rPr>
                    <w:t>0%</w:t>
                  </w:r>
                </w:p>
              </w:tc>
              <w:tc>
                <w:tcPr>
                  <w:tcW w:w="1607" w:type="dxa"/>
                  <w:tcBorders>
                    <w:tl2br w:val="nil"/>
                    <w:tr2bl w:val="nil"/>
                  </w:tcBorders>
                  <w:vAlign w:val="center"/>
                </w:tcPr>
                <w:p>
                  <w:pPr>
                    <w:spacing w:line="360" w:lineRule="auto"/>
                    <w:jc w:val="center"/>
                    <w:rPr>
                      <w:rFonts w:hint="default"/>
                      <w:b w:val="0"/>
                      <w:bCs/>
                      <w:color w:val="auto"/>
                      <w:sz w:val="21"/>
                      <w:szCs w:val="21"/>
                      <w:highlight w:val="none"/>
                      <w:u w:val="none" w:color="auto"/>
                      <w:vertAlign w:val="baseline"/>
                      <w:lang w:val="en-US" w:eastAsia="zh-CN"/>
                    </w:rPr>
                  </w:pPr>
                  <w:r>
                    <w:rPr>
                      <w:rFonts w:hint="eastAsia" w:eastAsia="宋体"/>
                      <w:b w:val="0"/>
                      <w:bCs/>
                      <w:color w:val="auto"/>
                      <w:sz w:val="21"/>
                      <w:szCs w:val="21"/>
                      <w:highlight w:val="none"/>
                      <w:u w:val="none" w:color="auto"/>
                      <w:vertAlign w:val="baseline"/>
                      <w:lang w:val="en-US" w:eastAsia="zh-CN"/>
                    </w:rPr>
                    <w:t>5%-10%</w:t>
                  </w:r>
                </w:p>
              </w:tc>
            </w:tr>
          </w:tbl>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③胶水：物品名称：环氧树脂粘接剂。</w:t>
            </w:r>
          </w:p>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主要成分：主要由环氧树脂（低卤）、固化剂、填充剂等组成。本项目胶水的主要成分及占比参考《永州市兴络电子有限公司智能电感变压器、磁环共模电感、汽车电感、绕线机设备生产项目环境影响报告表》中胶水的主要成分及占比。主要成分及占比见表2- 6。</w:t>
            </w:r>
          </w:p>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理化特性：黑色粘稠体。</w:t>
            </w:r>
          </w:p>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稳定性和反应活性：比较稳定，不会发生危险性聚合。</w:t>
            </w:r>
          </w:p>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危害性：吸入蒸汽会刺激呼吸道，会造成呕吐，食欲不振；接触会造成轻微的刺激；入眼会造成轻微的刺激；食入会造成呕吐，食欲不振。</w:t>
            </w:r>
          </w:p>
          <w:p>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2" w:firstLineChars="200"/>
              <w:jc w:val="center"/>
              <w:textAlignment w:val="auto"/>
              <w:rPr>
                <w:rFonts w:hint="eastAsia"/>
                <w:b/>
                <w:bCs/>
                <w:color w:val="auto"/>
                <w:sz w:val="24"/>
                <w:highlight w:val="none"/>
                <w:u w:val="none" w:color="auto"/>
                <w:lang w:val="en-US" w:eastAsia="zh-CN"/>
              </w:rPr>
            </w:pPr>
            <w:r>
              <w:rPr>
                <w:rFonts w:hint="eastAsia"/>
                <w:b/>
                <w:bCs/>
                <w:color w:val="auto"/>
                <w:sz w:val="24"/>
                <w:highlight w:val="none"/>
                <w:u w:val="none" w:color="auto"/>
                <w:lang w:val="en-US" w:eastAsia="zh-CN"/>
              </w:rPr>
              <w:t>表 2-5 项目所使用胶水主要成分表</w:t>
            </w:r>
          </w:p>
          <w:tbl>
            <w:tblPr>
              <w:tblStyle w:val="27"/>
              <w:tblW w:w="762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1950"/>
              <w:gridCol w:w="1112"/>
              <w:gridCol w:w="1075"/>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27" w:type="dxa"/>
                  <w:tcBorders>
                    <w:tl2br w:val="nil"/>
                    <w:tr2bl w:val="nil"/>
                  </w:tcBorders>
                  <w:vAlign w:val="center"/>
                </w:tcPr>
                <w:p>
                  <w:pPr>
                    <w:tabs>
                      <w:tab w:val="left" w:pos="484"/>
                    </w:tabs>
                    <w:spacing w:line="360" w:lineRule="auto"/>
                    <w:jc w:val="center"/>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名称</w:t>
                  </w:r>
                </w:p>
              </w:tc>
              <w:tc>
                <w:tcPr>
                  <w:tcW w:w="5293" w:type="dxa"/>
                  <w:gridSpan w:val="4"/>
                  <w:tcBorders>
                    <w:tl2br w:val="nil"/>
                    <w:tr2bl w:val="nil"/>
                  </w:tcBorders>
                  <w:vAlign w:val="center"/>
                </w:tcPr>
                <w:p>
                  <w:pPr>
                    <w:tabs>
                      <w:tab w:val="left" w:pos="484"/>
                    </w:tabs>
                    <w:spacing w:line="360" w:lineRule="auto"/>
                    <w:jc w:val="center"/>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成分（占比）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27" w:type="dxa"/>
                  <w:vMerge w:val="restart"/>
                  <w:tcBorders>
                    <w:tl2br w:val="nil"/>
                    <w:tr2bl w:val="nil"/>
                  </w:tcBorders>
                  <w:vAlign w:val="center"/>
                </w:tcPr>
                <w:p>
                  <w:pPr>
                    <w:tabs>
                      <w:tab w:val="left" w:pos="484"/>
                    </w:tabs>
                    <w:spacing w:line="360" w:lineRule="auto"/>
                    <w:jc w:val="center"/>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胶水（环氧树脂粘接剂）</w:t>
                  </w:r>
                </w:p>
              </w:tc>
              <w:tc>
                <w:tcPr>
                  <w:tcW w:w="1950"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环氧树脂（低卤）</w:t>
                  </w:r>
                </w:p>
              </w:tc>
              <w:tc>
                <w:tcPr>
                  <w:tcW w:w="1112"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添加剂</w:t>
                  </w:r>
                </w:p>
              </w:tc>
              <w:tc>
                <w:tcPr>
                  <w:tcW w:w="1075"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固化剂</w:t>
                  </w:r>
                </w:p>
              </w:tc>
              <w:tc>
                <w:tcPr>
                  <w:tcW w:w="1156"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填充剂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27" w:type="dxa"/>
                  <w:vMerge w:val="continue"/>
                  <w:tcBorders>
                    <w:tl2br w:val="nil"/>
                    <w:tr2bl w:val="nil"/>
                  </w:tcBorders>
                  <w:vAlign w:val="center"/>
                </w:tcPr>
                <w:p>
                  <w:pPr>
                    <w:tabs>
                      <w:tab w:val="left" w:pos="484"/>
                    </w:tabs>
                    <w:spacing w:line="360" w:lineRule="auto"/>
                    <w:jc w:val="center"/>
                    <w:rPr>
                      <w:rFonts w:hint="eastAsia"/>
                      <w:b w:val="0"/>
                      <w:bCs w:val="0"/>
                      <w:color w:val="auto"/>
                      <w:sz w:val="21"/>
                      <w:szCs w:val="21"/>
                      <w:highlight w:val="none"/>
                      <w:u w:val="none" w:color="auto"/>
                      <w:vertAlign w:val="baseline"/>
                    </w:rPr>
                  </w:pPr>
                </w:p>
              </w:tc>
              <w:tc>
                <w:tcPr>
                  <w:tcW w:w="1950"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40%</w:t>
                  </w:r>
                </w:p>
              </w:tc>
              <w:tc>
                <w:tcPr>
                  <w:tcW w:w="1112"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10%</w:t>
                  </w:r>
                </w:p>
              </w:tc>
              <w:tc>
                <w:tcPr>
                  <w:tcW w:w="1075"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10%</w:t>
                  </w:r>
                </w:p>
              </w:tc>
              <w:tc>
                <w:tcPr>
                  <w:tcW w:w="1156" w:type="dxa"/>
                  <w:tcBorders>
                    <w:tl2br w:val="nil"/>
                    <w:tr2bl w:val="nil"/>
                  </w:tcBorders>
                  <w:vAlign w:val="center"/>
                </w:tcPr>
                <w:p>
                  <w:pPr>
                    <w:tabs>
                      <w:tab w:val="left" w:pos="484"/>
                    </w:tabs>
                    <w:spacing w:line="360" w:lineRule="auto"/>
                    <w:jc w:val="center"/>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28%</w:t>
                  </w:r>
                </w:p>
              </w:tc>
            </w:tr>
          </w:tbl>
          <w:p>
            <w:pPr>
              <w:tabs>
                <w:tab w:val="left" w:pos="484"/>
              </w:tabs>
              <w:spacing w:line="360" w:lineRule="auto"/>
              <w:ind w:firstLine="482" w:firstLineChars="200"/>
              <w:jc w:val="left"/>
              <w:rPr>
                <w:rFonts w:hint="eastAsia"/>
                <w:b w:val="0"/>
                <w:bCs w:val="0"/>
                <w:color w:val="auto"/>
                <w:kern w:val="2"/>
                <w:sz w:val="24"/>
                <w:highlight w:val="none"/>
                <w:u w:val="none" w:color="auto"/>
                <w:lang w:val="en-US" w:eastAsia="zh-CN"/>
              </w:rPr>
            </w:pPr>
            <w:r>
              <w:rPr>
                <w:rFonts w:hint="eastAsia"/>
                <w:b/>
                <w:bCs/>
                <w:color w:val="auto"/>
                <w:kern w:val="2"/>
                <w:sz w:val="24"/>
                <w:highlight w:val="none"/>
                <w:u w:val="none" w:color="auto"/>
              </w:rPr>
              <w:t>④</w:t>
            </w:r>
            <w:r>
              <w:rPr>
                <w:rFonts w:hint="eastAsia"/>
                <w:b/>
                <w:bCs/>
                <w:color w:val="auto"/>
                <w:kern w:val="2"/>
                <w:sz w:val="24"/>
                <w:highlight w:val="none"/>
                <w:u w:val="none" w:color="auto"/>
                <w:lang w:val="en-US" w:eastAsia="zh-CN"/>
              </w:rPr>
              <w:t>稀释剂：</w:t>
            </w:r>
            <w:r>
              <w:rPr>
                <w:rFonts w:hint="eastAsia"/>
                <w:b w:val="0"/>
                <w:bCs w:val="0"/>
                <w:color w:val="auto"/>
                <w:kern w:val="2"/>
                <w:sz w:val="24"/>
                <w:highlight w:val="none"/>
                <w:u w:val="none" w:color="auto"/>
                <w:lang w:val="en-US" w:eastAsia="zh-CN"/>
              </w:rPr>
              <w:t>是一种无色透明液体，密度0.86g/cm</w:t>
            </w:r>
            <w:r>
              <w:rPr>
                <w:rFonts w:hint="eastAsia"/>
                <w:b w:val="0"/>
                <w:bCs w:val="0"/>
                <w:color w:val="auto"/>
                <w:kern w:val="2"/>
                <w:sz w:val="24"/>
                <w:highlight w:val="none"/>
                <w:u w:val="none" w:color="auto"/>
                <w:vertAlign w:val="superscript"/>
                <w:lang w:val="en-US" w:eastAsia="zh-CN"/>
              </w:rPr>
              <w:t>3</w:t>
            </w:r>
            <w:r>
              <w:rPr>
                <w:rFonts w:hint="eastAsia"/>
                <w:b w:val="0"/>
                <w:bCs w:val="0"/>
                <w:color w:val="auto"/>
                <w:kern w:val="2"/>
                <w:sz w:val="24"/>
                <w:highlight w:val="none"/>
                <w:u w:val="none" w:color="auto"/>
                <w:lang w:val="en-US" w:eastAsia="zh-CN"/>
              </w:rPr>
              <w:t>，易燃，</w:t>
            </w:r>
          </w:p>
          <w:p>
            <w:pPr>
              <w:tabs>
                <w:tab w:val="left" w:pos="484"/>
              </w:tabs>
              <w:spacing w:line="360" w:lineRule="auto"/>
              <w:ind w:firstLine="480" w:firstLineChars="200"/>
              <w:jc w:val="left"/>
              <w:rPr>
                <w:rFonts w:hint="eastAsia"/>
                <w:b/>
                <w:bCs/>
                <w:color w:val="auto"/>
                <w:sz w:val="24"/>
                <w:highlight w:val="none"/>
                <w:u w:val="none" w:color="auto"/>
              </w:rPr>
            </w:pPr>
            <w:r>
              <w:rPr>
                <w:rFonts w:hint="eastAsia"/>
                <w:b w:val="0"/>
                <w:bCs w:val="0"/>
                <w:color w:val="auto"/>
                <w:sz w:val="24"/>
                <w:highlight w:val="none"/>
                <w:u w:val="none" w:color="auto"/>
                <w:lang w:val="en-US" w:eastAsia="zh-CN"/>
              </w:rPr>
              <w:t>本项目稀释剂的主要成分及占比参考《江永通瑞电子有限公司</w:t>
            </w:r>
            <w:r>
              <w:rPr>
                <w:rFonts w:hint="eastAsia"/>
                <w:b w:val="0"/>
                <w:bCs w:val="0"/>
                <w:color w:val="auto"/>
                <w:kern w:val="2"/>
                <w:sz w:val="24"/>
                <w:highlight w:val="none"/>
                <w:u w:val="none" w:color="auto"/>
                <w:lang w:val="en-US" w:eastAsia="zh-CN"/>
              </w:rPr>
              <w:t>变压器、电感生产项目</w:t>
            </w:r>
            <w:r>
              <w:rPr>
                <w:rFonts w:hint="eastAsia"/>
                <w:b w:val="0"/>
                <w:bCs w:val="0"/>
                <w:color w:val="auto"/>
                <w:sz w:val="24"/>
                <w:highlight w:val="none"/>
                <w:u w:val="none" w:color="auto"/>
                <w:lang w:val="en-US" w:eastAsia="zh-CN"/>
              </w:rPr>
              <w:t>环境影响报告表》中稀释剂的主要成分及占比。</w:t>
            </w:r>
            <w:r>
              <w:rPr>
                <w:rFonts w:hint="eastAsia"/>
                <w:b w:val="0"/>
                <w:bCs w:val="0"/>
                <w:color w:val="auto"/>
                <w:kern w:val="2"/>
                <w:sz w:val="24"/>
                <w:highlight w:val="none"/>
                <w:u w:val="none" w:color="auto"/>
                <w:lang w:val="en-US" w:eastAsia="zh-CN"/>
              </w:rPr>
              <w:t>主要成分为二甲苯70-80%，脱芳烃 20-30%。</w:t>
            </w:r>
          </w:p>
          <w:p>
            <w:pPr>
              <w:tabs>
                <w:tab w:val="left" w:pos="484"/>
              </w:tabs>
              <w:spacing w:line="360" w:lineRule="auto"/>
              <w:ind w:firstLine="482" w:firstLineChars="200"/>
              <w:jc w:val="center"/>
              <w:rPr>
                <w:rFonts w:hint="eastAsia"/>
                <w:b/>
                <w:bCs/>
                <w:color w:val="auto"/>
                <w:sz w:val="24"/>
                <w:highlight w:val="none"/>
                <w:u w:val="none" w:color="auto"/>
              </w:rPr>
            </w:pPr>
            <w:r>
              <w:rPr>
                <w:rFonts w:hint="eastAsia"/>
                <w:b/>
                <w:bCs/>
                <w:color w:val="auto"/>
                <w:sz w:val="24"/>
                <w:highlight w:val="none"/>
                <w:u w:val="none" w:color="auto"/>
              </w:rPr>
              <w:t>表 2-</w:t>
            </w:r>
            <w:r>
              <w:rPr>
                <w:rFonts w:hint="eastAsia"/>
                <w:b/>
                <w:bCs/>
                <w:color w:val="auto"/>
                <w:sz w:val="24"/>
                <w:highlight w:val="none"/>
                <w:u w:val="none" w:color="auto"/>
                <w:lang w:val="en-US" w:eastAsia="zh-CN"/>
              </w:rPr>
              <w:t>6</w:t>
            </w:r>
            <w:r>
              <w:rPr>
                <w:rFonts w:hint="eastAsia"/>
                <w:b/>
                <w:bCs/>
                <w:color w:val="auto"/>
                <w:sz w:val="24"/>
                <w:highlight w:val="none"/>
                <w:u w:val="none" w:color="auto"/>
              </w:rPr>
              <w:t xml:space="preserve"> 项目所使用</w:t>
            </w:r>
            <w:r>
              <w:rPr>
                <w:rFonts w:hint="eastAsia"/>
                <w:b/>
                <w:bCs/>
                <w:color w:val="auto"/>
                <w:sz w:val="24"/>
                <w:highlight w:val="none"/>
                <w:u w:val="none" w:color="auto"/>
                <w:lang w:val="en-US" w:eastAsia="zh-CN"/>
              </w:rPr>
              <w:t>稀释剂</w:t>
            </w:r>
            <w:r>
              <w:rPr>
                <w:rFonts w:hint="eastAsia"/>
                <w:b/>
                <w:bCs/>
                <w:color w:val="auto"/>
                <w:sz w:val="24"/>
                <w:highlight w:val="none"/>
                <w:u w:val="none" w:color="auto"/>
              </w:rPr>
              <w:t>主要成分表</w:t>
            </w:r>
          </w:p>
          <w:tbl>
            <w:tblPr>
              <w:tblStyle w:val="27"/>
              <w:tblW w:w="75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893"/>
              <w:gridCol w:w="3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15" w:type="dxa"/>
                  <w:vMerge w:val="restart"/>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原料名称</w:t>
                  </w:r>
                </w:p>
              </w:tc>
              <w:tc>
                <w:tcPr>
                  <w:tcW w:w="6084" w:type="dxa"/>
                  <w:gridSpan w:val="2"/>
                  <w:tcBorders>
                    <w:tl2br w:val="nil"/>
                    <w:tr2bl w:val="nil"/>
                  </w:tcBorders>
                  <w:vAlign w:val="center"/>
                </w:tcPr>
                <w:p>
                  <w:pPr>
                    <w:spacing w:line="360" w:lineRule="auto"/>
                    <w:jc w:val="center"/>
                    <w:rPr>
                      <w:rFonts w:hint="eastAsia"/>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15" w:type="dxa"/>
                  <w:vMerge w:val="continue"/>
                  <w:tcBorders>
                    <w:tl2br w:val="nil"/>
                    <w:tr2bl w:val="nil"/>
                  </w:tcBorders>
                  <w:vAlign w:val="center"/>
                </w:tcPr>
                <w:p>
                  <w:pPr>
                    <w:spacing w:line="360" w:lineRule="auto"/>
                    <w:jc w:val="center"/>
                    <w:rPr>
                      <w:rFonts w:hint="eastAsia"/>
                      <w:b w:val="0"/>
                      <w:bCs/>
                      <w:color w:val="auto"/>
                      <w:sz w:val="21"/>
                      <w:szCs w:val="21"/>
                      <w:highlight w:val="none"/>
                      <w:u w:val="none" w:color="auto"/>
                      <w:vertAlign w:val="baseline"/>
                    </w:rPr>
                  </w:pPr>
                </w:p>
              </w:tc>
              <w:tc>
                <w:tcPr>
                  <w:tcW w:w="2893"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二甲苯</w:t>
                  </w:r>
                </w:p>
              </w:tc>
              <w:tc>
                <w:tcPr>
                  <w:tcW w:w="3191" w:type="dxa"/>
                  <w:tcBorders>
                    <w:tl2br w:val="nil"/>
                    <w:tr2bl w:val="nil"/>
                  </w:tcBorders>
                  <w:vAlign w:val="center"/>
                </w:tcPr>
                <w:p>
                  <w:pPr>
                    <w:spacing w:line="360" w:lineRule="auto"/>
                    <w:jc w:val="center"/>
                    <w:rPr>
                      <w:rFonts w:hint="default"/>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脱芳烃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15"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稀释剂</w:t>
                  </w:r>
                </w:p>
              </w:tc>
              <w:tc>
                <w:tcPr>
                  <w:tcW w:w="2893"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70-80%</w:t>
                  </w:r>
                </w:p>
              </w:tc>
              <w:tc>
                <w:tcPr>
                  <w:tcW w:w="3191"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20-30%</w:t>
                  </w:r>
                </w:p>
              </w:tc>
            </w:tr>
          </w:tbl>
          <w:p>
            <w:pPr>
              <w:tabs>
                <w:tab w:val="left" w:pos="484"/>
              </w:tabs>
              <w:spacing w:line="360" w:lineRule="auto"/>
              <w:jc w:val="left"/>
              <w:rPr>
                <w:b/>
                <w:bCs/>
                <w:color w:val="auto"/>
                <w:sz w:val="24"/>
                <w:highlight w:val="none"/>
                <w:u w:val="none" w:color="auto"/>
              </w:rPr>
            </w:pPr>
            <w:r>
              <w:rPr>
                <w:rFonts w:hint="eastAsia"/>
                <w:b/>
                <w:bCs/>
                <w:color w:val="auto"/>
                <w:sz w:val="24"/>
                <w:highlight w:val="none"/>
                <w:u w:val="none" w:color="auto"/>
              </w:rPr>
              <w:t>4、</w:t>
            </w:r>
            <w:r>
              <w:rPr>
                <w:b/>
                <w:bCs/>
                <w:color w:val="auto"/>
                <w:sz w:val="24"/>
                <w:highlight w:val="none"/>
                <w:u w:val="none" w:color="auto"/>
              </w:rPr>
              <w:t>主要生产设备</w:t>
            </w:r>
          </w:p>
          <w:p>
            <w:pPr>
              <w:ind w:left="510"/>
              <w:rPr>
                <w:color w:val="auto"/>
                <w:sz w:val="24"/>
                <w:highlight w:val="none"/>
                <w:u w:val="none" w:color="auto"/>
              </w:rPr>
            </w:pPr>
            <w:r>
              <w:rPr>
                <w:color w:val="auto"/>
                <w:sz w:val="24"/>
                <w:highlight w:val="none"/>
                <w:u w:val="none" w:color="auto"/>
              </w:rPr>
              <w:t>本项目主要生产设备详见下表。</w:t>
            </w:r>
          </w:p>
          <w:p>
            <w:pPr>
              <w:adjustRightInd w:val="0"/>
              <w:snapToGrid w:val="0"/>
              <w:ind w:firstLine="422" w:firstLineChars="200"/>
              <w:jc w:val="center"/>
              <w:rPr>
                <w:rFonts w:eastAsia="黑体"/>
                <w:b/>
                <w:bCs/>
                <w:color w:val="auto"/>
                <w:sz w:val="24"/>
                <w:highlight w:val="none"/>
                <w:u w:val="none" w:color="auto"/>
              </w:rPr>
            </w:pPr>
            <w:r>
              <w:rPr>
                <w:rFonts w:hint="eastAsia" w:ascii="宋体" w:hAnsi="宋体" w:cs="宋体"/>
                <w:b/>
                <w:bCs/>
                <w:color w:val="auto"/>
                <w:highlight w:val="none"/>
                <w:u w:val="none" w:color="auto"/>
              </w:rPr>
              <w:t>表2-</w:t>
            </w:r>
            <w:r>
              <w:rPr>
                <w:rFonts w:hint="eastAsia" w:ascii="宋体" w:hAnsi="宋体" w:cs="宋体"/>
                <w:b/>
                <w:bCs/>
                <w:color w:val="auto"/>
                <w:highlight w:val="none"/>
                <w:u w:val="none" w:color="auto"/>
                <w:lang w:val="en-US" w:eastAsia="zh-CN"/>
              </w:rPr>
              <w:t xml:space="preserve">7 </w:t>
            </w:r>
            <w:r>
              <w:rPr>
                <w:rFonts w:hint="eastAsia" w:ascii="宋体" w:hAnsi="宋体" w:cs="宋体"/>
                <w:b/>
                <w:bCs/>
                <w:color w:val="auto"/>
                <w:highlight w:val="none"/>
                <w:u w:val="none" w:color="auto"/>
              </w:rPr>
              <w:t>项目主要设备一览表</w:t>
            </w:r>
          </w:p>
          <w:tbl>
            <w:tblPr>
              <w:tblStyle w:val="26"/>
              <w:tblW w:w="7639" w:type="dxa"/>
              <w:tblInd w:w="-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687"/>
              <w:gridCol w:w="1887"/>
              <w:gridCol w:w="1024"/>
              <w:gridCol w:w="13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1" w:type="dxa"/>
                  <w:tcBorders>
                    <w:tl2br w:val="nil"/>
                    <w:tr2bl w:val="nil"/>
                  </w:tcBorders>
                  <w:shd w:val="clear" w:color="auto" w:fill="FFFFFF"/>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序号</w:t>
                  </w:r>
                </w:p>
              </w:tc>
              <w:tc>
                <w:tcPr>
                  <w:tcW w:w="2687" w:type="dxa"/>
                  <w:tcBorders>
                    <w:tl2br w:val="nil"/>
                    <w:tr2bl w:val="nil"/>
                  </w:tcBorders>
                  <w:shd w:val="clear" w:color="auto" w:fill="FFFFFF"/>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设备名称</w:t>
                  </w:r>
                </w:p>
              </w:tc>
              <w:tc>
                <w:tcPr>
                  <w:tcW w:w="1887" w:type="dxa"/>
                  <w:tcBorders>
                    <w:tl2br w:val="nil"/>
                    <w:tr2bl w:val="nil"/>
                  </w:tcBorders>
                  <w:shd w:val="clear" w:color="auto" w:fill="FFFFFF"/>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型号</w:t>
                  </w:r>
                </w:p>
              </w:tc>
              <w:tc>
                <w:tcPr>
                  <w:tcW w:w="1024" w:type="dxa"/>
                  <w:tcBorders>
                    <w:tl2br w:val="nil"/>
                    <w:tr2bl w:val="nil"/>
                  </w:tcBorders>
                  <w:shd w:val="clear" w:color="auto" w:fill="FFFFFF"/>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数量</w:t>
                  </w:r>
                </w:p>
              </w:tc>
              <w:tc>
                <w:tcPr>
                  <w:tcW w:w="1300" w:type="dxa"/>
                  <w:tcBorders>
                    <w:tl2br w:val="nil"/>
                    <w:tr2bl w:val="nil"/>
                  </w:tcBorders>
                  <w:shd w:val="clear" w:color="auto" w:fill="FFFFFF"/>
                  <w:noWrap w:val="0"/>
                  <w:vAlign w:val="center"/>
                </w:tcPr>
                <w:p>
                  <w:pPr>
                    <w:autoSpaceDE w:val="0"/>
                    <w:autoSpaceDN w:val="0"/>
                    <w:adjustRightInd w:val="0"/>
                    <w:snapToGrid w:val="0"/>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匝间测试仪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TH2882A-5</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2</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电感测试仪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TH2816B+</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7</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3</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耐压仪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TH9302C</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4</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综合测试仪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TH2829</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5</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直流电阻测试仪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TH2516B</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6</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偏流源CH723030</w:t>
                  </w:r>
                </w:p>
              </w:tc>
              <w:tc>
                <w:tcPr>
                  <w:tcW w:w="1887" w:type="dxa"/>
                  <w:tcBorders>
                    <w:tl2br w:val="nil"/>
                    <w:tr2bl w:val="nil"/>
                  </w:tcBorders>
                  <w:noWrap w:val="0"/>
                  <w:vAlign w:val="center"/>
                </w:tcPr>
                <w:p>
                  <w:pPr>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7</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CH126精密LCR+DCR测试仪</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8</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耐压测试仪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CS9929AX</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9</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综测仪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3302单主机</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10</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电阻测试仪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TH2512B+</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b w:val="0"/>
                      <w:bCs w:val="0"/>
                      <w:color w:val="auto"/>
                      <w:sz w:val="21"/>
                      <w:szCs w:val="21"/>
                      <w:highlight w:val="none"/>
                      <w:u w:val="none" w:color="auto"/>
                    </w:rPr>
                  </w:pPr>
                  <w:r>
                    <w:rPr>
                      <w:b w:val="0"/>
                      <w:bCs w:val="0"/>
                      <w:color w:val="auto"/>
                      <w:sz w:val="21"/>
                      <w:szCs w:val="21"/>
                      <w:highlight w:val="none"/>
                      <w:u w:val="none" w:color="auto"/>
                    </w:rPr>
                    <w:t>11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匝间测试仪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TH2882A-5</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12</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（340型）HM-011</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13</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340型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5</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14</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流水线</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4</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15</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电子称</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3KG</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16</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拉力机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GX-LL202</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17</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320型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13</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18</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330型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19</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908型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6</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20</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808型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20</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12202P型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8</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22</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隧道炉</w:t>
                  </w:r>
                  <w:r>
                    <w:rPr>
                      <w:rFonts w:hint="eastAsia" w:ascii="宋体" w:hAnsi="宋体" w:cs="宋体"/>
                      <w:b w:val="0"/>
                      <w:bCs w:val="0"/>
                      <w:i w:val="0"/>
                      <w:color w:val="auto"/>
                      <w:kern w:val="0"/>
                      <w:sz w:val="21"/>
                      <w:szCs w:val="21"/>
                      <w:highlight w:val="none"/>
                      <w:u w:val="none" w:color="auto"/>
                      <w:lang w:val="en-US" w:eastAsia="zh-CN" w:bidi="ar"/>
                    </w:rPr>
                    <w:t>（使用电能）</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9米</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23</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隧道炉</w:t>
                  </w:r>
                  <w:r>
                    <w:rPr>
                      <w:rFonts w:hint="eastAsia" w:ascii="宋体" w:hAnsi="宋体" w:cs="宋体"/>
                      <w:b w:val="0"/>
                      <w:bCs w:val="0"/>
                      <w:i w:val="0"/>
                      <w:color w:val="auto"/>
                      <w:kern w:val="0"/>
                      <w:sz w:val="21"/>
                      <w:szCs w:val="21"/>
                      <w:highlight w:val="none"/>
                      <w:u w:val="none" w:color="auto"/>
                      <w:lang w:val="en-US" w:eastAsia="zh-CN" w:bidi="ar"/>
                    </w:rPr>
                    <w:t>（使用电能）</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7米</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24</w:t>
                  </w:r>
                </w:p>
              </w:tc>
              <w:tc>
                <w:tcPr>
                  <w:tcW w:w="26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隧道炉</w:t>
                  </w:r>
                  <w:r>
                    <w:rPr>
                      <w:rFonts w:hint="eastAsia" w:ascii="宋体" w:hAnsi="宋体" w:cs="宋体"/>
                      <w:b w:val="0"/>
                      <w:bCs w:val="0"/>
                      <w:i w:val="0"/>
                      <w:color w:val="auto"/>
                      <w:kern w:val="0"/>
                      <w:sz w:val="21"/>
                      <w:szCs w:val="21"/>
                      <w:highlight w:val="none"/>
                      <w:u w:val="none" w:color="auto"/>
                      <w:lang w:val="en-US" w:eastAsia="zh-CN" w:bidi="ar"/>
                    </w:rPr>
                    <w:t>（使用电能）</w:t>
                  </w:r>
                </w:p>
              </w:tc>
              <w:tc>
                <w:tcPr>
                  <w:tcW w:w="1887" w:type="dxa"/>
                  <w:tcBorders>
                    <w:tl2br w:val="nil"/>
                    <w:tr2bl w:val="nil"/>
                  </w:tcBorders>
                  <w:noWrap w:val="0"/>
                  <w:vAlign w:val="center"/>
                </w:tcPr>
                <w:p>
                  <w:pPr>
                    <w:jc w:val="center"/>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cs="宋体"/>
                      <w:b w:val="0"/>
                      <w:bCs w:val="0"/>
                      <w:i w:val="0"/>
                      <w:color w:val="auto"/>
                      <w:kern w:val="0"/>
                      <w:sz w:val="21"/>
                      <w:szCs w:val="21"/>
                      <w:highlight w:val="none"/>
                      <w:u w:val="none" w:color="auto"/>
                      <w:lang w:val="en-US" w:eastAsia="zh-CN" w:bidi="ar"/>
                    </w:rPr>
                    <w:t>6米</w:t>
                  </w:r>
                </w:p>
              </w:tc>
              <w:tc>
                <w:tcPr>
                  <w:tcW w:w="10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25</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CNC绕线机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CNC-200A</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26</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激光机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27</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喷流锡炉</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CM-2720F</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28</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线架</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323型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6</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29</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螺杆式空压机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50A</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30</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干燥机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RAC-50</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储气罐</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32</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流水线</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4</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33</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数显卡尺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0-150mm</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4</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34</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数显卡尺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0-150mm</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35</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数显千分尺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0-25mm</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36</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手动点胶机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37</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半成品切脚机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38</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剥皮机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XLY-08</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39</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剥皮机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XLY-08</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40</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环型包胶机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BM-T8</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喷锡炉</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CM-2720</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42</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气动脚踩机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43</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裁切机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44</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三层周转车</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20</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45</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剥皮机（直发）</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46</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流水线</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24</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47</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4米红外隧道炉</w:t>
                  </w:r>
                  <w:r>
                    <w:rPr>
                      <w:rFonts w:hint="eastAsia" w:ascii="宋体" w:hAnsi="宋体" w:cs="宋体"/>
                      <w:b w:val="0"/>
                      <w:bCs w:val="0"/>
                      <w:i w:val="0"/>
                      <w:color w:val="auto"/>
                      <w:kern w:val="0"/>
                      <w:sz w:val="21"/>
                      <w:szCs w:val="21"/>
                      <w:highlight w:val="none"/>
                      <w:u w:val="none" w:color="auto"/>
                      <w:lang w:val="en-US" w:eastAsia="zh-CN" w:bidi="ar"/>
                    </w:rPr>
                    <w:t>（使用电能）</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FH-168</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48</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二次元影像仪</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VMS-2010</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49</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切脚机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JT80-40</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50</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手动点胶机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982</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8</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显微镜</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CCD</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52</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激光机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3</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53</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转盘式自动切胶带机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54</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自动切胶带机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55</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放大镜</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100</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56</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激光机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4</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57</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自动焊锡机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YCH-3M</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58</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自动装底板机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59</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自动点胶机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RC-4008</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5</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60</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成品切脚机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手动叉车</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62</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半自动折脚机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5</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63</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手动压力机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64</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水杯架</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65</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高温锡炉</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66</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线架</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67</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放大镜</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100</w:t>
                  </w:r>
                  <w:r>
                    <w:rPr>
                      <w:rFonts w:hint="eastAsia" w:ascii="宋体" w:hAnsi="宋体" w:cs="宋体"/>
                      <w:b w:val="0"/>
                      <w:bCs w:val="0"/>
                      <w:i w:val="0"/>
                      <w:color w:val="auto"/>
                      <w:kern w:val="0"/>
                      <w:sz w:val="21"/>
                      <w:szCs w:val="21"/>
                      <w:highlight w:val="none"/>
                      <w:u w:val="none" w:color="auto"/>
                      <w:lang w:val="en-US" w:eastAsia="zh-CN" w:bidi="ar"/>
                    </w:rPr>
                    <w:t>型</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68</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自动折脚机</w:t>
                  </w:r>
                </w:p>
              </w:tc>
              <w:tc>
                <w:tcPr>
                  <w:tcW w:w="1887" w:type="dxa"/>
                  <w:tcBorders>
                    <w:tl2br w:val="nil"/>
                    <w:tr2bl w:val="nil"/>
                  </w:tcBorders>
                  <w:noWrap w:val="0"/>
                  <w:vAlign w:val="center"/>
                </w:tcPr>
                <w:p>
                  <w:pPr>
                    <w:jc w:val="center"/>
                    <w:rPr>
                      <w:rFonts w:hint="default"/>
                      <w:b w:val="0"/>
                      <w:bCs w:val="0"/>
                      <w:color w:val="auto"/>
                      <w:sz w:val="21"/>
                      <w:szCs w:val="21"/>
                      <w:highlight w:val="none"/>
                      <w:u w:val="none" w:color="auto"/>
                      <w:lang w:val="en-US"/>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69</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半自动焊锡机</w:t>
                  </w:r>
                </w:p>
              </w:tc>
              <w:tc>
                <w:tcPr>
                  <w:tcW w:w="18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HX-2MT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70</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侧边磨边机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6</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71</w:t>
                  </w:r>
                </w:p>
              </w:tc>
              <w:tc>
                <w:tcPr>
                  <w:tcW w:w="2687"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电动叉车</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72</w:t>
                  </w:r>
                </w:p>
              </w:tc>
              <w:tc>
                <w:tcPr>
                  <w:tcW w:w="26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磨磁芯机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73</w:t>
                  </w:r>
                </w:p>
              </w:tc>
              <w:tc>
                <w:tcPr>
                  <w:tcW w:w="26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包胶机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74</w:t>
                  </w:r>
                </w:p>
              </w:tc>
              <w:tc>
                <w:tcPr>
                  <w:tcW w:w="26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压力机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2</w:t>
                  </w:r>
                </w:p>
              </w:tc>
              <w:tc>
                <w:tcPr>
                  <w:tcW w:w="130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75</w:t>
                  </w:r>
                </w:p>
              </w:tc>
              <w:tc>
                <w:tcPr>
                  <w:tcW w:w="26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半自动点胶机</w:t>
                  </w:r>
                </w:p>
              </w:tc>
              <w:tc>
                <w:tcPr>
                  <w:tcW w:w="1887" w:type="dxa"/>
                  <w:tcBorders>
                    <w:tl2br w:val="nil"/>
                    <w:tr2bl w:val="nil"/>
                  </w:tcBorders>
                  <w:noWrap w:val="0"/>
                  <w:vAlign w:val="center"/>
                </w:tcPr>
                <w:p>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5</w:t>
                  </w:r>
                </w:p>
              </w:tc>
              <w:tc>
                <w:tcPr>
                  <w:tcW w:w="130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b w:val="0"/>
                      <w:bCs w:val="0"/>
                      <w:i w:val="0"/>
                      <w:color w:val="auto"/>
                      <w:kern w:val="0"/>
                      <w:sz w:val="21"/>
                      <w:szCs w:val="21"/>
                      <w:highlight w:val="none"/>
                      <w:u w:val="none" w:color="auto"/>
                      <w:lang w:val="en-US" w:eastAsia="zh-CN" w:bidi="ar"/>
                    </w:rPr>
                    <w:t>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1" w:type="dxa"/>
                  <w:tcBorders>
                    <w:tl2br w:val="nil"/>
                    <w:tr2bl w:val="nil"/>
                  </w:tcBorders>
                  <w:noWrap w:val="0"/>
                  <w:vAlign w:val="center"/>
                </w:tcPr>
                <w:p>
                  <w:pPr>
                    <w:autoSpaceDE w:val="0"/>
                    <w:autoSpaceDN w:val="0"/>
                    <w:adjustRightInd w:val="0"/>
                    <w:snapToGrid w:val="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76</w:t>
                  </w:r>
                </w:p>
              </w:tc>
              <w:tc>
                <w:tcPr>
                  <w:tcW w:w="268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cs="宋体"/>
                      <w:b w:val="0"/>
                      <w:bCs w:val="0"/>
                      <w:i w:val="0"/>
                      <w:color w:val="auto"/>
                      <w:kern w:val="0"/>
                      <w:sz w:val="21"/>
                      <w:szCs w:val="21"/>
                      <w:highlight w:val="none"/>
                      <w:u w:val="none" w:color="auto"/>
                      <w:lang w:val="en-US" w:eastAsia="zh-CN" w:bidi="ar"/>
                    </w:rPr>
                    <w:t>二级活性炭吸附装置</w:t>
                  </w:r>
                </w:p>
              </w:tc>
              <w:tc>
                <w:tcPr>
                  <w:tcW w:w="1887" w:type="dxa"/>
                  <w:tcBorders>
                    <w:tl2br w:val="nil"/>
                    <w:tr2bl w:val="nil"/>
                  </w:tcBorders>
                  <w:noWrap w:val="0"/>
                  <w:vAlign w:val="center"/>
                </w:tcPr>
                <w:p>
                  <w:pPr>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w:t>
                  </w:r>
                </w:p>
              </w:tc>
              <w:tc>
                <w:tcPr>
                  <w:tcW w:w="102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cs="宋体"/>
                      <w:b w:val="0"/>
                      <w:bCs w:val="0"/>
                      <w:i w:val="0"/>
                      <w:color w:val="auto"/>
                      <w:kern w:val="0"/>
                      <w:sz w:val="21"/>
                      <w:szCs w:val="21"/>
                      <w:highlight w:val="none"/>
                      <w:u w:val="none" w:color="auto"/>
                      <w:lang w:val="en-US" w:eastAsia="zh-CN" w:bidi="ar"/>
                    </w:rPr>
                    <w:t>1</w:t>
                  </w:r>
                </w:p>
              </w:tc>
              <w:tc>
                <w:tcPr>
                  <w:tcW w:w="1300"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cs="宋体"/>
                      <w:b w:val="0"/>
                      <w:bCs w:val="0"/>
                      <w:i w:val="0"/>
                      <w:color w:val="auto"/>
                      <w:kern w:val="0"/>
                      <w:sz w:val="21"/>
                      <w:szCs w:val="21"/>
                      <w:highlight w:val="none"/>
                      <w:u w:val="none" w:color="auto"/>
                      <w:lang w:val="en-US" w:eastAsia="zh-CN" w:bidi="ar"/>
                    </w:rPr>
                    <w:t>台</w:t>
                  </w:r>
                </w:p>
              </w:tc>
            </w:tr>
          </w:tbl>
          <w:p>
            <w:pPr>
              <w:tabs>
                <w:tab w:val="left" w:pos="484"/>
              </w:tabs>
              <w:spacing w:line="360" w:lineRule="auto"/>
              <w:jc w:val="left"/>
              <w:rPr>
                <w:b/>
                <w:bCs/>
                <w:color w:val="auto"/>
                <w:sz w:val="24"/>
                <w:highlight w:val="none"/>
                <w:u w:val="none" w:color="auto"/>
              </w:rPr>
            </w:pPr>
            <w:r>
              <w:rPr>
                <w:rFonts w:hint="eastAsia"/>
                <w:b/>
                <w:bCs/>
                <w:color w:val="auto"/>
                <w:sz w:val="24"/>
                <w:highlight w:val="none"/>
                <w:u w:val="none" w:color="auto"/>
              </w:rPr>
              <w:t>5、公用工程</w:t>
            </w:r>
          </w:p>
          <w:p>
            <w:pPr>
              <w:spacing w:line="360" w:lineRule="auto"/>
              <w:ind w:firstLine="482" w:firstLineChars="200"/>
              <w:rPr>
                <w:b/>
                <w:color w:val="auto"/>
                <w:sz w:val="24"/>
                <w:highlight w:val="none"/>
                <w:u w:val="none" w:color="auto"/>
              </w:rPr>
            </w:pPr>
            <w:r>
              <w:rPr>
                <w:rFonts w:hint="eastAsia"/>
                <w:b/>
                <w:bCs/>
                <w:color w:val="auto"/>
                <w:sz w:val="24"/>
                <w:highlight w:val="none"/>
                <w:u w:val="none" w:color="auto"/>
              </w:rPr>
              <w:t>（1）</w:t>
            </w:r>
            <w:r>
              <w:rPr>
                <w:b/>
                <w:bCs/>
                <w:color w:val="auto"/>
                <w:sz w:val="24"/>
                <w:highlight w:val="none"/>
                <w:u w:val="none" w:color="auto"/>
              </w:rPr>
              <w:t>厂区</w:t>
            </w:r>
            <w:r>
              <w:rPr>
                <w:b/>
                <w:color w:val="auto"/>
                <w:sz w:val="24"/>
                <w:highlight w:val="none"/>
                <w:u w:val="none" w:color="auto"/>
              </w:rPr>
              <w:t>供水</w:t>
            </w:r>
          </w:p>
          <w:p>
            <w:pPr>
              <w:spacing w:line="360" w:lineRule="auto"/>
              <w:ind w:firstLine="480" w:firstLineChars="200"/>
              <w:rPr>
                <w:color w:val="auto"/>
                <w:sz w:val="24"/>
                <w:highlight w:val="none"/>
                <w:u w:val="none" w:color="auto"/>
              </w:rPr>
            </w:pPr>
            <w:r>
              <w:rPr>
                <w:color w:val="auto"/>
                <w:sz w:val="24"/>
                <w:szCs w:val="24"/>
                <w:highlight w:val="none"/>
                <w:u w:val="none" w:color="auto"/>
              </w:rPr>
              <w:t>本项目用水主要来自生活用水</w:t>
            </w:r>
            <w:r>
              <w:rPr>
                <w:rFonts w:hint="eastAsia"/>
                <w:color w:val="auto"/>
                <w:sz w:val="24"/>
                <w:szCs w:val="24"/>
                <w:highlight w:val="none"/>
                <w:u w:val="none" w:color="auto"/>
                <w:lang w:eastAsia="zh-CN"/>
              </w:rPr>
              <w:t>，</w:t>
            </w:r>
            <w:r>
              <w:rPr>
                <w:color w:val="auto"/>
                <w:sz w:val="24"/>
                <w:szCs w:val="24"/>
                <w:highlight w:val="none"/>
                <w:u w:val="none" w:color="auto"/>
              </w:rPr>
              <w:t>由</w:t>
            </w:r>
            <w:r>
              <w:rPr>
                <w:rFonts w:hint="eastAsia"/>
                <w:color w:val="auto"/>
                <w:sz w:val="24"/>
                <w:szCs w:val="24"/>
                <w:highlight w:val="none"/>
                <w:u w:val="none" w:color="auto"/>
              </w:rPr>
              <w:t>永州市</w:t>
            </w:r>
            <w:r>
              <w:rPr>
                <w:color w:val="auto"/>
                <w:sz w:val="24"/>
                <w:szCs w:val="24"/>
                <w:highlight w:val="none"/>
                <w:u w:val="none" w:color="auto"/>
              </w:rPr>
              <w:t>市政供水。</w:t>
            </w:r>
          </w:p>
          <w:p>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厂区排水</w:t>
            </w:r>
          </w:p>
          <w:p>
            <w:pPr>
              <w:spacing w:line="360" w:lineRule="auto"/>
              <w:ind w:firstLine="480" w:firstLineChars="200"/>
              <w:rPr>
                <w:color w:val="auto"/>
                <w:sz w:val="24"/>
                <w:szCs w:val="24"/>
                <w:highlight w:val="none"/>
                <w:u w:val="none" w:color="auto"/>
              </w:rPr>
            </w:pPr>
            <w:r>
              <w:rPr>
                <w:color w:val="auto"/>
                <w:kern w:val="0"/>
                <w:sz w:val="24"/>
                <w:szCs w:val="24"/>
                <w:highlight w:val="none"/>
                <w:u w:val="none" w:color="auto"/>
              </w:rPr>
              <w:t>项目厂区实施雨污分流，其中厂内雨水经收集后排入周边雨水系统。</w:t>
            </w:r>
          </w:p>
          <w:p>
            <w:pPr>
              <w:spacing w:line="360" w:lineRule="auto"/>
              <w:ind w:firstLine="480" w:firstLineChars="200"/>
              <w:rPr>
                <w:color w:val="auto"/>
                <w:sz w:val="24"/>
                <w:highlight w:val="none"/>
                <w:u w:val="none" w:color="auto"/>
              </w:rPr>
            </w:pPr>
            <w:r>
              <w:rPr>
                <w:color w:val="auto"/>
                <w:sz w:val="24"/>
                <w:highlight w:val="none"/>
                <w:u w:val="none" w:color="auto"/>
              </w:rPr>
              <w:t>生活污</w:t>
            </w:r>
            <w:r>
              <w:rPr>
                <w:color w:val="auto"/>
                <w:sz w:val="24"/>
                <w:szCs w:val="28"/>
                <w:highlight w:val="none"/>
                <w:u w:val="none" w:color="auto"/>
              </w:rPr>
              <w:t>水经化粪池污水处理设施达到</w:t>
            </w:r>
            <w:r>
              <w:rPr>
                <w:rFonts w:hint="eastAsia"/>
                <w:color w:val="auto"/>
                <w:sz w:val="24"/>
                <w:highlight w:val="none"/>
                <w:u w:val="none" w:color="auto"/>
              </w:rPr>
              <w:t>《电子工业水污染物排放标准》（GB 39731-2020）表1水污染物排放限值</w:t>
            </w:r>
            <w:r>
              <w:rPr>
                <w:rFonts w:hint="eastAsia"/>
                <w:color w:val="auto"/>
                <w:sz w:val="24"/>
                <w:szCs w:val="28"/>
                <w:highlight w:val="none"/>
                <w:u w:val="none" w:color="auto"/>
              </w:rPr>
              <w:t>要求</w:t>
            </w:r>
            <w:r>
              <w:rPr>
                <w:color w:val="auto"/>
                <w:sz w:val="24"/>
                <w:szCs w:val="28"/>
                <w:highlight w:val="none"/>
                <w:u w:val="none" w:color="auto"/>
              </w:rPr>
              <w:t>后经污水管网排入下河线污水厂处理</w:t>
            </w:r>
            <w:r>
              <w:rPr>
                <w:rFonts w:hint="eastAsia"/>
                <w:color w:val="auto"/>
                <w:sz w:val="24"/>
                <w:szCs w:val="28"/>
                <w:highlight w:val="none"/>
                <w:u w:val="none" w:color="auto"/>
              </w:rPr>
              <w:t>后最终排入湘江</w:t>
            </w:r>
            <w:r>
              <w:rPr>
                <w:color w:val="auto"/>
                <w:sz w:val="24"/>
                <w:szCs w:val="28"/>
                <w:highlight w:val="none"/>
                <w:u w:val="none" w:color="auto"/>
              </w:rPr>
              <w:t>。</w:t>
            </w:r>
          </w:p>
          <w:p>
            <w:pPr>
              <w:spacing w:line="360" w:lineRule="auto"/>
              <w:ind w:firstLine="482" w:firstLineChars="200"/>
              <w:rPr>
                <w:bCs/>
                <w:color w:val="auto"/>
                <w:sz w:val="24"/>
                <w:highlight w:val="none"/>
                <w:u w:val="none" w:color="auto"/>
              </w:rPr>
            </w:pPr>
            <w:r>
              <w:rPr>
                <w:rFonts w:hint="eastAsia"/>
                <w:b/>
                <w:color w:val="auto"/>
                <w:sz w:val="24"/>
                <w:highlight w:val="none"/>
                <w:u w:val="none" w:color="auto"/>
              </w:rPr>
              <w:t>（3）</w:t>
            </w:r>
            <w:r>
              <w:rPr>
                <w:b/>
                <w:color w:val="auto"/>
                <w:sz w:val="24"/>
                <w:highlight w:val="none"/>
                <w:u w:val="none" w:color="auto"/>
              </w:rPr>
              <w:t>供电</w:t>
            </w:r>
          </w:p>
          <w:p>
            <w:pPr>
              <w:spacing w:line="360" w:lineRule="auto"/>
              <w:ind w:firstLine="480" w:firstLineChars="200"/>
              <w:rPr>
                <w:color w:val="auto"/>
                <w:highlight w:val="none"/>
                <w:u w:val="none" w:color="auto"/>
              </w:rPr>
            </w:pPr>
            <w:r>
              <w:rPr>
                <w:color w:val="auto"/>
                <w:sz w:val="24"/>
                <w:highlight w:val="none"/>
                <w:u w:val="none" w:color="auto"/>
              </w:rPr>
              <w:t>本项目由</w:t>
            </w:r>
            <w:r>
              <w:rPr>
                <w:rFonts w:hint="eastAsia"/>
                <w:color w:val="auto"/>
                <w:sz w:val="24"/>
                <w:szCs w:val="24"/>
                <w:highlight w:val="none"/>
                <w:u w:val="none" w:color="auto"/>
                <w:shd w:val="clear" w:color="auto" w:fill="FFFFFF"/>
              </w:rPr>
              <w:t>永州经济技术开发区锦络电子工业园</w:t>
            </w:r>
            <w:r>
              <w:rPr>
                <w:color w:val="auto"/>
                <w:sz w:val="24"/>
                <w:highlight w:val="none"/>
                <w:u w:val="none" w:color="auto"/>
              </w:rPr>
              <w:t>电网供电，动力、办公、照明配电电压为380/220V，三相五线制供电；</w:t>
            </w:r>
            <w:r>
              <w:rPr>
                <w:color w:val="auto"/>
                <w:sz w:val="24"/>
                <w:szCs w:val="28"/>
                <w:highlight w:val="none"/>
                <w:u w:val="none" w:color="auto"/>
              </w:rPr>
              <w:t>配电方式按照用电性质及需要采用放射式，通过配电房将电送至用电区，经配电系统向用电设施提供动力和照</w:t>
            </w:r>
            <w:r>
              <w:rPr>
                <w:bCs/>
                <w:color w:val="auto"/>
                <w:sz w:val="24"/>
                <w:szCs w:val="28"/>
                <w:highlight w:val="none"/>
                <w:u w:val="none" w:color="auto"/>
              </w:rPr>
              <w:t>明负荷供电。</w:t>
            </w:r>
          </w:p>
          <w:p>
            <w:pPr>
              <w:spacing w:line="360" w:lineRule="auto"/>
              <w:ind w:firstLine="482" w:firstLineChars="200"/>
              <w:rPr>
                <w:b/>
                <w:color w:val="auto"/>
                <w:sz w:val="24"/>
                <w:highlight w:val="none"/>
                <w:u w:val="none" w:color="auto"/>
              </w:rPr>
            </w:pPr>
            <w:r>
              <w:rPr>
                <w:rFonts w:hint="eastAsia"/>
                <w:b/>
                <w:color w:val="auto"/>
                <w:sz w:val="24"/>
                <w:highlight w:val="none"/>
                <w:u w:val="none" w:color="auto"/>
              </w:rPr>
              <w:t>（4）</w:t>
            </w:r>
            <w:r>
              <w:rPr>
                <w:b/>
                <w:color w:val="auto"/>
                <w:sz w:val="24"/>
                <w:highlight w:val="none"/>
                <w:u w:val="none" w:color="auto"/>
              </w:rPr>
              <w:t>消防</w:t>
            </w:r>
          </w:p>
          <w:p>
            <w:pPr>
              <w:spacing w:line="360" w:lineRule="auto"/>
              <w:ind w:firstLine="480" w:firstLineChars="200"/>
              <w:rPr>
                <w:rStyle w:val="29"/>
                <w:color w:val="auto"/>
                <w:highlight w:val="none"/>
                <w:u w:val="none" w:color="auto"/>
              </w:rPr>
            </w:pPr>
            <w:r>
              <w:rPr>
                <w:color w:val="auto"/>
                <w:sz w:val="24"/>
                <w:highlight w:val="none"/>
                <w:u w:val="none" w:color="auto"/>
              </w:rPr>
              <w:t>本项目</w:t>
            </w:r>
            <w:r>
              <w:rPr>
                <w:rFonts w:hint="eastAsia"/>
                <w:color w:val="auto"/>
                <w:sz w:val="24"/>
                <w:highlight w:val="none"/>
                <w:u w:val="none" w:color="auto"/>
              </w:rPr>
              <w:t>消防设计按照《建筑设计防火规范（GBJ16-2006》进行设计，工程按一级耐火等级设计。</w:t>
            </w:r>
          </w:p>
          <w:p>
            <w:pPr>
              <w:numPr>
                <w:ilvl w:val="0"/>
                <w:numId w:val="3"/>
              </w:numPr>
              <w:tabs>
                <w:tab w:val="left" w:pos="630"/>
              </w:tabs>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劳动动员及工作制度</w:t>
            </w:r>
          </w:p>
          <w:p>
            <w:pPr>
              <w:tabs>
                <w:tab w:val="left" w:pos="484"/>
              </w:tabs>
              <w:spacing w:line="360" w:lineRule="auto"/>
              <w:ind w:firstLine="480" w:firstLineChars="200"/>
              <w:jc w:val="left"/>
              <w:rPr>
                <w:color w:val="auto"/>
                <w:sz w:val="24"/>
                <w:highlight w:val="none"/>
                <w:u w:val="none" w:color="auto"/>
              </w:rPr>
            </w:pPr>
            <w:r>
              <w:rPr>
                <w:color w:val="auto"/>
                <w:sz w:val="24"/>
                <w:highlight w:val="none"/>
                <w:u w:val="none" w:color="auto"/>
              </w:rPr>
              <w:t>项目劳动定员总数为</w:t>
            </w:r>
            <w:r>
              <w:rPr>
                <w:rFonts w:hint="eastAsia"/>
                <w:color w:val="auto"/>
                <w:sz w:val="24"/>
                <w:highlight w:val="none"/>
                <w:u w:val="none" w:color="auto"/>
                <w:lang w:val="en-US" w:eastAsia="zh-CN"/>
              </w:rPr>
              <w:t>30</w:t>
            </w:r>
            <w:r>
              <w:rPr>
                <w:color w:val="auto"/>
                <w:sz w:val="24"/>
                <w:highlight w:val="none"/>
                <w:u w:val="none" w:color="auto"/>
              </w:rPr>
              <w:t>人</w:t>
            </w:r>
            <w:r>
              <w:rPr>
                <w:rFonts w:hint="eastAsia"/>
                <w:color w:val="auto"/>
                <w:sz w:val="24"/>
                <w:highlight w:val="none"/>
                <w:u w:val="none" w:color="auto"/>
              </w:rPr>
              <w:t>，</w:t>
            </w:r>
            <w:r>
              <w:rPr>
                <w:rFonts w:hint="eastAsia"/>
                <w:color w:val="auto"/>
                <w:sz w:val="24"/>
                <w:highlight w:val="none"/>
                <w:u w:val="none" w:color="auto"/>
                <w:lang w:val="en-US" w:eastAsia="zh-CN"/>
              </w:rPr>
              <w:t>厂区不提供食宿</w:t>
            </w:r>
            <w:r>
              <w:rPr>
                <w:color w:val="auto"/>
                <w:sz w:val="24"/>
                <w:highlight w:val="none"/>
                <w:u w:val="none" w:color="auto"/>
              </w:rPr>
              <w:t>。</w:t>
            </w:r>
          </w:p>
          <w:p>
            <w:pPr>
              <w:tabs>
                <w:tab w:val="left" w:pos="484"/>
              </w:tabs>
              <w:spacing w:line="360" w:lineRule="auto"/>
              <w:ind w:firstLine="480" w:firstLineChars="200"/>
              <w:jc w:val="left"/>
              <w:rPr>
                <w:color w:val="auto"/>
                <w:sz w:val="24"/>
                <w:highlight w:val="none"/>
                <w:u w:val="none" w:color="auto"/>
              </w:rPr>
            </w:pPr>
            <w:r>
              <w:rPr>
                <w:color w:val="auto"/>
                <w:sz w:val="24"/>
                <w:highlight w:val="none"/>
                <w:u w:val="none" w:color="auto"/>
              </w:rPr>
              <w:t>生产制度：年工作</w:t>
            </w:r>
            <w:r>
              <w:rPr>
                <w:rFonts w:hint="eastAsia"/>
                <w:color w:val="auto"/>
                <w:sz w:val="24"/>
                <w:highlight w:val="none"/>
                <w:u w:val="none" w:color="auto"/>
                <w:lang w:val="en-US" w:eastAsia="zh-CN"/>
              </w:rPr>
              <w:t>300</w:t>
            </w:r>
            <w:r>
              <w:rPr>
                <w:color w:val="auto"/>
                <w:sz w:val="24"/>
                <w:highlight w:val="none"/>
                <w:u w:val="none" w:color="auto"/>
              </w:rPr>
              <w:t>天，</w:t>
            </w:r>
            <w:r>
              <w:rPr>
                <w:rFonts w:hint="eastAsia"/>
                <w:color w:val="auto"/>
                <w:sz w:val="24"/>
                <w:highlight w:val="none"/>
                <w:u w:val="none" w:color="auto"/>
                <w:lang w:val="en-US" w:eastAsia="zh-CN"/>
              </w:rPr>
              <w:t>项目采用两班制，</w:t>
            </w:r>
            <w:r>
              <w:rPr>
                <w:rFonts w:hint="eastAsia"/>
                <w:color w:val="auto"/>
                <w:sz w:val="24"/>
                <w:highlight w:val="none"/>
                <w:u w:val="none" w:color="auto"/>
              </w:rPr>
              <w:t>每天工作10小时</w:t>
            </w:r>
            <w:r>
              <w:rPr>
                <w:color w:val="auto"/>
                <w:sz w:val="24"/>
                <w:highlight w:val="none"/>
                <w:u w:val="none" w:color="auto"/>
              </w:rPr>
              <w:t>。</w:t>
            </w:r>
          </w:p>
          <w:p>
            <w:pPr>
              <w:tabs>
                <w:tab w:val="left" w:pos="484"/>
              </w:tabs>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7、厂区平面布置</w:t>
            </w:r>
          </w:p>
          <w:p>
            <w:pPr>
              <w:tabs>
                <w:tab w:val="left" w:pos="484"/>
              </w:tabs>
              <w:spacing w:line="360" w:lineRule="auto"/>
              <w:ind w:firstLine="480" w:firstLineChars="200"/>
              <w:jc w:val="left"/>
              <w:rPr>
                <w:rFonts w:hint="default" w:eastAsia="宋体"/>
                <w:color w:val="auto"/>
                <w:sz w:val="24"/>
                <w:highlight w:val="none"/>
                <w:u w:val="none" w:color="auto"/>
                <w:lang w:val="en-US" w:eastAsia="zh-CN"/>
              </w:rPr>
            </w:pPr>
            <w:r>
              <w:rPr>
                <w:rFonts w:hint="eastAsia"/>
                <w:color w:val="auto"/>
                <w:sz w:val="24"/>
                <w:highlight w:val="none"/>
                <w:u w:val="none" w:color="auto"/>
              </w:rPr>
              <w:t>本项目租赁位于</w:t>
            </w:r>
            <w:r>
              <w:rPr>
                <w:rFonts w:hint="eastAsia"/>
                <w:color w:val="auto"/>
                <w:sz w:val="24"/>
                <w:szCs w:val="24"/>
                <w:highlight w:val="none"/>
                <w:u w:val="none" w:color="auto"/>
                <w:shd w:val="clear" w:color="auto" w:fill="FFFFFF"/>
              </w:rPr>
              <w:t>永州经济技术开发区锦络电子工业园3号栋1-3楼</w:t>
            </w:r>
            <w:r>
              <w:rPr>
                <w:rFonts w:hint="eastAsia"/>
                <w:color w:val="auto"/>
                <w:sz w:val="24"/>
                <w:highlight w:val="none"/>
                <w:u w:val="none" w:color="auto"/>
              </w:rPr>
              <w:t>的空置工业厂房，总占地面积</w:t>
            </w:r>
            <w:r>
              <w:rPr>
                <w:rFonts w:hint="eastAsia"/>
                <w:color w:val="auto"/>
                <w:kern w:val="0"/>
                <w:sz w:val="24"/>
                <w:highlight w:val="none"/>
                <w:u w:val="none" w:color="auto"/>
                <w:lang w:val="en-US" w:eastAsia="zh-CN"/>
              </w:rPr>
              <w:t>2513.75</w:t>
            </w:r>
            <w:r>
              <w:rPr>
                <w:rFonts w:hint="eastAsia"/>
                <w:color w:val="auto"/>
                <w:kern w:val="0"/>
                <w:sz w:val="24"/>
                <w:highlight w:val="none"/>
                <w:u w:val="none" w:color="auto"/>
              </w:rPr>
              <w:t xml:space="preserve"> </w:t>
            </w:r>
            <w:r>
              <w:rPr>
                <w:color w:val="auto"/>
                <w:sz w:val="24"/>
                <w:highlight w:val="none"/>
                <w:u w:val="none" w:color="auto"/>
              </w:rPr>
              <w:t>m</w:t>
            </w:r>
            <w:r>
              <w:rPr>
                <w:color w:val="auto"/>
                <w:sz w:val="24"/>
                <w:highlight w:val="none"/>
                <w:u w:val="none" w:color="auto"/>
                <w:vertAlign w:val="superscript"/>
              </w:rPr>
              <w:t>2</w:t>
            </w:r>
            <w:r>
              <w:rPr>
                <w:rFonts w:hint="eastAsia"/>
                <w:color w:val="auto"/>
                <w:sz w:val="24"/>
                <w:highlight w:val="none"/>
                <w:u w:val="none" w:color="auto"/>
              </w:rPr>
              <w:t>，厂房内部布置办公区、生产区、仓库等。</w:t>
            </w:r>
            <w:r>
              <w:rPr>
                <w:rFonts w:hint="eastAsia"/>
                <w:color w:val="auto"/>
                <w:sz w:val="24"/>
                <w:highlight w:val="none"/>
                <w:u w:val="none" w:color="auto"/>
                <w:lang w:val="en-US" w:eastAsia="zh-CN"/>
              </w:rPr>
              <w:t>本项目一楼布置成品仓库和原料仓库，二楼布置为绕线机、隧道炉等其他工序的生产区，三楼为办公区域及去皮、焊锡、组装、测试等生产工序的生产区。</w:t>
            </w:r>
          </w:p>
          <w:p>
            <w:pPr>
              <w:tabs>
                <w:tab w:val="left" w:pos="484"/>
              </w:tabs>
              <w:spacing w:line="360" w:lineRule="auto"/>
              <w:ind w:firstLine="480" w:firstLineChars="200"/>
              <w:jc w:val="left"/>
              <w:rPr>
                <w:b w:val="0"/>
                <w:bCs w:val="0"/>
                <w:color w:val="auto"/>
                <w:sz w:val="32"/>
                <w:highlight w:val="none"/>
                <w:u w:val="none" w:color="auto"/>
              </w:rPr>
            </w:pPr>
            <w:r>
              <w:rPr>
                <w:rFonts w:hint="eastAsia"/>
                <w:color w:val="auto"/>
                <w:sz w:val="24"/>
                <w:highlight w:val="none"/>
                <w:u w:val="none" w:color="auto"/>
              </w:rPr>
              <w:t>原辅材料及产品厂外运输采用汽运，原辅材料及产品厂内运输采用机械搬运完成。项目周边50米范围内敏感点主要是工业厂房。现拟将排气筒设置在生产区的西侧，对周边敏感点影响不大。项目总平面布置图详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235"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工艺流程和产排污环节</w:t>
            </w:r>
          </w:p>
        </w:tc>
        <w:tc>
          <w:tcPr>
            <w:tcW w:w="7836" w:type="dxa"/>
            <w:vAlign w:val="center"/>
          </w:tcPr>
          <w:p>
            <w:pPr>
              <w:adjustRightInd w:val="0"/>
              <w:snapToGri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一、施工期工艺流程简述:</w:t>
            </w:r>
          </w:p>
          <w:p>
            <w:pPr>
              <w:adjustRightInd w:val="0"/>
              <w:snapToGrid w:val="0"/>
              <w:spacing w:line="360" w:lineRule="auto"/>
              <w:ind w:firstLine="480" w:firstLineChars="200"/>
              <w:rPr>
                <w:color w:val="auto"/>
                <w:sz w:val="24"/>
                <w:highlight w:val="none"/>
                <w:u w:val="none" w:color="auto"/>
              </w:rPr>
            </w:pPr>
            <w:r>
              <w:rPr>
                <w:rFonts w:hint="eastAsia"/>
                <w:color w:val="auto"/>
                <w:sz w:val="24"/>
                <w:highlight w:val="none"/>
                <w:u w:val="none" w:color="auto"/>
              </w:rPr>
              <w:t>本项目施工期包括厂房装修以及机械设备安装。</w:t>
            </w:r>
          </w:p>
          <w:p>
            <w:pPr>
              <w:adjustRightInd w:val="0"/>
              <w:snapToGri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二、营运期工艺流程简述:</w:t>
            </w:r>
          </w:p>
          <w:p>
            <w:pPr>
              <w:adjustRightInd w:val="0"/>
              <w:snapToGrid w:val="0"/>
              <w:rPr>
                <w:color w:val="auto"/>
                <w:highlight w:val="none"/>
                <w:u w:val="none" w:color="auto"/>
              </w:rPr>
            </w:pPr>
            <w:r>
              <w:rPr>
                <w:color w:val="auto"/>
                <w:highlight w:val="none"/>
                <w:u w:val="none" w:color="auto"/>
              </w:rPr>
              <w:object>
                <v:shape id="_x0000_i1025" o:spt="75" type="#_x0000_t75" style="height:120.7pt;width:380.9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pStyle w:val="65"/>
              <w:spacing w:line="360" w:lineRule="auto"/>
              <w:rPr>
                <w:b/>
                <w:bCs/>
                <w:color w:val="auto"/>
                <w:sz w:val="24"/>
                <w:highlight w:val="none"/>
                <w:u w:val="none" w:color="auto"/>
              </w:rPr>
            </w:pPr>
            <w:r>
              <w:rPr>
                <w:rFonts w:hAnsi="宋体" w:eastAsia="宋体"/>
                <w:b/>
                <w:color w:val="auto"/>
                <w:sz w:val="24"/>
                <w:szCs w:val="24"/>
                <w:highlight w:val="none"/>
                <w:u w:val="none" w:color="auto"/>
              </w:rPr>
              <w:t>图</w:t>
            </w:r>
            <w:r>
              <w:rPr>
                <w:rFonts w:hint="eastAsia" w:hAnsi="宋体" w:eastAsia="宋体"/>
                <w:b/>
                <w:color w:val="auto"/>
                <w:sz w:val="24"/>
                <w:szCs w:val="24"/>
                <w:highlight w:val="none"/>
                <w:u w:val="none" w:color="auto"/>
              </w:rPr>
              <w:t>2-</w:t>
            </w:r>
            <w:r>
              <w:rPr>
                <w:rFonts w:hint="eastAsia" w:eastAsia="宋体"/>
                <w:b/>
                <w:color w:val="auto"/>
                <w:sz w:val="24"/>
                <w:szCs w:val="24"/>
                <w:highlight w:val="none"/>
                <w:u w:val="none" w:color="auto"/>
              </w:rPr>
              <w:t>1</w:t>
            </w:r>
            <w:r>
              <w:rPr>
                <w:rFonts w:eastAsia="宋体"/>
                <w:b/>
                <w:color w:val="auto"/>
                <w:sz w:val="24"/>
                <w:szCs w:val="24"/>
                <w:highlight w:val="none"/>
                <w:u w:val="none" w:color="auto"/>
              </w:rPr>
              <w:t xml:space="preserve"> </w:t>
            </w:r>
            <w:r>
              <w:rPr>
                <w:rFonts w:hAnsi="宋体" w:eastAsia="宋体"/>
                <w:b/>
                <w:color w:val="auto"/>
                <w:sz w:val="24"/>
                <w:szCs w:val="24"/>
                <w:highlight w:val="none"/>
                <w:u w:val="none" w:color="auto"/>
              </w:rPr>
              <w:t>工艺及产污节点图</w:t>
            </w:r>
          </w:p>
          <w:p>
            <w:pPr>
              <w:spacing w:line="360" w:lineRule="auto"/>
              <w:ind w:firstLine="482" w:firstLineChars="200"/>
              <w:rPr>
                <w:b/>
                <w:bCs/>
                <w:color w:val="auto"/>
                <w:sz w:val="24"/>
                <w:highlight w:val="none"/>
                <w:u w:val="none" w:color="auto"/>
              </w:rPr>
            </w:pPr>
            <w:r>
              <w:rPr>
                <w:rFonts w:hAnsi="宋体"/>
                <w:b/>
                <w:bCs/>
                <w:color w:val="auto"/>
                <w:sz w:val="24"/>
                <w:highlight w:val="none"/>
                <w:u w:val="none" w:color="auto"/>
              </w:rPr>
              <w:t>工艺流程说明：</w:t>
            </w:r>
          </w:p>
          <w:p>
            <w:pPr>
              <w:autoSpaceDE w:val="0"/>
              <w:autoSpaceDN w:val="0"/>
              <w:spacing w:line="360" w:lineRule="auto"/>
              <w:ind w:firstLine="480"/>
              <w:jc w:val="left"/>
              <w:rPr>
                <w:rFonts w:hint="eastAsia"/>
                <w:color w:val="auto"/>
                <w:sz w:val="24"/>
                <w:szCs w:val="22"/>
                <w:highlight w:val="none"/>
                <w:u w:val="none" w:color="auto"/>
              </w:rPr>
            </w:pPr>
            <w:r>
              <w:rPr>
                <w:rFonts w:hint="eastAsia"/>
                <w:color w:val="auto"/>
                <w:sz w:val="24"/>
                <w:szCs w:val="22"/>
                <w:highlight w:val="none"/>
                <w:u w:val="none" w:color="auto"/>
              </w:rPr>
              <w:t>工艺说明：</w:t>
            </w:r>
          </w:p>
          <w:p>
            <w:pPr>
              <w:pStyle w:val="74"/>
              <w:snapToGrid w:val="0"/>
              <w:rPr>
                <w:color w:val="auto"/>
                <w:highlight w:val="none"/>
                <w:u w:val="none" w:color="auto"/>
              </w:rPr>
            </w:pPr>
            <w:r>
              <w:rPr>
                <w:color w:val="auto"/>
                <w:highlight w:val="none"/>
                <w:u w:val="none" w:color="auto"/>
              </w:rPr>
              <w:t>绕线：外购的骨架置于全自动绕线机或CNC绕线机上进行绕线。</w:t>
            </w:r>
          </w:p>
          <w:p>
            <w:pPr>
              <w:pStyle w:val="74"/>
              <w:snapToGrid w:val="0"/>
              <w:rPr>
                <w:color w:val="auto"/>
                <w:highlight w:val="none"/>
                <w:u w:val="none" w:color="auto"/>
              </w:rPr>
            </w:pPr>
            <w:r>
              <w:rPr>
                <w:color w:val="auto"/>
                <w:highlight w:val="none"/>
                <w:u w:val="none" w:color="auto"/>
              </w:rPr>
              <w:t>真空含浸：将产品的PIN脚朝上，整齐摆放于含浸框内，抽真空，气压抽至0.072MPa以上，按绝缘油：稀释剂=2：1混合后注入腔体，此时绝缘油能快速、均匀、彻底渗透到线圈的每个细微毛孔和空隙中，且表面光滑。提高电器线圈的整体机械强度，绝缘强度及防潮、防霉等性能。</w:t>
            </w:r>
          </w:p>
          <w:p>
            <w:pPr>
              <w:pStyle w:val="74"/>
              <w:snapToGrid w:val="0"/>
              <w:rPr>
                <w:color w:val="auto"/>
                <w:highlight w:val="none"/>
                <w:u w:val="none" w:color="auto"/>
              </w:rPr>
            </w:pPr>
            <w:r>
              <w:rPr>
                <w:rFonts w:hint="eastAsia"/>
                <w:color w:val="auto"/>
                <w:highlight w:val="none"/>
                <w:u w:val="none" w:color="auto"/>
                <w:lang w:val="en-US" w:eastAsia="zh-CN"/>
              </w:rPr>
              <w:t>去皮、</w:t>
            </w:r>
            <w:r>
              <w:rPr>
                <w:color w:val="auto"/>
                <w:highlight w:val="none"/>
                <w:u w:val="none" w:color="auto"/>
              </w:rPr>
              <w:t>焊锡：含浸</w:t>
            </w:r>
            <w:r>
              <w:rPr>
                <w:rFonts w:hint="eastAsia"/>
                <w:color w:val="auto"/>
                <w:highlight w:val="none"/>
                <w:u w:val="none" w:color="auto"/>
                <w:lang w:val="en-US" w:eastAsia="zh-CN"/>
              </w:rPr>
              <w:t>工序后进行去皮，再将</w:t>
            </w:r>
            <w:r>
              <w:rPr>
                <w:color w:val="auto"/>
                <w:highlight w:val="none"/>
                <w:u w:val="none" w:color="auto"/>
              </w:rPr>
              <w:t>骨架针脚沾助焊剂，再将铜线与骨架上的针脚倾斜20~60℃插入焊锡槽，镀锡1~3秒，焊锡温度为200~300℃。</w:t>
            </w:r>
          </w:p>
          <w:p>
            <w:pPr>
              <w:pStyle w:val="74"/>
              <w:snapToGrid w:val="0"/>
              <w:rPr>
                <w:rFonts w:hint="eastAsia" w:eastAsia="宋体"/>
                <w:color w:val="auto"/>
                <w:highlight w:val="none"/>
                <w:u w:val="none" w:color="auto"/>
                <w:lang w:val="en-US" w:eastAsia="zh-CN"/>
              </w:rPr>
            </w:pPr>
            <w:r>
              <w:rPr>
                <w:rFonts w:hint="eastAsia"/>
                <w:color w:val="auto"/>
                <w:highlight w:val="none"/>
                <w:u w:val="none" w:color="auto"/>
                <w:lang w:val="en-US" w:eastAsia="zh-CN"/>
              </w:rPr>
              <w:t>组装：</w:t>
            </w:r>
            <w:r>
              <w:rPr>
                <w:color w:val="auto"/>
                <w:highlight w:val="none"/>
                <w:u w:val="none" w:color="auto"/>
              </w:rPr>
              <w:t>将线包外观确认完成后的产品进行磁芯的安装。置于自动双头包胶机缠绕胶带。</w:t>
            </w:r>
          </w:p>
          <w:p>
            <w:pPr>
              <w:pStyle w:val="74"/>
              <w:snapToGrid w:val="0"/>
              <w:rPr>
                <w:color w:val="auto"/>
                <w:highlight w:val="none"/>
                <w:u w:val="none" w:color="auto"/>
              </w:rPr>
            </w:pPr>
            <w:r>
              <w:rPr>
                <w:color w:val="auto"/>
                <w:highlight w:val="none"/>
                <w:u w:val="none" w:color="auto"/>
              </w:rPr>
              <w:t>半成品检测：将组装完成后的半成品进行耐压检测与电气检测。</w:t>
            </w:r>
          </w:p>
          <w:p>
            <w:pPr>
              <w:pStyle w:val="74"/>
              <w:snapToGrid w:val="0"/>
              <w:rPr>
                <w:rFonts w:hint="default" w:eastAsia="宋体"/>
                <w:color w:val="auto"/>
                <w:highlight w:val="none"/>
                <w:u w:val="none" w:color="auto"/>
                <w:lang w:val="en-US" w:eastAsia="zh-CN"/>
              </w:rPr>
            </w:pPr>
            <w:r>
              <w:rPr>
                <w:rFonts w:hint="eastAsia"/>
                <w:color w:val="auto"/>
                <w:highlight w:val="none"/>
                <w:u w:val="none" w:color="auto"/>
                <w:lang w:val="en-US" w:eastAsia="zh-CN"/>
              </w:rPr>
              <w:t>点胶：检测合格的半成品采用环氧树脂胶进行点胶。</w:t>
            </w:r>
          </w:p>
          <w:p>
            <w:pPr>
              <w:pStyle w:val="74"/>
              <w:snapToGrid w:val="0"/>
              <w:rPr>
                <w:rFonts w:hint="eastAsia" w:eastAsia="宋体"/>
                <w:color w:val="auto"/>
                <w:highlight w:val="none"/>
                <w:u w:val="none" w:color="auto"/>
                <w:lang w:val="en-US" w:eastAsia="zh-CN"/>
              </w:rPr>
            </w:pPr>
            <w:r>
              <w:rPr>
                <w:color w:val="auto"/>
                <w:highlight w:val="none"/>
                <w:u w:val="none" w:color="auto"/>
              </w:rPr>
              <w:t>烘烤</w:t>
            </w:r>
            <w:r>
              <w:rPr>
                <w:rFonts w:hint="eastAsia"/>
                <w:color w:val="auto"/>
                <w:highlight w:val="none"/>
                <w:u w:val="none" w:color="auto"/>
                <w:lang w:eastAsia="zh-CN"/>
              </w:rPr>
              <w:t>、</w:t>
            </w:r>
            <w:r>
              <w:rPr>
                <w:rFonts w:hint="eastAsia"/>
                <w:color w:val="auto"/>
                <w:highlight w:val="none"/>
                <w:u w:val="none" w:color="auto"/>
                <w:lang w:val="en-US" w:eastAsia="zh-CN"/>
              </w:rPr>
              <w:t>切脚</w:t>
            </w:r>
            <w:r>
              <w:rPr>
                <w:color w:val="auto"/>
                <w:highlight w:val="none"/>
                <w:u w:val="none" w:color="auto"/>
              </w:rPr>
              <w:t>：真空含浸完后将产品放入</w:t>
            </w:r>
            <w:r>
              <w:rPr>
                <w:rFonts w:hint="eastAsia"/>
                <w:color w:val="auto"/>
                <w:highlight w:val="none"/>
                <w:u w:val="none" w:color="auto"/>
                <w:lang w:val="en-US" w:eastAsia="zh-CN"/>
              </w:rPr>
              <w:t>隧道炉</w:t>
            </w:r>
            <w:r>
              <w:rPr>
                <w:color w:val="auto"/>
                <w:highlight w:val="none"/>
                <w:u w:val="none" w:color="auto"/>
              </w:rPr>
              <w:t>，烘干时间120min</w:t>
            </w:r>
            <w:r>
              <w:rPr>
                <w:rFonts w:hint="eastAsia"/>
                <w:color w:val="auto"/>
                <w:highlight w:val="none"/>
                <w:u w:val="none" w:color="auto"/>
                <w:lang w:eastAsia="zh-CN"/>
              </w:rPr>
              <w:t>，</w:t>
            </w:r>
            <w:r>
              <w:rPr>
                <w:color w:val="auto"/>
                <w:highlight w:val="none"/>
                <w:u w:val="none" w:color="auto"/>
              </w:rPr>
              <w:t>设定烘烤温度</w:t>
            </w:r>
            <w:r>
              <w:rPr>
                <w:rFonts w:hint="eastAsia"/>
                <w:color w:val="auto"/>
                <w:highlight w:val="none"/>
                <w:u w:val="none" w:color="auto"/>
                <w:lang w:eastAsia="zh-CN"/>
              </w:rPr>
              <w:t>。</w:t>
            </w:r>
            <w:r>
              <w:rPr>
                <w:rFonts w:hint="eastAsia"/>
                <w:color w:val="auto"/>
                <w:highlight w:val="none"/>
                <w:u w:val="none" w:color="auto"/>
                <w:lang w:val="en-US" w:eastAsia="zh-CN"/>
              </w:rPr>
              <w:t>调整切脚：</w:t>
            </w:r>
          </w:p>
          <w:p>
            <w:pPr>
              <w:pStyle w:val="74"/>
              <w:snapToGrid w:val="0"/>
              <w:rPr>
                <w:color w:val="auto"/>
                <w:highlight w:val="none"/>
                <w:u w:val="none" w:color="auto"/>
              </w:rPr>
            </w:pPr>
            <w:r>
              <w:rPr>
                <w:rFonts w:cs="Times New Roman"/>
                <w:color w:val="auto"/>
                <w:highlight w:val="none"/>
                <w:u w:val="none" w:color="auto"/>
              </w:rPr>
              <w:t>成品检测</w:t>
            </w:r>
            <w:r>
              <w:rPr>
                <w:rFonts w:hint="eastAsia" w:cs="Times New Roman"/>
                <w:color w:val="auto"/>
                <w:highlight w:val="none"/>
                <w:u w:val="none" w:color="auto"/>
                <w:lang w:eastAsia="zh-CN"/>
              </w:rPr>
              <w:t>、</w:t>
            </w:r>
            <w:r>
              <w:rPr>
                <w:rFonts w:hint="eastAsia" w:cs="Times New Roman"/>
                <w:color w:val="auto"/>
                <w:highlight w:val="none"/>
                <w:u w:val="none" w:color="auto"/>
                <w:lang w:val="en-US" w:eastAsia="zh-CN"/>
              </w:rPr>
              <w:t>外检包装</w:t>
            </w:r>
            <w:r>
              <w:rPr>
                <w:rFonts w:cs="Times New Roman"/>
                <w:color w:val="auto"/>
                <w:highlight w:val="none"/>
                <w:u w:val="none" w:color="auto"/>
              </w:rPr>
              <w:t>；将成品进行质检，质检合格后的产品包装入库。</w:t>
            </w:r>
          </w:p>
          <w:p>
            <w:pPr>
              <w:pStyle w:val="74"/>
              <w:snapToGrid w:val="0"/>
              <w:rPr>
                <w:rFonts w:cs="Times New Roman"/>
                <w:b/>
                <w:bCs/>
                <w:color w:val="auto"/>
                <w:highlight w:val="none"/>
                <w:u w:val="none" w:color="auto"/>
              </w:rPr>
            </w:pPr>
          </w:p>
          <w:p>
            <w:pPr>
              <w:adjustRightInd w:val="0"/>
              <w:snapToGrid w:val="0"/>
              <w:spacing w:line="360" w:lineRule="auto"/>
              <w:ind w:firstLine="480" w:firstLineChars="200"/>
              <w:rPr>
                <w:rFonts w:hAnsi="宋体"/>
                <w:color w:val="auto"/>
                <w:sz w:val="24"/>
                <w:highlight w:val="none"/>
                <w:u w:val="none" w:color="auto"/>
              </w:rPr>
            </w:pPr>
          </w:p>
          <w:p>
            <w:pPr>
              <w:pStyle w:val="4"/>
              <w:spacing w:before="0" w:after="0" w:line="360" w:lineRule="auto"/>
              <w:jc w:val="both"/>
              <w:outlineLvl w:val="0"/>
              <w:rPr>
                <w:rFonts w:eastAsia="黑体"/>
                <w:b w:val="0"/>
                <w:bCs w:val="0"/>
                <w:color w:val="auto"/>
                <w:sz w:val="32"/>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1235"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与项目有关的原有环境污染问题</w:t>
            </w:r>
          </w:p>
        </w:tc>
        <w:tc>
          <w:tcPr>
            <w:tcW w:w="7836" w:type="dxa"/>
            <w:vAlign w:val="center"/>
          </w:tcPr>
          <w:p>
            <w:pPr>
              <w:pStyle w:val="8"/>
              <w:spacing w:line="360" w:lineRule="auto"/>
              <w:ind w:left="0" w:leftChars="0" w:firstLine="480"/>
              <w:rPr>
                <w:color w:val="auto"/>
                <w:sz w:val="24"/>
                <w:highlight w:val="none"/>
                <w:u w:val="none" w:color="auto"/>
              </w:rPr>
            </w:pPr>
            <w:r>
              <w:rPr>
                <w:color w:val="auto"/>
                <w:sz w:val="24"/>
                <w:highlight w:val="none"/>
                <w:u w:val="none" w:color="auto"/>
              </w:rPr>
              <w:t>本项目为新建项目，</w:t>
            </w:r>
            <w:r>
              <w:rPr>
                <w:rFonts w:hint="eastAsia"/>
                <w:color w:val="auto"/>
                <w:sz w:val="24"/>
                <w:highlight w:val="none"/>
                <w:u w:val="none" w:color="auto"/>
              </w:rPr>
              <w:t>本项目拟建永州经济技术开发区锦络电子工业园3号栋1-3楼，建设单位租赁湖南锦络电子股份有限公司3号栋1-3楼厂房及配套附属设施，标准厂房</w:t>
            </w:r>
            <w:r>
              <w:rPr>
                <w:color w:val="auto"/>
                <w:sz w:val="24"/>
                <w:szCs w:val="24"/>
                <w:highlight w:val="none"/>
                <w:u w:val="none" w:color="auto"/>
              </w:rPr>
              <w:t>前段施工期废水、废气、噪声、固废均得到了有效的处置，施工期没有遗留的环境问题，不存在原有污染问题。</w:t>
            </w:r>
          </w:p>
          <w:p>
            <w:pPr>
              <w:pStyle w:val="8"/>
              <w:ind w:firstLine="480"/>
              <w:rPr>
                <w:color w:val="auto"/>
                <w:sz w:val="24"/>
                <w:highlight w:val="none"/>
                <w:u w:val="none" w:color="auto"/>
              </w:rPr>
            </w:pPr>
          </w:p>
          <w:p>
            <w:pPr>
              <w:pStyle w:val="8"/>
              <w:ind w:firstLine="480"/>
              <w:rPr>
                <w:color w:val="auto"/>
                <w:sz w:val="24"/>
                <w:highlight w:val="none"/>
                <w:u w:val="none" w:color="auto"/>
              </w:rPr>
            </w:pPr>
          </w:p>
          <w:p>
            <w:pPr>
              <w:pStyle w:val="8"/>
              <w:ind w:firstLine="480"/>
              <w:rPr>
                <w:color w:val="auto"/>
                <w:sz w:val="24"/>
                <w:highlight w:val="none"/>
                <w:u w:val="none" w:color="auto"/>
              </w:rPr>
            </w:pPr>
          </w:p>
          <w:p>
            <w:pPr>
              <w:pStyle w:val="4"/>
              <w:spacing w:before="0" w:after="0" w:line="360" w:lineRule="auto"/>
              <w:ind w:firstLine="480" w:firstLineChars="200"/>
              <w:outlineLvl w:val="0"/>
              <w:rPr>
                <w:b w:val="0"/>
                <w:bCs w:val="0"/>
                <w:color w:val="auto"/>
                <w:kern w:val="0"/>
                <w:sz w:val="24"/>
                <w:szCs w:val="20"/>
                <w:highlight w:val="none"/>
                <w:u w:val="none" w:color="auto"/>
              </w:rPr>
            </w:pPr>
          </w:p>
          <w:p>
            <w:pPr>
              <w:pStyle w:val="4"/>
              <w:spacing w:before="0" w:after="0" w:line="360" w:lineRule="auto"/>
              <w:ind w:firstLine="480" w:firstLineChars="200"/>
              <w:outlineLvl w:val="0"/>
              <w:rPr>
                <w:b w:val="0"/>
                <w:bCs w:val="0"/>
                <w:color w:val="auto"/>
                <w:kern w:val="0"/>
                <w:sz w:val="24"/>
                <w:szCs w:val="20"/>
                <w:highlight w:val="none"/>
                <w:u w:val="none" w:color="auto"/>
              </w:rPr>
            </w:pPr>
          </w:p>
          <w:p>
            <w:pPr>
              <w:pStyle w:val="4"/>
              <w:spacing w:before="0" w:after="0" w:line="360" w:lineRule="auto"/>
              <w:ind w:firstLine="480" w:firstLineChars="200"/>
              <w:outlineLvl w:val="0"/>
              <w:rPr>
                <w:b w:val="0"/>
                <w:bCs w:val="0"/>
                <w:color w:val="auto"/>
                <w:kern w:val="0"/>
                <w:sz w:val="24"/>
                <w:szCs w:val="20"/>
                <w:highlight w:val="none"/>
                <w:u w:val="none" w:color="auto"/>
              </w:rPr>
            </w:pPr>
          </w:p>
          <w:p>
            <w:pPr>
              <w:pStyle w:val="4"/>
              <w:spacing w:before="0" w:after="0" w:line="360" w:lineRule="auto"/>
              <w:ind w:firstLine="480" w:firstLineChars="200"/>
              <w:outlineLvl w:val="0"/>
              <w:rPr>
                <w:b w:val="0"/>
                <w:bCs w:val="0"/>
                <w:color w:val="auto"/>
                <w:kern w:val="0"/>
                <w:sz w:val="24"/>
                <w:szCs w:val="20"/>
                <w:highlight w:val="none"/>
                <w:u w:val="none" w:color="auto"/>
              </w:rPr>
            </w:pPr>
          </w:p>
          <w:p>
            <w:pPr>
              <w:pStyle w:val="4"/>
              <w:spacing w:before="0" w:after="0" w:line="360" w:lineRule="auto"/>
              <w:outlineLvl w:val="0"/>
              <w:rPr>
                <w:b w:val="0"/>
                <w:bCs w:val="0"/>
                <w:color w:val="auto"/>
                <w:sz w:val="32"/>
                <w:highlight w:val="none"/>
                <w:u w:val="none" w:color="auto"/>
              </w:rPr>
            </w:pPr>
          </w:p>
        </w:tc>
      </w:tr>
    </w:tbl>
    <w:p>
      <w:pPr>
        <w:pStyle w:val="4"/>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before="0" w:after="0" w:line="360" w:lineRule="auto"/>
        <w:jc w:val="center"/>
        <w:rPr>
          <w:color w:val="auto"/>
          <w:sz w:val="32"/>
          <w:highlight w:val="none"/>
          <w:u w:val="none" w:color="auto"/>
        </w:rPr>
      </w:pPr>
      <w:bookmarkStart w:id="5" w:name="_Toc13776_WPSOffice_Level1"/>
      <w:r>
        <w:rPr>
          <w:rFonts w:hint="eastAsia"/>
          <w:color w:val="auto"/>
          <w:sz w:val="32"/>
          <w:highlight w:val="none"/>
          <w:u w:val="none" w:color="auto"/>
        </w:rPr>
        <w:t>三、区域环境质量现状、环境保护目标及评价标准</w:t>
      </w:r>
      <w:bookmarkEnd w:id="5"/>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区域</w:t>
            </w:r>
          </w:p>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w:t>
            </w:r>
          </w:p>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质量</w:t>
            </w:r>
          </w:p>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现状</w:t>
            </w:r>
          </w:p>
        </w:tc>
        <w:tc>
          <w:tcPr>
            <w:tcW w:w="7884" w:type="dxa"/>
          </w:tcPr>
          <w:p>
            <w:pPr>
              <w:spacing w:line="360" w:lineRule="auto"/>
              <w:jc w:val="left"/>
              <w:rPr>
                <w:b/>
                <w:color w:val="auto"/>
                <w:kern w:val="0"/>
                <w:sz w:val="24"/>
                <w:highlight w:val="none"/>
                <w:u w:val="none" w:color="auto"/>
              </w:rPr>
            </w:pPr>
            <w:r>
              <w:rPr>
                <w:rFonts w:hint="eastAsia"/>
                <w:b/>
                <w:color w:val="auto"/>
                <w:kern w:val="0"/>
                <w:sz w:val="24"/>
                <w:highlight w:val="none"/>
                <w:u w:val="none" w:color="auto"/>
              </w:rPr>
              <w:t>一、区域环境质量现状</w:t>
            </w:r>
          </w:p>
          <w:p>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1、环境空气质量现状</w:t>
            </w:r>
          </w:p>
          <w:p>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rPr>
              <w:t>（1）项目所在区域环境空气达标判定</w:t>
            </w:r>
          </w:p>
          <w:p>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根据《建设项目环境影响报告表编制技术指南</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污染影响类</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试行</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》“常规污染物引用与建设项目距离近的有效数据，包括近</w:t>
            </w:r>
            <w:r>
              <w:rPr>
                <w:rFonts w:hint="eastAsia" w:ascii="Times New Roman" w:hAnsi="Times New Roman"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年的规划环境影响评价的监测数据，国家、地方环境空气质量监测网数据或生态环境主管部门公开发布的质量数据等”的规定；引用的数据为近3年的数据，满足指南要求。本次评价收集了永州市生态环境局发布的《202</w:t>
            </w:r>
            <w:r>
              <w:rPr>
                <w:rFonts w:hint="eastAsia" w:ascii="Times New Roman" w:hAnsi="Times New Roman" w:cs="Times New Roman"/>
                <w:color w:val="auto"/>
                <w:sz w:val="24"/>
                <w:szCs w:val="24"/>
                <w:highlight w:val="none"/>
                <w:u w:val="none" w:color="auto"/>
                <w:lang w:val="en-US" w:eastAsia="zh-CN"/>
              </w:rPr>
              <w:t>2</w:t>
            </w:r>
            <w:r>
              <w:rPr>
                <w:rFonts w:hint="default" w:ascii="Times New Roman" w:hAnsi="Times New Roman" w:cs="Times New Roman"/>
                <w:color w:val="auto"/>
                <w:sz w:val="24"/>
                <w:szCs w:val="24"/>
                <w:highlight w:val="none"/>
                <w:u w:val="none" w:color="auto"/>
              </w:rPr>
              <w:t>年度</w:t>
            </w:r>
            <w:r>
              <w:rPr>
                <w:rFonts w:hint="eastAsia" w:ascii="Times New Roman" w:hAnsi="Times New Roman" w:cs="Times New Roman"/>
                <w:color w:val="auto"/>
                <w:sz w:val="24"/>
                <w:szCs w:val="24"/>
                <w:highlight w:val="none"/>
                <w:u w:val="none" w:color="auto"/>
                <w:lang w:val="en-US" w:eastAsia="zh-CN"/>
              </w:rPr>
              <w:t>1-</w:t>
            </w:r>
            <w:r>
              <w:rPr>
                <w:rFonts w:hint="default" w:ascii="Times New Roman" w:hAnsi="Times New Roman" w:cs="Times New Roman"/>
                <w:color w:val="auto"/>
                <w:sz w:val="24"/>
                <w:szCs w:val="24"/>
                <w:highlight w:val="none"/>
                <w:u w:val="none" w:color="auto"/>
              </w:rPr>
              <w:t>12月份全市环境质量状况的通报》</w:t>
            </w:r>
            <w:r>
              <w:rPr>
                <w:rFonts w:hint="default" w:ascii="Times New Roman" w:hAnsi="Times New Roman" w:cs="Times New Roman"/>
                <w:color w:val="auto"/>
                <w:sz w:val="24"/>
                <w:szCs w:val="24"/>
                <w:highlight w:val="none"/>
                <w:u w:val="none" w:color="auto"/>
                <w:lang w:eastAsia="zh-CN"/>
              </w:rPr>
              <w:t>永州市</w:t>
            </w:r>
            <w:r>
              <w:rPr>
                <w:rFonts w:hint="default" w:ascii="Times New Roman" w:hAnsi="Times New Roman" w:cs="Times New Roman"/>
                <w:color w:val="auto"/>
                <w:sz w:val="24"/>
                <w:szCs w:val="24"/>
                <w:highlight w:val="none"/>
                <w:u w:val="none" w:color="auto"/>
                <w:lang w:val="en-US"/>
              </w:rPr>
              <w:t>环境空气质量统计数据，监测点位为：永州市生态环境监测中心，</w:t>
            </w:r>
            <w:r>
              <w:rPr>
                <w:rFonts w:hint="default" w:ascii="Times New Roman" w:hAnsi="Times New Roman" w:cs="Times New Roman"/>
                <w:color w:val="auto"/>
                <w:sz w:val="24"/>
                <w:szCs w:val="24"/>
                <w:highlight w:val="none"/>
                <w:u w:val="none" w:color="auto"/>
              </w:rPr>
              <w:t>详见</w:t>
            </w:r>
            <w:r>
              <w:rPr>
                <w:rFonts w:hint="default" w:ascii="Times New Roman" w:hAnsi="Times New Roman" w:cs="Times New Roman"/>
                <w:color w:val="auto"/>
                <w:sz w:val="24"/>
                <w:szCs w:val="24"/>
                <w:highlight w:val="none"/>
                <w:u w:val="none" w:color="auto"/>
                <w:lang w:val="en-US" w:eastAsia="zh-CN"/>
              </w:rPr>
              <w:t>下表</w:t>
            </w:r>
            <w:r>
              <w:rPr>
                <w:rFonts w:hint="default" w:ascii="Times New Roman" w:hAnsi="Times New Roman" w:cs="Times New Roman"/>
                <w:color w:val="auto"/>
                <w:sz w:val="24"/>
                <w:szCs w:val="24"/>
                <w:highlight w:val="none"/>
                <w:u w:val="none" w:color="auto"/>
              </w:rPr>
              <w:t>。</w:t>
            </w:r>
          </w:p>
          <w:p>
            <w:pPr>
              <w:pStyle w:val="7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表</w:t>
            </w:r>
            <w:r>
              <w:rPr>
                <w:rFonts w:hint="default" w:ascii="Times New Roman" w:hAnsi="Times New Roman" w:cs="Times New Roman"/>
                <w:color w:val="auto"/>
                <w:sz w:val="21"/>
                <w:szCs w:val="21"/>
                <w:highlight w:val="none"/>
                <w:u w:val="none" w:color="auto"/>
                <w:lang w:val="en-US" w:eastAsia="zh-CN"/>
              </w:rPr>
              <w:t>3</w:t>
            </w:r>
            <w:r>
              <w:rPr>
                <w:rFonts w:hint="default" w:ascii="Times New Roman" w:hAnsi="Times New Roman" w:cs="Times New Roman"/>
                <w:color w:val="auto"/>
                <w:sz w:val="21"/>
                <w:szCs w:val="21"/>
                <w:highlight w:val="none"/>
                <w:u w:val="none" w:color="auto"/>
              </w:rPr>
              <w:t xml:space="preserve">-1  </w:t>
            </w:r>
            <w:r>
              <w:rPr>
                <w:rFonts w:hint="eastAsia" w:ascii="Times New Roman" w:hAnsi="Times New Roman" w:cs="Times New Roman"/>
                <w:color w:val="auto"/>
                <w:sz w:val="21"/>
                <w:szCs w:val="21"/>
                <w:highlight w:val="none"/>
                <w:u w:val="none" w:color="auto"/>
                <w:lang w:eastAsia="zh-CN"/>
              </w:rPr>
              <w:t>2022年</w:t>
            </w:r>
            <w:r>
              <w:rPr>
                <w:rFonts w:hint="default" w:ascii="Times New Roman" w:hAnsi="Times New Roman" w:cs="Times New Roman"/>
                <w:color w:val="auto"/>
                <w:sz w:val="21"/>
                <w:szCs w:val="21"/>
                <w:highlight w:val="none"/>
                <w:u w:val="none" w:color="auto"/>
                <w:lang w:val="en-US" w:eastAsia="zh-CN"/>
              </w:rPr>
              <w:t>永州市</w:t>
            </w:r>
            <w:r>
              <w:rPr>
                <w:rFonts w:hint="default" w:ascii="Times New Roman" w:hAnsi="Times New Roman" w:cs="Times New Roman"/>
                <w:color w:val="auto"/>
                <w:sz w:val="21"/>
                <w:szCs w:val="21"/>
                <w:highlight w:val="none"/>
                <w:u w:val="none" w:color="auto"/>
              </w:rPr>
              <w:t>环境空气质量状况</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90"/>
              <w:gridCol w:w="1121"/>
              <w:gridCol w:w="1208"/>
              <w:gridCol w:w="1261"/>
              <w:gridCol w:w="1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监测因子</w:t>
                  </w:r>
                </w:p>
              </w:tc>
              <w:tc>
                <w:tcPr>
                  <w:tcW w:w="1499"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年评价指标</w:t>
                  </w:r>
                </w:p>
              </w:tc>
              <w:tc>
                <w:tcPr>
                  <w:tcW w:w="734"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监测浓度</w:t>
                  </w:r>
                </w:p>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年平均值</w:t>
                  </w:r>
                  <w:r>
                    <w:rPr>
                      <w:rFonts w:hint="eastAsia" w:ascii="Times New Roman" w:hAnsi="Times New Roman" w:cs="Times New Roman"/>
                      <w:color w:val="auto"/>
                      <w:sz w:val="21"/>
                      <w:szCs w:val="21"/>
                      <w:highlight w:val="none"/>
                      <w:u w:val="none" w:color="auto"/>
                      <w:lang w:eastAsia="zh-CN"/>
                    </w:rPr>
                    <w:t>)</w:t>
                  </w:r>
                </w:p>
              </w:tc>
              <w:tc>
                <w:tcPr>
                  <w:tcW w:w="79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标准值</w:t>
                  </w:r>
                </w:p>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年平均值</w:t>
                  </w:r>
                  <w:r>
                    <w:rPr>
                      <w:rFonts w:hint="eastAsia" w:ascii="Times New Roman" w:hAnsi="Times New Roman" w:cs="Times New Roman"/>
                      <w:color w:val="auto"/>
                      <w:sz w:val="21"/>
                      <w:szCs w:val="21"/>
                      <w:highlight w:val="none"/>
                      <w:u w:val="none" w:color="auto"/>
                      <w:lang w:eastAsia="zh-CN"/>
                    </w:rPr>
                    <w:t>)</w:t>
                  </w:r>
                </w:p>
              </w:tc>
              <w:tc>
                <w:tcPr>
                  <w:tcW w:w="826"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占标率</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lang w:eastAsia="zh-CN"/>
                    </w:rPr>
                    <w:t>)</w:t>
                  </w:r>
                </w:p>
              </w:tc>
              <w:tc>
                <w:tcPr>
                  <w:tcW w:w="67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lang w:eastAsia="zh-CN"/>
                    </w:rPr>
                    <w:t>1</w:t>
                  </w:r>
                  <w:r>
                    <w:rPr>
                      <w:rFonts w:hint="default" w:ascii="Times New Roman" w:hAnsi="Times New Roman" w:cs="Times New Roman"/>
                      <w:color w:val="auto"/>
                      <w:sz w:val="21"/>
                      <w:szCs w:val="21"/>
                      <w:highlight w:val="none"/>
                      <w:u w:val="none" w:color="auto"/>
                      <w:vertAlign w:val="subscript"/>
                    </w:rPr>
                    <w:t>0</w:t>
                  </w:r>
                </w:p>
              </w:tc>
              <w:tc>
                <w:tcPr>
                  <w:tcW w:w="1499" w:type="pct"/>
                  <w:vMerge w:val="restar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年平均质量浓度</w:t>
                  </w:r>
                </w:p>
              </w:tc>
              <w:tc>
                <w:tcPr>
                  <w:tcW w:w="734"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val="en-US" w:eastAsia="zh-CN"/>
                    </w:rPr>
                    <w:t>39</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79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70ug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82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bidi="ar-SA"/>
                    </w:rPr>
                    <w:t>55.7%</w:t>
                  </w:r>
                </w:p>
              </w:tc>
              <w:tc>
                <w:tcPr>
                  <w:tcW w:w="67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rPr>
                    <w:t>2.5</w:t>
                  </w:r>
                </w:p>
              </w:tc>
              <w:tc>
                <w:tcPr>
                  <w:tcW w:w="1499" w:type="pct"/>
                  <w:vMerge w:val="continue"/>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734"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val="en-US" w:eastAsia="zh-CN"/>
                    </w:rPr>
                    <w:t>27</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79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35ug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82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bidi="ar-SA"/>
                    </w:rPr>
                    <w:t>77.1%</w:t>
                  </w:r>
                </w:p>
              </w:tc>
              <w:tc>
                <w:tcPr>
                  <w:tcW w:w="67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SO</w:t>
                  </w:r>
                  <w:r>
                    <w:rPr>
                      <w:rFonts w:hint="default" w:ascii="Times New Roman" w:hAnsi="Times New Roman" w:cs="Times New Roman"/>
                      <w:color w:val="auto"/>
                      <w:sz w:val="21"/>
                      <w:szCs w:val="21"/>
                      <w:highlight w:val="none"/>
                      <w:u w:val="none" w:color="auto"/>
                      <w:vertAlign w:val="subscript"/>
                    </w:rPr>
                    <w:t>2</w:t>
                  </w:r>
                </w:p>
              </w:tc>
              <w:tc>
                <w:tcPr>
                  <w:tcW w:w="1499" w:type="pct"/>
                  <w:vMerge w:val="continue"/>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734"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val="en-US" w:eastAsia="zh-CN"/>
                    </w:rPr>
                    <w:t>8</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79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60ug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82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bidi="ar-SA"/>
                    </w:rPr>
                    <w:t>13.3%</w:t>
                  </w:r>
                </w:p>
              </w:tc>
              <w:tc>
                <w:tcPr>
                  <w:tcW w:w="67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NO</w:t>
                  </w:r>
                  <w:r>
                    <w:rPr>
                      <w:rFonts w:hint="default" w:ascii="Times New Roman" w:hAnsi="Times New Roman" w:cs="Times New Roman"/>
                      <w:color w:val="auto"/>
                      <w:sz w:val="21"/>
                      <w:szCs w:val="21"/>
                      <w:highlight w:val="none"/>
                      <w:u w:val="none" w:color="auto"/>
                      <w:vertAlign w:val="subscript"/>
                    </w:rPr>
                    <w:t>2</w:t>
                  </w:r>
                </w:p>
              </w:tc>
              <w:tc>
                <w:tcPr>
                  <w:tcW w:w="1499" w:type="pct"/>
                  <w:vMerge w:val="continue"/>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734"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val="en-US" w:eastAsia="zh-CN"/>
                    </w:rPr>
                    <w:t>11</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79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40ug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82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bidi="ar-SA"/>
                    </w:rPr>
                    <w:t>27.5%</w:t>
                  </w:r>
                </w:p>
              </w:tc>
              <w:tc>
                <w:tcPr>
                  <w:tcW w:w="67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O</w:t>
                  </w:r>
                  <w:r>
                    <w:rPr>
                      <w:rFonts w:hint="default" w:ascii="Times New Roman" w:hAnsi="Times New Roman" w:cs="Times New Roman"/>
                      <w:color w:val="auto"/>
                      <w:sz w:val="21"/>
                      <w:szCs w:val="21"/>
                      <w:highlight w:val="none"/>
                      <w:u w:val="none" w:color="auto"/>
                      <w:vertAlign w:val="subscript"/>
                    </w:rPr>
                    <w:t>3</w:t>
                  </w:r>
                </w:p>
              </w:tc>
              <w:tc>
                <w:tcPr>
                  <w:tcW w:w="2560" w:type="dxa"/>
                  <w:tcBorders>
                    <w:tl2br w:val="nil"/>
                    <w:tr2bl w:val="nil"/>
                  </w:tcBorders>
                  <w:noWrap w:val="0"/>
                  <w:vAlign w:val="center"/>
                </w:tcPr>
                <w:p>
                  <w:pPr>
                    <w:ind w:left="0" w:leftChars="0" w:right="0" w:rightChars="0"/>
                    <w:jc w:val="center"/>
                    <w:rPr>
                      <w:rFonts w:hint="default" w:ascii="Times New Roman" w:hAnsi="Times New Roman" w:cs="Times New Roman"/>
                      <w:color w:val="auto"/>
                      <w:sz w:val="21"/>
                      <w:szCs w:val="21"/>
                      <w:highlight w:val="none"/>
                      <w:u w:val="none" w:color="auto"/>
                    </w:rPr>
                  </w:pPr>
                  <w:r>
                    <w:rPr>
                      <w:rFonts w:hint="eastAsia" w:ascii="Times New Roman" w:hAnsi="Times New Roman" w:cs="Times New Roman"/>
                      <w:color w:val="auto"/>
                      <w:kern w:val="24"/>
                      <w:sz w:val="21"/>
                      <w:szCs w:val="21"/>
                      <w:highlight w:val="none"/>
                      <w:u w:val="none" w:color="auto"/>
                      <w:lang w:val="en-US" w:eastAsia="zh-CN"/>
                    </w:rPr>
                    <w:t>日最大</w:t>
                  </w:r>
                  <w:r>
                    <w:rPr>
                      <w:rFonts w:hint="default" w:ascii="Times New Roman" w:hAnsi="Times New Roman" w:cs="Times New Roman"/>
                      <w:color w:val="auto"/>
                      <w:kern w:val="24"/>
                      <w:sz w:val="21"/>
                      <w:szCs w:val="21"/>
                      <w:highlight w:val="none"/>
                      <w:u w:val="none" w:color="auto"/>
                    </w:rPr>
                    <w:t>8h平均质量浓度</w:t>
                  </w:r>
                  <w:r>
                    <w:rPr>
                      <w:rFonts w:hint="default" w:ascii="Times New Roman" w:hAnsi="Times New Roman" w:eastAsia="宋体" w:cs="Times New Roman"/>
                      <w:color w:val="auto"/>
                      <w:sz w:val="21"/>
                      <w:szCs w:val="21"/>
                      <w:highlight w:val="none"/>
                      <w:u w:val="none" w:color="auto"/>
                    </w:rPr>
                    <w:t>第90百分位</w:t>
                  </w:r>
                </w:p>
              </w:tc>
              <w:tc>
                <w:tcPr>
                  <w:tcW w:w="734"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eastAsia="zh-CN"/>
                    </w:rPr>
                    <w:t>1</w:t>
                  </w:r>
                  <w:r>
                    <w:rPr>
                      <w:rFonts w:hint="default" w:ascii="Times New Roman" w:hAnsi="Times New Roman" w:cs="Times New Roman"/>
                      <w:color w:val="auto"/>
                      <w:sz w:val="21"/>
                      <w:szCs w:val="21"/>
                      <w:highlight w:val="none"/>
                      <w:u w:val="none" w:color="auto"/>
                      <w:lang w:val="en-US" w:eastAsia="zh-CN"/>
                    </w:rPr>
                    <w:t>49</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79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eastAsia="zh-CN"/>
                    </w:rPr>
                    <w:t>1</w:t>
                  </w:r>
                  <w:r>
                    <w:rPr>
                      <w:rFonts w:hint="default" w:ascii="Times New Roman" w:hAnsi="Times New Roman" w:cs="Times New Roman"/>
                      <w:color w:val="auto"/>
                      <w:sz w:val="21"/>
                      <w:szCs w:val="21"/>
                      <w:highlight w:val="none"/>
                      <w:u w:val="none" w:color="auto"/>
                    </w:rPr>
                    <w:t>60ug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82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bidi="ar-SA"/>
                    </w:rPr>
                    <w:t>93.1%</w:t>
                  </w:r>
                </w:p>
              </w:tc>
              <w:tc>
                <w:tcPr>
                  <w:tcW w:w="67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CO</w:t>
                  </w:r>
                </w:p>
              </w:tc>
              <w:tc>
                <w:tcPr>
                  <w:tcW w:w="2560" w:type="dxa"/>
                  <w:tcBorders>
                    <w:tl2br w:val="nil"/>
                    <w:tr2bl w:val="nil"/>
                  </w:tcBorders>
                  <w:noWrap w:val="0"/>
                  <w:vAlign w:val="center"/>
                </w:tcPr>
                <w:p>
                  <w:pPr>
                    <w:ind w:left="0" w:leftChars="0" w:right="0" w:rightChars="0"/>
                    <w:jc w:val="center"/>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CO第95百分</w:t>
                  </w:r>
                  <w:r>
                    <w:rPr>
                      <w:rFonts w:hint="default" w:ascii="Times New Roman" w:hAnsi="Times New Roman" w:cs="Times New Roman"/>
                      <w:color w:val="auto"/>
                      <w:kern w:val="24"/>
                      <w:sz w:val="21"/>
                      <w:szCs w:val="21"/>
                      <w:highlight w:val="none"/>
                      <w:u w:val="none" w:color="auto"/>
                    </w:rPr>
                    <w:t>数日平均质量浓度</w:t>
                  </w:r>
                </w:p>
              </w:tc>
              <w:tc>
                <w:tcPr>
                  <w:tcW w:w="734"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eastAsia="zh-CN"/>
                    </w:rPr>
                    <w:t>1</w:t>
                  </w:r>
                  <w:r>
                    <w:rPr>
                      <w:rFonts w:hint="default" w:ascii="Times New Roman" w:hAnsi="Times New Roman" w:cs="Times New Roman"/>
                      <w:color w:val="auto"/>
                      <w:sz w:val="21"/>
                      <w:szCs w:val="21"/>
                      <w:highlight w:val="none"/>
                      <w:u w:val="none" w:color="auto"/>
                    </w:rPr>
                    <w:t>mg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79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4mg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826"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bidi="ar-SA"/>
                    </w:rPr>
                    <w:t>25%</w:t>
                  </w:r>
                </w:p>
              </w:tc>
              <w:tc>
                <w:tcPr>
                  <w:tcW w:w="670" w:type="pct"/>
                  <w:tcBorders>
                    <w:tl2br w:val="nil"/>
                    <w:tr2bl w:val="nil"/>
                  </w:tcBorders>
                  <w:noWrap w:val="0"/>
                  <w:vAlign w:val="center"/>
                </w:tcPr>
                <w:p>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bl>
          <w:p>
            <w:pPr>
              <w:spacing w:line="360" w:lineRule="auto"/>
              <w:ind w:firstLine="480" w:firstLineChars="200"/>
              <w:jc w:val="left"/>
              <w:rPr>
                <w:b/>
                <w:color w:val="auto"/>
                <w:kern w:val="0"/>
                <w:sz w:val="24"/>
                <w:szCs w:val="24"/>
                <w:highlight w:val="none"/>
                <w:u w:val="none" w:color="auto"/>
              </w:rPr>
            </w:pPr>
            <w:r>
              <w:rPr>
                <w:rFonts w:hint="default" w:ascii="Times New Roman" w:hAnsi="Times New Roman" w:cs="Times New Roman"/>
                <w:color w:val="auto"/>
                <w:sz w:val="24"/>
                <w:szCs w:val="24"/>
                <w:highlight w:val="none"/>
                <w:u w:val="none" w:color="auto"/>
              </w:rPr>
              <w:t>由上表</w:t>
            </w:r>
            <w:r>
              <w:rPr>
                <w:rFonts w:hint="eastAsia" w:ascii="Times New Roman" w:hAnsi="Times New Roman" w:cs="Times New Roman"/>
                <w:color w:val="auto"/>
                <w:sz w:val="24"/>
                <w:szCs w:val="24"/>
                <w:highlight w:val="none"/>
                <w:u w:val="none" w:color="auto"/>
                <w:lang w:val="en-US" w:eastAsia="zh-CN"/>
              </w:rPr>
              <w:t>常规监测资料统计</w:t>
            </w:r>
            <w:r>
              <w:rPr>
                <w:rFonts w:hint="default" w:ascii="Times New Roman" w:hAnsi="Times New Roman" w:cs="Times New Roman"/>
                <w:color w:val="auto"/>
                <w:sz w:val="24"/>
                <w:szCs w:val="24"/>
                <w:highlight w:val="none"/>
                <w:u w:val="none" w:color="auto"/>
              </w:rPr>
              <w:t>可知，202</w:t>
            </w:r>
            <w:r>
              <w:rPr>
                <w:rFonts w:hint="eastAsia" w:ascii="Times New Roman" w:hAnsi="Times New Roman" w:cs="Times New Roman"/>
                <w:color w:val="auto"/>
                <w:sz w:val="24"/>
                <w:szCs w:val="24"/>
                <w:highlight w:val="none"/>
                <w:u w:val="none" w:color="auto"/>
                <w:lang w:val="en-US" w:eastAsia="zh-CN"/>
              </w:rPr>
              <w:t>2</w:t>
            </w:r>
            <w:r>
              <w:rPr>
                <w:rFonts w:hint="default" w:ascii="Times New Roman" w:hAnsi="Times New Roman" w:cs="Times New Roman"/>
                <w:color w:val="auto"/>
                <w:sz w:val="24"/>
                <w:szCs w:val="24"/>
                <w:highlight w:val="none"/>
                <w:u w:val="none" w:color="auto"/>
              </w:rPr>
              <w:t>年</w:t>
            </w:r>
            <w:r>
              <w:rPr>
                <w:rFonts w:hint="default" w:ascii="Times New Roman" w:hAnsi="Times New Roman" w:eastAsia="宋体" w:cs="Times New Roman"/>
                <w:color w:val="auto"/>
                <w:spacing w:val="0"/>
                <w:w w:val="100"/>
                <w:position w:val="0"/>
                <w:sz w:val="24"/>
                <w:szCs w:val="24"/>
                <w:highlight w:val="none"/>
                <w:u w:val="none" w:color="auto"/>
              </w:rPr>
              <w:t>项目所在区域SO</w:t>
            </w:r>
            <w:r>
              <w:rPr>
                <w:rFonts w:hint="default" w:ascii="Times New Roman" w:hAnsi="Times New Roman" w:eastAsia="宋体" w:cs="Times New Roman"/>
                <w:color w:val="auto"/>
                <w:spacing w:val="0"/>
                <w:w w:val="100"/>
                <w:position w:val="0"/>
                <w:sz w:val="24"/>
                <w:szCs w:val="24"/>
                <w:highlight w:val="none"/>
                <w:u w:val="none" w:color="auto"/>
                <w:vertAlign w:val="subscript"/>
              </w:rPr>
              <w:t>2</w:t>
            </w:r>
            <w:r>
              <w:rPr>
                <w:rFonts w:hint="default" w:ascii="Times New Roman" w:hAnsi="Times New Roman" w:eastAsia="宋体" w:cs="Times New Roman"/>
                <w:color w:val="auto"/>
                <w:spacing w:val="0"/>
                <w:w w:val="100"/>
                <w:position w:val="0"/>
                <w:sz w:val="24"/>
                <w:szCs w:val="24"/>
                <w:highlight w:val="none"/>
                <w:u w:val="none" w:color="auto"/>
              </w:rPr>
              <w:t>、NO</w:t>
            </w:r>
            <w:r>
              <w:rPr>
                <w:rFonts w:hint="default" w:ascii="Times New Roman" w:hAnsi="Times New Roman" w:eastAsia="宋体" w:cs="Times New Roman"/>
                <w:color w:val="auto"/>
                <w:spacing w:val="0"/>
                <w:w w:val="100"/>
                <w:position w:val="0"/>
                <w:sz w:val="24"/>
                <w:szCs w:val="24"/>
                <w:highlight w:val="none"/>
                <w:u w:val="none" w:color="auto"/>
                <w:vertAlign w:val="subscript"/>
              </w:rPr>
              <w:t>2</w:t>
            </w:r>
            <w:r>
              <w:rPr>
                <w:rFonts w:hint="default" w:ascii="Times New Roman" w:hAnsi="Times New Roman" w:eastAsia="宋体" w:cs="Times New Roman"/>
                <w:color w:val="auto"/>
                <w:spacing w:val="0"/>
                <w:w w:val="100"/>
                <w:position w:val="0"/>
                <w:sz w:val="24"/>
                <w:szCs w:val="24"/>
                <w:highlight w:val="none"/>
                <w:u w:val="none" w:color="auto"/>
              </w:rPr>
              <w:t>、PM</w:t>
            </w:r>
            <w:r>
              <w:rPr>
                <w:rFonts w:hint="default" w:ascii="Times New Roman" w:hAnsi="Times New Roman" w:eastAsia="宋体" w:cs="Times New Roman"/>
                <w:color w:val="auto"/>
                <w:spacing w:val="0"/>
                <w:w w:val="100"/>
                <w:position w:val="0"/>
                <w:sz w:val="24"/>
                <w:szCs w:val="24"/>
                <w:highlight w:val="none"/>
                <w:u w:val="none" w:color="auto"/>
                <w:vertAlign w:val="subscript"/>
              </w:rPr>
              <w:t>2.5</w:t>
            </w:r>
            <w:r>
              <w:rPr>
                <w:rFonts w:hint="default" w:ascii="Times New Roman" w:hAnsi="Times New Roman" w:cs="Times New Roman"/>
                <w:color w:val="auto"/>
                <w:spacing w:val="0"/>
                <w:w w:val="100"/>
                <w:position w:val="0"/>
                <w:sz w:val="24"/>
                <w:szCs w:val="24"/>
                <w:highlight w:val="none"/>
                <w:u w:val="none" w:color="auto"/>
                <w:lang w:eastAsia="zh-CN"/>
              </w:rPr>
              <w:t>、</w:t>
            </w:r>
            <w:r>
              <w:rPr>
                <w:rFonts w:hint="default" w:ascii="Times New Roman" w:hAnsi="Times New Roman" w:eastAsia="宋体" w:cs="Times New Roman"/>
                <w:color w:val="auto"/>
                <w:spacing w:val="0"/>
                <w:w w:val="100"/>
                <w:position w:val="0"/>
                <w:sz w:val="24"/>
                <w:szCs w:val="24"/>
                <w:highlight w:val="none"/>
                <w:u w:val="none" w:color="auto"/>
              </w:rPr>
              <w:t>PM</w:t>
            </w:r>
            <w:r>
              <w:rPr>
                <w:rFonts w:hint="default" w:ascii="Times New Roman" w:hAnsi="Times New Roman" w:eastAsia="宋体" w:cs="Times New Roman"/>
                <w:color w:val="auto"/>
                <w:spacing w:val="0"/>
                <w:w w:val="100"/>
                <w:position w:val="0"/>
                <w:sz w:val="24"/>
                <w:szCs w:val="24"/>
                <w:highlight w:val="none"/>
                <w:u w:val="none" w:color="auto"/>
                <w:vertAlign w:val="subscript"/>
              </w:rPr>
              <w:t>10</w:t>
            </w:r>
            <w:r>
              <w:rPr>
                <w:rFonts w:hint="default" w:ascii="Times New Roman" w:hAnsi="Times New Roman" w:eastAsia="宋体" w:cs="Times New Roman"/>
                <w:color w:val="auto"/>
                <w:spacing w:val="0"/>
                <w:w w:val="100"/>
                <w:position w:val="0"/>
                <w:sz w:val="24"/>
                <w:szCs w:val="24"/>
                <w:highlight w:val="none"/>
                <w:u w:val="none" w:color="auto"/>
              </w:rPr>
              <w:t>的年平均质量浓度</w:t>
            </w:r>
            <w:r>
              <w:rPr>
                <w:rFonts w:hint="default" w:ascii="Times New Roman" w:hAnsi="Times New Roman" w:cs="Times New Roman"/>
                <w:color w:val="auto"/>
                <w:sz w:val="24"/>
                <w:highlight w:val="none"/>
                <w:u w:val="none" w:color="auto"/>
              </w:rPr>
              <w:t>、CO</w:t>
            </w:r>
            <w:r>
              <w:rPr>
                <w:rFonts w:hint="default" w:ascii="Times New Roman" w:hAnsi="Times New Roman" w:eastAsia="宋体" w:cs="Times New Roman"/>
                <w:color w:val="auto"/>
                <w:sz w:val="24"/>
                <w:szCs w:val="24"/>
                <w:highlight w:val="none"/>
                <w:u w:val="none" w:color="auto"/>
              </w:rPr>
              <w:t>95百分位值</w:t>
            </w:r>
            <w:r>
              <w:rPr>
                <w:rFonts w:hint="default" w:ascii="Times New Roman" w:hAnsi="Times New Roman" w:cs="Times New Roman"/>
                <w:color w:val="auto"/>
                <w:sz w:val="24"/>
                <w:highlight w:val="none"/>
                <w:u w:val="none" w:color="auto"/>
              </w:rPr>
              <w:t>、O</w:t>
            </w:r>
            <w:r>
              <w:rPr>
                <w:rFonts w:hint="default" w:ascii="Times New Roman" w:hAnsi="Times New Roman" w:cs="Times New Roman"/>
                <w:color w:val="auto"/>
                <w:sz w:val="24"/>
                <w:highlight w:val="none"/>
                <w:u w:val="none" w:color="auto"/>
                <w:vertAlign w:val="subscript"/>
              </w:rPr>
              <w:t>3</w:t>
            </w:r>
            <w:r>
              <w:rPr>
                <w:rFonts w:hint="default" w:ascii="Times New Roman" w:hAnsi="Times New Roman" w:cs="Times New Roman"/>
                <w:color w:val="auto"/>
                <w:sz w:val="24"/>
                <w:highlight w:val="none"/>
                <w:u w:val="none" w:color="auto"/>
              </w:rPr>
              <w:t>日最大8小时</w:t>
            </w:r>
            <w:r>
              <w:rPr>
                <w:rFonts w:hint="default" w:ascii="Times New Roman" w:hAnsi="Times New Roman" w:eastAsia="宋体" w:cs="Times New Roman"/>
                <w:color w:val="auto"/>
                <w:sz w:val="24"/>
                <w:szCs w:val="24"/>
                <w:highlight w:val="none"/>
                <w:u w:val="none" w:color="auto"/>
              </w:rPr>
              <w:t>第90百分位</w:t>
            </w:r>
            <w:r>
              <w:rPr>
                <w:rFonts w:hint="default" w:ascii="Times New Roman" w:hAnsi="Times New Roman" w:cs="Times New Roman"/>
                <w:color w:val="auto"/>
                <w:sz w:val="24"/>
                <w:highlight w:val="none"/>
                <w:u w:val="none" w:color="auto"/>
              </w:rPr>
              <w:t>值</w:t>
            </w:r>
            <w:r>
              <w:rPr>
                <w:rFonts w:hint="default" w:ascii="Times New Roman" w:hAnsi="Times New Roman" w:eastAsia="宋体" w:cs="Times New Roman"/>
                <w:color w:val="auto"/>
                <w:spacing w:val="0"/>
                <w:w w:val="100"/>
                <w:position w:val="0"/>
                <w:sz w:val="24"/>
                <w:szCs w:val="24"/>
                <w:highlight w:val="none"/>
                <w:u w:val="none" w:color="auto"/>
              </w:rPr>
              <w:t>满足《环境空气质量标准》</w:t>
            </w:r>
            <w:r>
              <w:rPr>
                <w:rFonts w:hint="default" w:ascii="Times New Roman" w:hAnsi="Times New Roman" w:eastAsia="宋体" w:cs="Times New Roman"/>
                <w:color w:val="auto"/>
                <w:spacing w:val="0"/>
                <w:w w:val="100"/>
                <w:position w:val="0"/>
                <w:sz w:val="24"/>
                <w:szCs w:val="24"/>
                <w:highlight w:val="none"/>
                <w:u w:val="none" w:color="auto"/>
                <w:lang w:eastAsia="zh-CN"/>
              </w:rPr>
              <w:t>(</w:t>
            </w:r>
            <w:r>
              <w:rPr>
                <w:rFonts w:hint="default" w:ascii="Times New Roman" w:hAnsi="Times New Roman" w:eastAsia="宋体" w:cs="Times New Roman"/>
                <w:color w:val="auto"/>
                <w:spacing w:val="0"/>
                <w:w w:val="100"/>
                <w:position w:val="0"/>
                <w:sz w:val="24"/>
                <w:szCs w:val="24"/>
                <w:highlight w:val="none"/>
                <w:u w:val="none" w:color="auto"/>
              </w:rPr>
              <w:t>GB3095-2012</w:t>
            </w:r>
            <w:r>
              <w:rPr>
                <w:rFonts w:hint="default" w:ascii="Times New Roman" w:hAnsi="Times New Roman" w:eastAsia="宋体" w:cs="Times New Roman"/>
                <w:color w:val="auto"/>
                <w:spacing w:val="0"/>
                <w:w w:val="100"/>
                <w:position w:val="0"/>
                <w:sz w:val="24"/>
                <w:szCs w:val="24"/>
                <w:highlight w:val="none"/>
                <w:u w:val="none" w:color="auto"/>
                <w:lang w:eastAsia="zh-CN"/>
              </w:rPr>
              <w:t>)</w:t>
            </w:r>
            <w:r>
              <w:rPr>
                <w:rFonts w:hint="default" w:ascii="Times New Roman" w:hAnsi="Times New Roman" w:eastAsia="宋体" w:cs="Times New Roman"/>
                <w:color w:val="auto"/>
                <w:spacing w:val="0"/>
                <w:w w:val="100"/>
                <w:position w:val="0"/>
                <w:sz w:val="24"/>
                <w:szCs w:val="24"/>
                <w:highlight w:val="none"/>
                <w:u w:val="none" w:color="auto"/>
              </w:rPr>
              <w:t>及2018年修改单中二级标准要求</w:t>
            </w:r>
            <w:r>
              <w:rPr>
                <w:rFonts w:hint="default" w:ascii="Times New Roman" w:hAnsi="Times New Roman" w:eastAsia="宋体" w:cs="Times New Roman"/>
                <w:color w:val="auto"/>
                <w:spacing w:val="0"/>
                <w:w w:val="100"/>
                <w:position w:val="0"/>
                <w:sz w:val="24"/>
                <w:szCs w:val="24"/>
                <w:highlight w:val="none"/>
                <w:u w:val="none" w:color="auto"/>
                <w:lang w:val="en-US" w:eastAsia="zh-CN"/>
              </w:rPr>
              <w:t>，</w:t>
            </w:r>
            <w:r>
              <w:rPr>
                <w:rFonts w:hint="default" w:ascii="Times New Roman" w:hAnsi="Times New Roman" w:eastAsia="宋体" w:cs="Times New Roman"/>
                <w:color w:val="auto"/>
                <w:spacing w:val="0"/>
                <w:w w:val="100"/>
                <w:position w:val="0"/>
                <w:sz w:val="24"/>
                <w:szCs w:val="24"/>
                <w:highlight w:val="none"/>
                <w:u w:val="none" w:color="auto"/>
              </w:rPr>
              <w:t>因此，项目所在区域为</w:t>
            </w:r>
            <w:r>
              <w:rPr>
                <w:rFonts w:hint="eastAsia" w:ascii="Times New Roman" w:hAnsi="Times New Roman" w:eastAsia="宋体" w:cs="Times New Roman"/>
                <w:color w:val="auto"/>
                <w:spacing w:val="0"/>
                <w:w w:val="100"/>
                <w:position w:val="0"/>
                <w:sz w:val="24"/>
                <w:szCs w:val="24"/>
                <w:highlight w:val="none"/>
                <w:u w:val="none" w:color="auto"/>
                <w:lang w:val="en-US" w:eastAsia="zh-CN"/>
              </w:rPr>
              <w:t>环境空气质量</w:t>
            </w:r>
            <w:r>
              <w:rPr>
                <w:rFonts w:hint="default" w:ascii="Times New Roman" w:hAnsi="Times New Roman" w:eastAsia="宋体" w:cs="Times New Roman"/>
                <w:color w:val="auto"/>
                <w:spacing w:val="0"/>
                <w:w w:val="100"/>
                <w:position w:val="0"/>
                <w:sz w:val="24"/>
                <w:szCs w:val="24"/>
                <w:highlight w:val="none"/>
                <w:u w:val="none" w:color="auto"/>
              </w:rPr>
              <w:t>达标区</w:t>
            </w:r>
            <w:r>
              <w:rPr>
                <w:rFonts w:hint="default" w:ascii="Times New Roman" w:hAnsi="Times New Roman" w:cs="Times New Roman"/>
                <w:color w:val="auto"/>
                <w:sz w:val="24"/>
                <w:highlight w:val="none"/>
                <w:u w:val="none" w:color="auto"/>
                <w:lang w:val="en-US" w:eastAsia="zh-CN"/>
              </w:rPr>
              <w:t>。</w:t>
            </w:r>
          </w:p>
          <w:p>
            <w:pPr>
              <w:widowControl/>
              <w:spacing w:line="360" w:lineRule="auto"/>
              <w:ind w:firstLine="480" w:firstLineChars="200"/>
              <w:jc w:val="left"/>
              <w:rPr>
                <w:color w:val="auto"/>
                <w:sz w:val="24"/>
                <w:szCs w:val="24"/>
                <w:highlight w:val="none"/>
                <w:u w:val="none" w:color="auto"/>
              </w:rPr>
            </w:pPr>
            <w:r>
              <w:rPr>
                <w:rFonts w:hint="eastAsia"/>
                <w:color w:val="auto"/>
                <w:sz w:val="24"/>
                <w:szCs w:val="24"/>
                <w:highlight w:val="none"/>
                <w:u w:val="none" w:color="auto"/>
              </w:rPr>
              <w:t>（2）TVOC</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TSP</w:t>
            </w:r>
            <w:r>
              <w:rPr>
                <w:rFonts w:hint="eastAsia"/>
                <w:color w:val="auto"/>
                <w:sz w:val="24"/>
                <w:szCs w:val="24"/>
                <w:highlight w:val="none"/>
                <w:u w:val="none" w:color="auto"/>
              </w:rPr>
              <w:t>环境质量现状调查与评价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olor w:val="auto"/>
                <w:sz w:val="24"/>
                <w:szCs w:val="24"/>
                <w:highlight w:val="none"/>
                <w:u w:val="none" w:color="auto"/>
              </w:rPr>
            </w:pPr>
            <w:r>
              <w:rPr>
                <w:rFonts w:hint="eastAsia" w:ascii="Times New Roman" w:hAnsi="Times New Roman"/>
                <w:color w:val="auto"/>
                <w:sz w:val="24"/>
                <w:szCs w:val="24"/>
                <w:highlight w:val="none"/>
                <w:u w:val="none" w:color="auto"/>
              </w:rPr>
              <w:t>本次评价涉及的废气污染物主要特征污染因子为挥发性有机物</w:t>
            </w:r>
            <w:r>
              <w:rPr>
                <w:rFonts w:hint="eastAsia"/>
                <w:color w:val="auto"/>
                <w:sz w:val="24"/>
                <w:szCs w:val="24"/>
                <w:highlight w:val="none"/>
                <w:u w:val="none" w:color="auto"/>
                <w:lang w:val="en-US" w:eastAsia="zh-CN"/>
              </w:rPr>
              <w:t>和TSP</w:t>
            </w:r>
            <w:r>
              <w:rPr>
                <w:rFonts w:hint="eastAsia" w:ascii="Times New Roman" w:hAnsi="Times New Roman"/>
                <w:color w:val="auto"/>
                <w:sz w:val="24"/>
                <w:szCs w:val="24"/>
                <w:highlight w:val="none"/>
                <w:u w:val="none" w:color="auto"/>
              </w:rPr>
              <w:t>，在环境空气质量评价中，选取 TVOC</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TSP</w:t>
            </w:r>
            <w:r>
              <w:rPr>
                <w:rFonts w:hint="eastAsia" w:ascii="Times New Roman" w:hAnsi="Times New Roman"/>
                <w:color w:val="auto"/>
                <w:sz w:val="24"/>
                <w:szCs w:val="24"/>
                <w:highlight w:val="none"/>
                <w:u w:val="none" w:color="auto"/>
              </w:rPr>
              <w:t>进行评价，本次引用《湖南潇湘时代新能源有限公司磷酸铁锂电池生产项目环境影响报告表》中对周边环境空气质量的监测数据，湖南潇湘时代新能源有限公司磷酸铁锂电池生产项目位于本项目西北侧约</w:t>
            </w:r>
            <w:r>
              <w:rPr>
                <w:rFonts w:hint="eastAsia"/>
                <w:color w:val="auto"/>
                <w:sz w:val="24"/>
                <w:szCs w:val="24"/>
                <w:highlight w:val="none"/>
                <w:u w:val="none" w:color="auto"/>
                <w:lang w:val="en-US" w:eastAsia="zh-CN"/>
              </w:rPr>
              <w:t>860</w:t>
            </w:r>
            <w:r>
              <w:rPr>
                <w:rFonts w:hint="eastAsia" w:ascii="Times New Roman" w:hAnsi="Times New Roman"/>
                <w:color w:val="auto"/>
                <w:sz w:val="24"/>
                <w:szCs w:val="24"/>
                <w:highlight w:val="none"/>
                <w:u w:val="none" w:color="auto"/>
              </w:rPr>
              <w:t>m 处，距离项目较近，其监测时间为2021年12月29日~2021年12月31日，监测时间未超过</w:t>
            </w:r>
            <w:r>
              <w:rPr>
                <w:rFonts w:hint="eastAsia"/>
                <w:color w:val="auto"/>
                <w:sz w:val="24"/>
                <w:szCs w:val="24"/>
                <w:highlight w:val="none"/>
                <w:u w:val="none" w:color="auto"/>
                <w:lang w:val="en-US" w:eastAsia="zh-CN"/>
              </w:rPr>
              <w:t>3</w:t>
            </w:r>
            <w:r>
              <w:rPr>
                <w:rFonts w:hint="eastAsia" w:ascii="Times New Roman" w:hAnsi="Times New Roman"/>
                <w:color w:val="auto"/>
                <w:sz w:val="24"/>
                <w:szCs w:val="24"/>
                <w:highlight w:val="none"/>
                <w:u w:val="none" w:color="auto"/>
              </w:rPr>
              <w:t>年，因此引用其监测数据进行评价可行。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lang w:val="en-US" w:eastAsia="zh-CN"/>
              </w:rPr>
            </w:pPr>
            <w:r>
              <w:rPr>
                <w:rFonts w:hint="eastAsia" w:ascii="Times New Roman" w:hAnsi="Times New Roman" w:cs="Times New Roman"/>
                <w:color w:val="auto"/>
                <w:sz w:val="24"/>
                <w:szCs w:val="24"/>
                <w:highlight w:val="none"/>
                <w:u w:val="none" w:color="auto"/>
                <w:lang w:val="en-US" w:eastAsia="zh-CN"/>
              </w:rPr>
              <w:t>引用监测情况如下：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u w:val="none" w:color="auto"/>
              </w:rPr>
            </w:pPr>
            <w:r>
              <w:rPr>
                <w:color w:val="auto"/>
                <w:sz w:val="24"/>
                <w:szCs w:val="24"/>
                <w:highlight w:val="none"/>
                <w:u w:val="none" w:color="auto"/>
              </w:rPr>
              <w:t>1）监测布点：</w:t>
            </w:r>
          </w:p>
          <w:p>
            <w:pPr>
              <w:pStyle w:val="69"/>
              <w:rPr>
                <w:rFonts w:hAnsi="Times New Roman"/>
                <w:color w:val="auto"/>
                <w:highlight w:val="none"/>
                <w:u w:val="none" w:color="auto"/>
              </w:rPr>
            </w:pPr>
            <w:r>
              <w:rPr>
                <w:rFonts w:hAnsi="Times New Roman"/>
                <w:color w:val="auto"/>
                <w:highlight w:val="none"/>
                <w:u w:val="none" w:color="auto"/>
              </w:rPr>
              <w:t>环境空气质量现状监测点具体见表</w:t>
            </w:r>
            <w:r>
              <w:rPr>
                <w:rFonts w:hint="eastAsia" w:hAnsi="Times New Roman"/>
                <w:color w:val="auto"/>
                <w:highlight w:val="none"/>
                <w:u w:val="none" w:color="auto"/>
              </w:rPr>
              <w:t>3-</w:t>
            </w:r>
            <w:r>
              <w:rPr>
                <w:rFonts w:hAnsi="Times New Roman"/>
                <w:color w:val="auto"/>
                <w:highlight w:val="none"/>
                <w:u w:val="none" w:color="auto"/>
              </w:rPr>
              <w:t>2。</w:t>
            </w:r>
          </w:p>
          <w:p>
            <w:pPr>
              <w:pStyle w:val="10"/>
              <w:jc w:val="center"/>
              <w:rPr>
                <w:rFonts w:eastAsia="宋体"/>
                <w:b/>
                <w:bCs/>
                <w:color w:val="auto"/>
                <w:sz w:val="21"/>
                <w:szCs w:val="21"/>
                <w:highlight w:val="none"/>
                <w:u w:val="none" w:color="auto"/>
              </w:rPr>
            </w:pPr>
            <w:r>
              <w:rPr>
                <w:rFonts w:eastAsia="宋体"/>
                <w:b/>
                <w:bCs/>
                <w:color w:val="auto"/>
                <w:sz w:val="21"/>
                <w:szCs w:val="21"/>
                <w:highlight w:val="none"/>
                <w:u w:val="none" w:color="auto"/>
              </w:rPr>
              <w:t>表</w:t>
            </w:r>
            <w:r>
              <w:rPr>
                <w:rFonts w:hint="eastAsia" w:eastAsia="宋体"/>
                <w:b/>
                <w:bCs/>
                <w:color w:val="auto"/>
                <w:sz w:val="21"/>
                <w:szCs w:val="21"/>
                <w:highlight w:val="none"/>
                <w:u w:val="none" w:color="auto"/>
              </w:rPr>
              <w:t>3-2</w:t>
            </w:r>
            <w:r>
              <w:rPr>
                <w:rFonts w:eastAsia="宋体"/>
                <w:b/>
                <w:bCs/>
                <w:color w:val="auto"/>
                <w:sz w:val="21"/>
                <w:szCs w:val="21"/>
                <w:highlight w:val="none"/>
                <w:u w:val="none" w:color="auto"/>
              </w:rPr>
              <w:t xml:space="preserve"> 区域环境空气现状监测布点</w:t>
            </w:r>
          </w:p>
          <w:tbl>
            <w:tblPr>
              <w:tblStyle w:val="26"/>
              <w:tblW w:w="771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0" w:type="dxa"/>
                <w:left w:w="108" w:type="dxa"/>
                <w:bottom w:w="0" w:type="dxa"/>
                <w:right w:w="108" w:type="dxa"/>
              </w:tblCellMar>
            </w:tblPr>
            <w:tblGrid>
              <w:gridCol w:w="1488"/>
              <w:gridCol w:w="3061"/>
              <w:gridCol w:w="316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108" w:type="dxa"/>
                  <w:bottom w:w="0" w:type="dxa"/>
                  <w:right w:w="108" w:type="dxa"/>
                </w:tblCellMar>
              </w:tblPrEx>
              <w:trPr>
                <w:trHeight w:val="428" w:hRule="atLeast"/>
                <w:jc w:val="center"/>
              </w:trPr>
              <w:tc>
                <w:tcPr>
                  <w:tcW w:w="1488" w:type="dxa"/>
                  <w:vAlign w:val="center"/>
                </w:tcPr>
                <w:p>
                  <w:pPr>
                    <w:pStyle w:val="70"/>
                    <w:spacing w:line="240" w:lineRule="auto"/>
                    <w:ind w:firstLine="0"/>
                    <w:jc w:val="center"/>
                    <w:rPr>
                      <w:rFonts w:eastAsia="宋体"/>
                      <w:color w:val="auto"/>
                      <w:sz w:val="21"/>
                      <w:szCs w:val="21"/>
                      <w:highlight w:val="none"/>
                      <w:u w:val="none" w:color="auto"/>
                    </w:rPr>
                  </w:pPr>
                  <w:r>
                    <w:rPr>
                      <w:rFonts w:eastAsia="宋体"/>
                      <w:color w:val="auto"/>
                      <w:sz w:val="21"/>
                      <w:szCs w:val="21"/>
                      <w:highlight w:val="none"/>
                      <w:u w:val="none" w:color="auto"/>
                    </w:rPr>
                    <w:t>编号</w:t>
                  </w:r>
                </w:p>
              </w:tc>
              <w:tc>
                <w:tcPr>
                  <w:tcW w:w="3061" w:type="dxa"/>
                  <w:vAlign w:val="center"/>
                </w:tcPr>
                <w:p>
                  <w:pPr>
                    <w:pStyle w:val="70"/>
                    <w:spacing w:line="240" w:lineRule="auto"/>
                    <w:ind w:firstLine="0"/>
                    <w:jc w:val="center"/>
                    <w:rPr>
                      <w:rFonts w:eastAsia="宋体"/>
                      <w:color w:val="auto"/>
                      <w:sz w:val="21"/>
                      <w:szCs w:val="21"/>
                      <w:highlight w:val="none"/>
                      <w:u w:val="none" w:color="auto"/>
                    </w:rPr>
                  </w:pPr>
                  <w:r>
                    <w:rPr>
                      <w:rFonts w:eastAsia="宋体"/>
                      <w:color w:val="auto"/>
                      <w:sz w:val="21"/>
                      <w:szCs w:val="21"/>
                      <w:highlight w:val="none"/>
                      <w:u w:val="none" w:color="auto"/>
                    </w:rPr>
                    <w:t>点    位</w:t>
                  </w:r>
                </w:p>
              </w:tc>
              <w:tc>
                <w:tcPr>
                  <w:tcW w:w="3169" w:type="dxa"/>
                  <w:vAlign w:val="center"/>
                </w:tcPr>
                <w:p>
                  <w:pPr>
                    <w:pStyle w:val="70"/>
                    <w:spacing w:line="240" w:lineRule="auto"/>
                    <w:ind w:firstLine="0"/>
                    <w:jc w:val="center"/>
                    <w:rPr>
                      <w:rFonts w:eastAsia="宋体"/>
                      <w:color w:val="auto"/>
                      <w:sz w:val="21"/>
                      <w:szCs w:val="21"/>
                      <w:highlight w:val="none"/>
                      <w:u w:val="none" w:color="auto"/>
                    </w:rPr>
                  </w:pPr>
                  <w:r>
                    <w:rPr>
                      <w:rFonts w:eastAsia="宋体"/>
                      <w:color w:val="auto"/>
                      <w:sz w:val="21"/>
                      <w:szCs w:val="21"/>
                      <w:highlight w:val="none"/>
                      <w:u w:val="none" w:color="auto"/>
                    </w:rPr>
                    <w:t>相对位置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108" w:type="dxa"/>
                  <w:bottom w:w="0" w:type="dxa"/>
                  <w:right w:w="108" w:type="dxa"/>
                </w:tblCellMar>
              </w:tblPrEx>
              <w:trPr>
                <w:trHeight w:val="453" w:hRule="atLeast"/>
                <w:jc w:val="center"/>
              </w:trPr>
              <w:tc>
                <w:tcPr>
                  <w:tcW w:w="1488" w:type="dxa"/>
                  <w:vAlign w:val="center"/>
                </w:tcPr>
                <w:p>
                  <w:pPr>
                    <w:jc w:val="center"/>
                    <w:rPr>
                      <w:rFonts w:hint="eastAsia" w:eastAsia="宋体"/>
                      <w:color w:val="auto"/>
                      <w:highlight w:val="none"/>
                      <w:u w:val="none" w:color="auto"/>
                      <w:lang w:eastAsia="zh-CN"/>
                    </w:rPr>
                  </w:pPr>
                  <w:r>
                    <w:rPr>
                      <w:color w:val="auto"/>
                      <w:highlight w:val="none"/>
                      <w:u w:val="none" w:color="auto"/>
                    </w:rPr>
                    <w:t>G</w:t>
                  </w:r>
                  <w:r>
                    <w:rPr>
                      <w:rFonts w:hint="eastAsia"/>
                      <w:color w:val="auto"/>
                      <w:highlight w:val="none"/>
                      <w:u w:val="none" w:color="auto"/>
                      <w:lang w:val="en-US" w:eastAsia="zh-CN"/>
                    </w:rPr>
                    <w:t>1</w:t>
                  </w:r>
                </w:p>
              </w:tc>
              <w:tc>
                <w:tcPr>
                  <w:tcW w:w="3061" w:type="dxa"/>
                  <w:vAlign w:val="center"/>
                </w:tcPr>
                <w:p>
                  <w:pPr>
                    <w:jc w:val="center"/>
                    <w:rPr>
                      <w:color w:val="auto"/>
                      <w:highlight w:val="none"/>
                      <w:u w:val="none" w:color="auto"/>
                    </w:rPr>
                  </w:pPr>
                  <w:r>
                    <w:rPr>
                      <w:rFonts w:hint="eastAsia"/>
                      <w:color w:val="auto"/>
                      <w:sz w:val="21"/>
                      <w:szCs w:val="21"/>
                      <w:highlight w:val="none"/>
                      <w:u w:val="none" w:color="auto"/>
                    </w:rPr>
                    <w:t>项目厂区</w:t>
                  </w:r>
                </w:p>
              </w:tc>
              <w:tc>
                <w:tcPr>
                  <w:tcW w:w="3169" w:type="dxa"/>
                  <w:vAlign w:val="center"/>
                </w:tcPr>
                <w:p>
                  <w:pPr>
                    <w:jc w:val="center"/>
                    <w:rPr>
                      <w:rFonts w:hint="eastAsia" w:ascii="Times New Roman" w:hAnsi="Times New Roman" w:cs="Times New Roman"/>
                      <w:color w:val="auto"/>
                      <w:sz w:val="21"/>
                      <w:szCs w:val="21"/>
                      <w:highlight w:val="none"/>
                      <w:u w:val="none" w:color="auto"/>
                    </w:rPr>
                  </w:pPr>
                  <w:r>
                    <w:rPr>
                      <w:rFonts w:hint="eastAsia" w:ascii="Times New Roman" w:hAnsi="Times New Roman" w:cs="Times New Roman"/>
                      <w:color w:val="auto"/>
                      <w:sz w:val="21"/>
                      <w:szCs w:val="21"/>
                      <w:highlight w:val="none"/>
                      <w:u w:val="none" w:color="auto"/>
                    </w:rPr>
                    <w:t>项目西北侧约</w:t>
                  </w:r>
                  <w:r>
                    <w:rPr>
                      <w:rFonts w:hint="eastAsia" w:ascii="Times New Roman" w:hAnsi="Times New Roman" w:cs="Times New Roman"/>
                      <w:color w:val="auto"/>
                      <w:sz w:val="21"/>
                      <w:szCs w:val="21"/>
                      <w:highlight w:val="none"/>
                      <w:u w:val="none" w:color="auto"/>
                      <w:lang w:val="en-US" w:eastAsia="zh-CN"/>
                    </w:rPr>
                    <w:t>860</w:t>
                  </w:r>
                  <w:r>
                    <w:rPr>
                      <w:rFonts w:hint="eastAsia" w:ascii="Times New Roman" w:hAnsi="Times New Roman" w:cs="Times New Roman"/>
                      <w:color w:val="auto"/>
                      <w:sz w:val="21"/>
                      <w:szCs w:val="21"/>
                      <w:highlight w:val="none"/>
                      <w:u w:val="none" w:color="auto"/>
                    </w:rPr>
                    <w:t xml:space="preserve">m </w:t>
                  </w:r>
                </w:p>
              </w:tc>
            </w:tr>
          </w:tbl>
          <w:p>
            <w:pPr>
              <w:adjustRightInd w:val="0"/>
              <w:snapToGrid w:val="0"/>
              <w:spacing w:line="360" w:lineRule="auto"/>
              <w:ind w:firstLine="480" w:firstLineChars="200"/>
              <w:rPr>
                <w:color w:val="auto"/>
                <w:sz w:val="24"/>
                <w:szCs w:val="24"/>
                <w:highlight w:val="none"/>
                <w:u w:val="none" w:color="auto"/>
              </w:rPr>
            </w:pPr>
            <w:r>
              <w:rPr>
                <w:color w:val="auto"/>
                <w:sz w:val="24"/>
                <w:szCs w:val="24"/>
                <w:highlight w:val="none"/>
                <w:u w:val="none" w:color="auto"/>
              </w:rPr>
              <w:t>2）监测因子：TVOC</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TSP</w:t>
            </w:r>
            <w:r>
              <w:rPr>
                <w:color w:val="auto"/>
                <w:sz w:val="24"/>
                <w:szCs w:val="24"/>
                <w:highlight w:val="none"/>
                <w:u w:val="none" w:color="auto"/>
              </w:rPr>
              <w:t>。</w:t>
            </w:r>
          </w:p>
          <w:p>
            <w:pPr>
              <w:adjustRightInd w:val="0"/>
              <w:snapToGrid w:val="0"/>
              <w:spacing w:line="360" w:lineRule="auto"/>
              <w:ind w:firstLine="480" w:firstLineChars="200"/>
              <w:rPr>
                <w:color w:val="auto"/>
                <w:sz w:val="24"/>
                <w:szCs w:val="24"/>
                <w:highlight w:val="none"/>
                <w:u w:val="none" w:color="auto"/>
              </w:rPr>
            </w:pPr>
            <w:r>
              <w:rPr>
                <w:color w:val="auto"/>
                <w:sz w:val="24"/>
                <w:szCs w:val="24"/>
                <w:highlight w:val="none"/>
                <w:u w:val="none" w:color="auto"/>
              </w:rPr>
              <w:t>3）监测时间</w:t>
            </w:r>
          </w:p>
          <w:p>
            <w:pPr>
              <w:numPr>
                <w:ilvl w:val="255"/>
                <w:numId w:val="0"/>
              </w:numPr>
              <w:adjustRightInd w:val="0"/>
              <w:snapToGrid w:val="0"/>
              <w:spacing w:line="360" w:lineRule="auto"/>
              <w:ind w:firstLine="480" w:firstLineChars="200"/>
              <w:rPr>
                <w:color w:val="auto"/>
                <w:sz w:val="24"/>
                <w:szCs w:val="24"/>
                <w:highlight w:val="none"/>
                <w:u w:val="none" w:color="auto"/>
              </w:rPr>
            </w:pPr>
            <w:r>
              <w:rPr>
                <w:color w:val="auto"/>
                <w:sz w:val="24"/>
                <w:szCs w:val="24"/>
                <w:highlight w:val="none"/>
                <w:u w:val="none" w:color="auto"/>
              </w:rPr>
              <w:t>监测时间为</w:t>
            </w:r>
            <w:r>
              <w:rPr>
                <w:rFonts w:hint="eastAsia" w:ascii="Times New Roman" w:hAnsi="Times New Roman"/>
                <w:color w:val="auto"/>
                <w:sz w:val="24"/>
                <w:szCs w:val="24"/>
                <w:highlight w:val="none"/>
                <w:u w:val="none" w:color="auto"/>
              </w:rPr>
              <w:t>2021年12月29日~2021年12月31日</w:t>
            </w:r>
            <w:r>
              <w:rPr>
                <w:color w:val="auto"/>
                <w:sz w:val="24"/>
                <w:szCs w:val="24"/>
                <w:highlight w:val="none"/>
                <w:u w:val="none" w:color="auto"/>
              </w:rPr>
              <w:t>，监测周期为连续</w:t>
            </w:r>
            <w:r>
              <w:rPr>
                <w:rFonts w:hint="eastAsia"/>
                <w:color w:val="auto"/>
                <w:sz w:val="24"/>
                <w:szCs w:val="24"/>
                <w:highlight w:val="none"/>
                <w:u w:val="none" w:color="auto"/>
                <w:lang w:val="en-US" w:eastAsia="zh-CN"/>
              </w:rPr>
              <w:t>3</w:t>
            </w:r>
            <w:r>
              <w:rPr>
                <w:color w:val="auto"/>
                <w:sz w:val="24"/>
                <w:szCs w:val="24"/>
                <w:highlight w:val="none"/>
                <w:u w:val="none" w:color="auto"/>
              </w:rPr>
              <w:t>天。评价标准：TVOC参照执行《环境影响评价技术到则 大气环境》（HJ2.2-2018）中附录D</w:t>
            </w:r>
            <w:r>
              <w:rPr>
                <w:rFonts w:hint="eastAsia"/>
                <w:color w:val="auto"/>
                <w:sz w:val="24"/>
                <w:szCs w:val="24"/>
                <w:highlight w:val="none"/>
                <w:u w:val="none" w:color="auto"/>
                <w:lang w:eastAsia="zh-CN"/>
              </w:rPr>
              <w:t>，</w:t>
            </w:r>
            <w:r>
              <w:rPr>
                <w:rFonts w:hint="eastAsia"/>
                <w:color w:val="auto"/>
                <w:sz w:val="24"/>
                <w:szCs w:val="24"/>
                <w:highlight w:val="none"/>
                <w:u w:val="none" w:color="auto"/>
              </w:rPr>
              <w:t>TSP执行《环境空气质量标准》（GB</w:t>
            </w:r>
            <w:r>
              <w:rPr>
                <w:color w:val="auto"/>
                <w:sz w:val="24"/>
                <w:szCs w:val="24"/>
                <w:highlight w:val="none"/>
                <w:u w:val="none" w:color="auto"/>
              </w:rPr>
              <w:t>3095-2012</w:t>
            </w:r>
            <w:r>
              <w:rPr>
                <w:rFonts w:hint="eastAsia"/>
                <w:color w:val="auto"/>
                <w:sz w:val="24"/>
                <w:szCs w:val="24"/>
                <w:highlight w:val="none"/>
                <w:u w:val="none" w:color="auto"/>
              </w:rPr>
              <w:t>）中二类标准限值</w:t>
            </w:r>
            <w:r>
              <w:rPr>
                <w:color w:val="auto"/>
                <w:sz w:val="24"/>
                <w:szCs w:val="24"/>
                <w:highlight w:val="none"/>
                <w:u w:val="none" w:color="auto"/>
              </w:rPr>
              <w:t>。</w:t>
            </w:r>
          </w:p>
          <w:p>
            <w:pPr>
              <w:adjustRightInd w:val="0"/>
              <w:snapToGrid w:val="0"/>
              <w:spacing w:line="360" w:lineRule="auto"/>
              <w:ind w:firstLine="480" w:firstLineChars="200"/>
              <w:rPr>
                <w:color w:val="auto"/>
                <w:sz w:val="24"/>
                <w:szCs w:val="24"/>
                <w:highlight w:val="none"/>
                <w:u w:val="none" w:color="auto"/>
              </w:rPr>
            </w:pPr>
            <w:r>
              <w:rPr>
                <w:color w:val="auto"/>
                <w:sz w:val="24"/>
                <w:szCs w:val="24"/>
                <w:highlight w:val="none"/>
                <w:u w:val="none" w:color="auto"/>
              </w:rPr>
              <w:t>4）监测结果：监测结果统计见表</w:t>
            </w:r>
            <w:r>
              <w:rPr>
                <w:rFonts w:hint="eastAsia"/>
                <w:color w:val="auto"/>
                <w:sz w:val="24"/>
                <w:szCs w:val="24"/>
                <w:highlight w:val="none"/>
                <w:u w:val="none" w:color="auto"/>
              </w:rPr>
              <w:t>3-3</w:t>
            </w:r>
            <w:r>
              <w:rPr>
                <w:color w:val="auto"/>
                <w:sz w:val="24"/>
                <w:szCs w:val="24"/>
                <w:highlight w:val="none"/>
                <w:u w:val="none" w:color="auto"/>
              </w:rPr>
              <w:t>。</w:t>
            </w:r>
          </w:p>
          <w:p>
            <w:pPr>
              <w:adjustRightInd w:val="0"/>
              <w:snapToGrid w:val="0"/>
              <w:ind w:firstLine="480" w:firstLineChars="200"/>
              <w:rPr>
                <w:iCs/>
                <w:color w:val="auto"/>
                <w:sz w:val="24"/>
                <w:szCs w:val="24"/>
                <w:highlight w:val="none"/>
                <w:u w:val="none" w:color="auto"/>
              </w:rPr>
            </w:pPr>
            <w:r>
              <w:rPr>
                <w:color w:val="auto"/>
                <w:sz w:val="24"/>
                <w:szCs w:val="24"/>
                <w:highlight w:val="none"/>
                <w:u w:val="none" w:color="auto"/>
              </w:rPr>
              <w:t>5）评价方法：超标率、最大超标倍数。</w:t>
            </w:r>
          </w:p>
          <w:p>
            <w:pPr>
              <w:pStyle w:val="10"/>
              <w:spacing w:before="120" w:after="120" w:line="240" w:lineRule="auto"/>
              <w:jc w:val="center"/>
              <w:rPr>
                <w:rFonts w:eastAsia="宋体"/>
                <w:b/>
                <w:bCs/>
                <w:color w:val="auto"/>
                <w:sz w:val="21"/>
                <w:szCs w:val="21"/>
                <w:highlight w:val="none"/>
                <w:u w:val="none" w:color="auto"/>
              </w:rPr>
            </w:pPr>
            <w:r>
              <w:rPr>
                <w:rFonts w:eastAsia="宋体"/>
                <w:b/>
                <w:bCs/>
                <w:color w:val="auto"/>
                <w:sz w:val="21"/>
                <w:szCs w:val="21"/>
                <w:highlight w:val="none"/>
                <w:u w:val="none" w:color="auto"/>
              </w:rPr>
              <w:t>表</w:t>
            </w:r>
            <w:r>
              <w:rPr>
                <w:rFonts w:hint="eastAsia" w:eastAsia="宋体"/>
                <w:b/>
                <w:bCs/>
                <w:color w:val="auto"/>
                <w:sz w:val="21"/>
                <w:szCs w:val="21"/>
                <w:highlight w:val="none"/>
                <w:u w:val="none" w:color="auto"/>
              </w:rPr>
              <w:t>3</w:t>
            </w:r>
            <w:r>
              <w:rPr>
                <w:rFonts w:eastAsia="宋体"/>
                <w:b/>
                <w:bCs/>
                <w:color w:val="auto"/>
                <w:sz w:val="21"/>
                <w:szCs w:val="21"/>
                <w:highlight w:val="none"/>
                <w:u w:val="none" w:color="auto"/>
              </w:rPr>
              <w:t>-3  空气环境监测结果统计表（浓度单位：mg/Nm</w:t>
            </w:r>
            <w:r>
              <w:rPr>
                <w:rFonts w:eastAsia="宋体"/>
                <w:b/>
                <w:bCs/>
                <w:color w:val="auto"/>
                <w:sz w:val="21"/>
                <w:szCs w:val="21"/>
                <w:highlight w:val="none"/>
                <w:u w:val="none" w:color="auto"/>
                <w:vertAlign w:val="superscript"/>
              </w:rPr>
              <w:t>3</w:t>
            </w:r>
            <w:r>
              <w:rPr>
                <w:rFonts w:eastAsia="宋体"/>
                <w:b/>
                <w:bCs/>
                <w:color w:val="auto"/>
                <w:sz w:val="21"/>
                <w:szCs w:val="21"/>
                <w:highlight w:val="none"/>
                <w:u w:val="none" w:color="auto"/>
              </w:rPr>
              <w:t>）</w:t>
            </w:r>
          </w:p>
          <w:tbl>
            <w:tblPr>
              <w:tblStyle w:val="27"/>
              <w:tblW w:w="7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618"/>
              <w:gridCol w:w="1226"/>
              <w:gridCol w:w="1271"/>
              <w:gridCol w:w="1175"/>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92"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监测点位</w:t>
                  </w:r>
                </w:p>
              </w:tc>
              <w:tc>
                <w:tcPr>
                  <w:tcW w:w="1618"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监测时间</w:t>
                  </w:r>
                </w:p>
              </w:tc>
              <w:tc>
                <w:tcPr>
                  <w:tcW w:w="1226"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监测因子</w:t>
                  </w:r>
                </w:p>
              </w:tc>
              <w:tc>
                <w:tcPr>
                  <w:tcW w:w="1271"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监测结果</w:t>
                  </w:r>
                </w:p>
                <w:p>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ug/m</w:t>
                  </w:r>
                  <w:r>
                    <w:rPr>
                      <w:color w:val="auto"/>
                      <w:sz w:val="21"/>
                      <w:szCs w:val="21"/>
                      <w:highlight w:val="none"/>
                      <w:u w:val="none" w:color="auto"/>
                      <w:vertAlign w:val="superscript"/>
                    </w:rPr>
                    <w:t>3</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标准限值ug</w:t>
                  </w:r>
                  <w:r>
                    <w:rPr>
                      <w:color w:val="auto"/>
                      <w:sz w:val="21"/>
                      <w:szCs w:val="21"/>
                      <w:highlight w:val="none"/>
                      <w:u w:val="none" w:color="auto"/>
                    </w:rPr>
                    <w:t>/m</w:t>
                  </w:r>
                  <w:r>
                    <w:rPr>
                      <w:color w:val="auto"/>
                      <w:sz w:val="21"/>
                      <w:szCs w:val="21"/>
                      <w:highlight w:val="none"/>
                      <w:u w:val="none" w:color="auto"/>
                      <w:vertAlign w:val="superscript"/>
                    </w:rPr>
                    <w:t>3</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评价结果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2" w:type="dxa"/>
                  <w:vMerge w:val="restart"/>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G</w:t>
                  </w:r>
                  <w:r>
                    <w:rPr>
                      <w:color w:val="auto"/>
                      <w:sz w:val="21"/>
                      <w:szCs w:val="21"/>
                      <w:highlight w:val="none"/>
                      <w:u w:val="none" w:color="auto"/>
                    </w:rPr>
                    <w:t>1</w:t>
                  </w:r>
                </w:p>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项目厂区</w:t>
                  </w:r>
                </w:p>
              </w:tc>
              <w:tc>
                <w:tcPr>
                  <w:tcW w:w="1618" w:type="dxa"/>
                  <w:vMerge w:val="restart"/>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2</w:t>
                  </w:r>
                  <w:r>
                    <w:rPr>
                      <w:color w:val="auto"/>
                      <w:sz w:val="21"/>
                      <w:szCs w:val="21"/>
                      <w:highlight w:val="none"/>
                      <w:u w:val="none" w:color="auto"/>
                    </w:rPr>
                    <w:t>021.12.29</w:t>
                  </w:r>
                </w:p>
              </w:tc>
              <w:tc>
                <w:tcPr>
                  <w:tcW w:w="1226"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TSP</w:t>
                  </w:r>
                </w:p>
              </w:tc>
              <w:tc>
                <w:tcPr>
                  <w:tcW w:w="1271"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9</w:t>
                  </w:r>
                  <w:r>
                    <w:rPr>
                      <w:color w:val="auto"/>
                      <w:sz w:val="21"/>
                      <w:szCs w:val="21"/>
                      <w:highlight w:val="none"/>
                      <w:u w:val="none" w:color="auto"/>
                    </w:rPr>
                    <w:t>2</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3</w:t>
                  </w:r>
                  <w:r>
                    <w:rPr>
                      <w:color w:val="auto"/>
                      <w:sz w:val="21"/>
                      <w:szCs w:val="21"/>
                      <w:highlight w:val="none"/>
                      <w:u w:val="none" w:color="auto"/>
                    </w:rPr>
                    <w:t>00</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2"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618"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226"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TVOC</w:t>
                  </w:r>
                </w:p>
              </w:tc>
              <w:tc>
                <w:tcPr>
                  <w:tcW w:w="1271"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2</w:t>
                  </w:r>
                  <w:r>
                    <w:rPr>
                      <w:color w:val="auto"/>
                      <w:sz w:val="21"/>
                      <w:szCs w:val="21"/>
                      <w:highlight w:val="none"/>
                      <w:u w:val="none" w:color="auto"/>
                    </w:rPr>
                    <w:t>20</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6</w:t>
                  </w:r>
                  <w:r>
                    <w:rPr>
                      <w:color w:val="auto"/>
                      <w:sz w:val="21"/>
                      <w:szCs w:val="21"/>
                      <w:highlight w:val="none"/>
                      <w:u w:val="none" w:color="auto"/>
                    </w:rPr>
                    <w:t>00</w:t>
                  </w:r>
                </w:p>
              </w:tc>
              <w:tc>
                <w:tcPr>
                  <w:tcW w:w="1175" w:type="dxa"/>
                  <w:tcBorders>
                    <w:tl2br w:val="nil"/>
                    <w:tr2bl w:val="nil"/>
                  </w:tcBorders>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2"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618" w:type="dxa"/>
                  <w:vMerge w:val="restart"/>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2</w:t>
                  </w:r>
                  <w:r>
                    <w:rPr>
                      <w:color w:val="auto"/>
                      <w:sz w:val="21"/>
                      <w:szCs w:val="21"/>
                      <w:highlight w:val="none"/>
                      <w:u w:val="none" w:color="auto"/>
                    </w:rPr>
                    <w:t>021.12.30</w:t>
                  </w:r>
                </w:p>
              </w:tc>
              <w:tc>
                <w:tcPr>
                  <w:tcW w:w="1226"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TSP</w:t>
                  </w:r>
                </w:p>
              </w:tc>
              <w:tc>
                <w:tcPr>
                  <w:tcW w:w="1271"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1</w:t>
                  </w:r>
                  <w:r>
                    <w:rPr>
                      <w:color w:val="auto"/>
                      <w:sz w:val="21"/>
                      <w:szCs w:val="21"/>
                      <w:highlight w:val="none"/>
                      <w:u w:val="none" w:color="auto"/>
                    </w:rPr>
                    <w:t>20</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3</w:t>
                  </w:r>
                  <w:r>
                    <w:rPr>
                      <w:color w:val="auto"/>
                      <w:sz w:val="21"/>
                      <w:szCs w:val="21"/>
                      <w:highlight w:val="none"/>
                      <w:u w:val="none" w:color="auto"/>
                    </w:rPr>
                    <w:t>00</w:t>
                  </w:r>
                </w:p>
              </w:tc>
              <w:tc>
                <w:tcPr>
                  <w:tcW w:w="1175" w:type="dxa"/>
                  <w:tcBorders>
                    <w:tl2br w:val="nil"/>
                    <w:tr2bl w:val="nil"/>
                  </w:tcBorders>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2"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618"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226"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TVOC</w:t>
                  </w:r>
                </w:p>
              </w:tc>
              <w:tc>
                <w:tcPr>
                  <w:tcW w:w="1271"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2</w:t>
                  </w:r>
                  <w:r>
                    <w:rPr>
                      <w:color w:val="auto"/>
                      <w:sz w:val="21"/>
                      <w:szCs w:val="21"/>
                      <w:highlight w:val="none"/>
                      <w:u w:val="none" w:color="auto"/>
                    </w:rPr>
                    <w:t>53</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6</w:t>
                  </w:r>
                  <w:r>
                    <w:rPr>
                      <w:color w:val="auto"/>
                      <w:sz w:val="21"/>
                      <w:szCs w:val="21"/>
                      <w:highlight w:val="none"/>
                      <w:u w:val="none" w:color="auto"/>
                    </w:rPr>
                    <w:t>00</w:t>
                  </w:r>
                </w:p>
              </w:tc>
              <w:tc>
                <w:tcPr>
                  <w:tcW w:w="1175" w:type="dxa"/>
                  <w:tcBorders>
                    <w:tl2br w:val="nil"/>
                    <w:tr2bl w:val="nil"/>
                  </w:tcBorders>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2"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618" w:type="dxa"/>
                  <w:vMerge w:val="restart"/>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2</w:t>
                  </w:r>
                  <w:r>
                    <w:rPr>
                      <w:color w:val="auto"/>
                      <w:sz w:val="21"/>
                      <w:szCs w:val="21"/>
                      <w:highlight w:val="none"/>
                      <w:u w:val="none" w:color="auto"/>
                    </w:rPr>
                    <w:t>021.12.31</w:t>
                  </w:r>
                </w:p>
              </w:tc>
              <w:tc>
                <w:tcPr>
                  <w:tcW w:w="1226"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TSP</w:t>
                  </w:r>
                </w:p>
              </w:tc>
              <w:tc>
                <w:tcPr>
                  <w:tcW w:w="1271"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1</w:t>
                  </w:r>
                  <w:r>
                    <w:rPr>
                      <w:color w:val="auto"/>
                      <w:sz w:val="21"/>
                      <w:szCs w:val="21"/>
                      <w:highlight w:val="none"/>
                      <w:u w:val="none" w:color="auto"/>
                    </w:rPr>
                    <w:t>13</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3</w:t>
                  </w:r>
                  <w:r>
                    <w:rPr>
                      <w:color w:val="auto"/>
                      <w:sz w:val="21"/>
                      <w:szCs w:val="21"/>
                      <w:highlight w:val="none"/>
                      <w:u w:val="none" w:color="auto"/>
                    </w:rPr>
                    <w:t>00</w:t>
                  </w:r>
                </w:p>
              </w:tc>
              <w:tc>
                <w:tcPr>
                  <w:tcW w:w="1175" w:type="dxa"/>
                  <w:tcBorders>
                    <w:tl2br w:val="nil"/>
                    <w:tr2bl w:val="nil"/>
                  </w:tcBorders>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92"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618" w:type="dxa"/>
                  <w:vMerge w:val="continue"/>
                  <w:tcBorders>
                    <w:tl2br w:val="nil"/>
                    <w:tr2bl w:val="nil"/>
                  </w:tcBorders>
                  <w:vAlign w:val="center"/>
                </w:tcPr>
                <w:p>
                  <w:pPr>
                    <w:spacing w:line="240" w:lineRule="auto"/>
                    <w:ind w:firstLine="0" w:firstLineChars="0"/>
                    <w:jc w:val="center"/>
                    <w:rPr>
                      <w:color w:val="auto"/>
                      <w:sz w:val="21"/>
                      <w:szCs w:val="21"/>
                      <w:highlight w:val="none"/>
                      <w:u w:val="none" w:color="auto"/>
                    </w:rPr>
                  </w:pPr>
                </w:p>
              </w:tc>
              <w:tc>
                <w:tcPr>
                  <w:tcW w:w="1226"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TVOC</w:t>
                  </w:r>
                </w:p>
              </w:tc>
              <w:tc>
                <w:tcPr>
                  <w:tcW w:w="1271"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2</w:t>
                  </w:r>
                  <w:r>
                    <w:rPr>
                      <w:color w:val="auto"/>
                      <w:sz w:val="21"/>
                      <w:szCs w:val="21"/>
                      <w:highlight w:val="none"/>
                      <w:u w:val="none" w:color="auto"/>
                    </w:rPr>
                    <w:t>16</w:t>
                  </w:r>
                </w:p>
              </w:tc>
              <w:tc>
                <w:tcPr>
                  <w:tcW w:w="1175" w:type="dxa"/>
                  <w:tcBorders>
                    <w:tl2br w:val="nil"/>
                    <w:tr2bl w:val="nil"/>
                  </w:tcBorders>
                  <w:vAlign w:val="center"/>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6</w:t>
                  </w:r>
                  <w:r>
                    <w:rPr>
                      <w:color w:val="auto"/>
                      <w:sz w:val="21"/>
                      <w:szCs w:val="21"/>
                      <w:highlight w:val="none"/>
                      <w:u w:val="none" w:color="auto"/>
                    </w:rPr>
                    <w:t>00</w:t>
                  </w:r>
                </w:p>
              </w:tc>
              <w:tc>
                <w:tcPr>
                  <w:tcW w:w="1175" w:type="dxa"/>
                  <w:tcBorders>
                    <w:tl2br w:val="nil"/>
                    <w:tr2bl w:val="nil"/>
                  </w:tcBorders>
                </w:tcPr>
                <w:p>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达标</w:t>
                  </w:r>
                </w:p>
              </w:tc>
            </w:tr>
          </w:tbl>
          <w:p>
            <w:pPr>
              <w:widowControl/>
              <w:spacing w:line="360" w:lineRule="auto"/>
              <w:ind w:firstLine="480" w:firstLineChars="200"/>
              <w:jc w:val="left"/>
              <w:rPr>
                <w:color w:val="auto"/>
                <w:sz w:val="24"/>
                <w:szCs w:val="24"/>
                <w:highlight w:val="none"/>
                <w:u w:val="none" w:color="auto"/>
              </w:rPr>
            </w:pPr>
            <w:r>
              <w:rPr>
                <w:color w:val="auto"/>
                <w:sz w:val="24"/>
                <w:szCs w:val="24"/>
                <w:highlight w:val="none"/>
                <w:u w:val="none" w:color="auto"/>
              </w:rPr>
              <w:t>根据监测结果分析：</w:t>
            </w:r>
            <w:r>
              <w:rPr>
                <w:rFonts w:hint="eastAsia"/>
                <w:color w:val="auto"/>
                <w:sz w:val="24"/>
                <w:szCs w:val="24"/>
                <w:highlight w:val="none"/>
                <w:u w:val="none" w:color="auto"/>
              </w:rPr>
              <w:t>TSP日均值均能满足《环境空气质量标准》（GB</w:t>
            </w:r>
            <w:r>
              <w:rPr>
                <w:color w:val="auto"/>
                <w:sz w:val="24"/>
                <w:szCs w:val="24"/>
                <w:highlight w:val="none"/>
                <w:u w:val="none" w:color="auto"/>
              </w:rPr>
              <w:t>3095-2012</w:t>
            </w:r>
            <w:r>
              <w:rPr>
                <w:rFonts w:hint="eastAsia"/>
                <w:color w:val="auto"/>
                <w:sz w:val="24"/>
                <w:szCs w:val="24"/>
                <w:highlight w:val="none"/>
                <w:u w:val="none" w:color="auto"/>
              </w:rPr>
              <w:t>）中二类标准限值；TVOC的8小时平均值均能满足HJ</w:t>
            </w:r>
            <w:r>
              <w:rPr>
                <w:color w:val="auto"/>
                <w:sz w:val="24"/>
                <w:szCs w:val="24"/>
                <w:highlight w:val="none"/>
                <w:u w:val="none" w:color="auto"/>
              </w:rPr>
              <w:t>202-2018</w:t>
            </w:r>
            <w:r>
              <w:rPr>
                <w:rFonts w:hint="eastAsia"/>
                <w:color w:val="auto"/>
                <w:sz w:val="24"/>
                <w:szCs w:val="24"/>
                <w:highlight w:val="none"/>
                <w:u w:val="none" w:color="auto"/>
              </w:rPr>
              <w:t>附录D中参考8小时平均限值</w:t>
            </w:r>
            <w:r>
              <w:rPr>
                <w:color w:val="auto"/>
                <w:sz w:val="24"/>
                <w:szCs w:val="24"/>
                <w:highlight w:val="none"/>
                <w:u w:val="none" w:color="auto"/>
              </w:rPr>
              <w:t>。</w:t>
            </w:r>
          </w:p>
          <w:p>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2</w:t>
            </w:r>
            <w:r>
              <w:rPr>
                <w:b/>
                <w:color w:val="auto"/>
                <w:sz w:val="24"/>
                <w:szCs w:val="24"/>
                <w:highlight w:val="none"/>
                <w:u w:val="none" w:color="auto"/>
              </w:rPr>
              <w:t>、地表水环境质量现状</w:t>
            </w:r>
          </w:p>
          <w:p>
            <w:pPr>
              <w:spacing w:line="360" w:lineRule="auto"/>
              <w:ind w:firstLine="482" w:firstLineChars="200"/>
              <w:jc w:val="left"/>
              <w:rPr>
                <w:b/>
                <w:color w:val="auto"/>
                <w:kern w:val="0"/>
                <w:sz w:val="24"/>
                <w:highlight w:val="none"/>
                <w:u w:val="none" w:color="auto"/>
              </w:rPr>
            </w:pPr>
            <w:r>
              <w:rPr>
                <w:rFonts w:hint="eastAsia"/>
                <w:b/>
                <w:color w:val="auto"/>
                <w:kern w:val="0"/>
                <w:sz w:val="24"/>
                <w:highlight w:val="none"/>
                <w:u w:val="none" w:color="auto"/>
              </w:rPr>
              <w:t>（1）项目所在区域地表水达标情况</w:t>
            </w:r>
          </w:p>
          <w:p>
            <w:pPr>
              <w:widowControl/>
              <w:spacing w:line="360" w:lineRule="auto"/>
              <w:ind w:firstLine="480" w:firstLineChars="200"/>
              <w:jc w:val="left"/>
              <w:rPr>
                <w:color w:val="auto"/>
                <w:sz w:val="24"/>
                <w:szCs w:val="24"/>
                <w:highlight w:val="none"/>
                <w:u w:val="none" w:color="auto"/>
              </w:rPr>
            </w:pPr>
            <w:r>
              <w:rPr>
                <w:color w:val="auto"/>
                <w:sz w:val="24"/>
                <w:szCs w:val="24"/>
                <w:highlight w:val="none"/>
                <w:u w:val="none" w:color="auto"/>
              </w:rPr>
              <w:t>本项目废水</w:t>
            </w:r>
            <w:r>
              <w:rPr>
                <w:rFonts w:hint="eastAsia"/>
                <w:color w:val="auto"/>
                <w:sz w:val="24"/>
                <w:szCs w:val="24"/>
                <w:highlight w:val="none"/>
                <w:u w:val="none" w:color="auto"/>
              </w:rPr>
              <w:t>通过市政</w:t>
            </w:r>
            <w:r>
              <w:rPr>
                <w:color w:val="auto"/>
                <w:sz w:val="24"/>
                <w:szCs w:val="24"/>
                <w:highlight w:val="none"/>
                <w:u w:val="none" w:color="auto"/>
              </w:rPr>
              <w:t>污水管网进入下河线污水处理厂深度处理</w:t>
            </w:r>
            <w:r>
              <w:rPr>
                <w:rFonts w:hint="eastAsia"/>
                <w:color w:val="auto"/>
                <w:sz w:val="24"/>
                <w:szCs w:val="24"/>
                <w:highlight w:val="none"/>
                <w:u w:val="none" w:color="auto"/>
              </w:rPr>
              <w:t>，</w:t>
            </w:r>
            <w:r>
              <w:rPr>
                <w:color w:val="auto"/>
                <w:sz w:val="24"/>
                <w:szCs w:val="24"/>
                <w:highlight w:val="none"/>
                <w:u w:val="none" w:color="auto"/>
              </w:rPr>
              <w:t>下河线污水处理厂排污口位于湘江港子口。本次环评期间收集了永州市环境质量简报</w:t>
            </w:r>
            <w:r>
              <w:rPr>
                <w:rFonts w:hint="eastAsia"/>
                <w:color w:val="auto"/>
                <w:sz w:val="24"/>
                <w:szCs w:val="24"/>
                <w:highlight w:val="none"/>
                <w:u w:val="none" w:color="auto"/>
              </w:rPr>
              <w:t>（202</w:t>
            </w:r>
            <w:r>
              <w:rPr>
                <w:rFonts w:hint="eastAsia"/>
                <w:color w:val="auto"/>
                <w:sz w:val="24"/>
                <w:szCs w:val="24"/>
                <w:highlight w:val="none"/>
                <w:u w:val="none" w:color="auto"/>
                <w:lang w:val="en-US" w:eastAsia="zh-CN"/>
              </w:rPr>
              <w:t>2</w:t>
            </w:r>
            <w:r>
              <w:rPr>
                <w:rFonts w:hint="eastAsia"/>
                <w:color w:val="auto"/>
                <w:sz w:val="24"/>
                <w:szCs w:val="24"/>
                <w:highlight w:val="none"/>
                <w:u w:val="none" w:color="auto"/>
              </w:rPr>
              <w:t>年</w:t>
            </w:r>
            <w:r>
              <w:rPr>
                <w:rFonts w:hint="eastAsia"/>
                <w:color w:val="auto"/>
                <w:sz w:val="24"/>
                <w:szCs w:val="24"/>
                <w:highlight w:val="none"/>
                <w:u w:val="none" w:color="auto"/>
                <w:lang w:val="en-US" w:eastAsia="zh-CN"/>
              </w:rPr>
              <w:t>10</w:t>
            </w:r>
            <w:r>
              <w:rPr>
                <w:rFonts w:hint="eastAsia"/>
                <w:color w:val="auto"/>
                <w:sz w:val="24"/>
                <w:szCs w:val="24"/>
                <w:highlight w:val="none"/>
                <w:u w:val="none" w:color="auto"/>
              </w:rPr>
              <w:t>月），根据该环境质量简报，永州市境内41个地表水监控断面（含港子口断面）202</w:t>
            </w:r>
            <w:r>
              <w:rPr>
                <w:rFonts w:hint="eastAsia"/>
                <w:color w:val="auto"/>
                <w:sz w:val="24"/>
                <w:szCs w:val="24"/>
                <w:highlight w:val="none"/>
                <w:u w:val="none" w:color="auto"/>
                <w:lang w:val="en-US" w:eastAsia="zh-CN"/>
              </w:rPr>
              <w:t>2</w:t>
            </w:r>
            <w:r>
              <w:rPr>
                <w:rFonts w:hint="eastAsia"/>
                <w:color w:val="auto"/>
                <w:sz w:val="24"/>
                <w:szCs w:val="24"/>
                <w:highlight w:val="none"/>
                <w:u w:val="none" w:color="auto"/>
              </w:rPr>
              <w:t>年</w:t>
            </w:r>
            <w:r>
              <w:rPr>
                <w:rFonts w:hint="eastAsia"/>
                <w:color w:val="auto"/>
                <w:sz w:val="24"/>
                <w:szCs w:val="24"/>
                <w:highlight w:val="none"/>
                <w:u w:val="none" w:color="auto"/>
                <w:lang w:val="en-US" w:eastAsia="zh-CN"/>
              </w:rPr>
              <w:t>10</w:t>
            </w:r>
            <w:r>
              <w:rPr>
                <w:rFonts w:hint="eastAsia"/>
                <w:color w:val="auto"/>
                <w:sz w:val="24"/>
                <w:szCs w:val="24"/>
                <w:highlight w:val="none"/>
                <w:u w:val="none" w:color="auto"/>
              </w:rPr>
              <w:t>月：《地表水环境质量标准》（GB3838-2002）表1中除水温、总氮、粪大肠菌群以外的21项基本指标，所有断面均达标，达标率为100%，港子口断面水质监测结果全部满足II类指标要求（湘江港子口断面水环境功能区划为工业用水区，执行IV类标准）。即项目影响湘江相关河段水环境质量较好。</w:t>
            </w:r>
          </w:p>
          <w:p>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3、</w:t>
            </w:r>
            <w:r>
              <w:rPr>
                <w:b/>
                <w:color w:val="auto"/>
                <w:sz w:val="24"/>
                <w:szCs w:val="24"/>
                <w:highlight w:val="none"/>
                <w:u w:val="none" w:color="auto"/>
              </w:rPr>
              <w:t>声环境</w:t>
            </w:r>
            <w:r>
              <w:rPr>
                <w:rFonts w:hint="eastAsia"/>
                <w:b/>
                <w:color w:val="auto"/>
                <w:sz w:val="24"/>
                <w:szCs w:val="24"/>
                <w:highlight w:val="none"/>
                <w:u w:val="none" w:color="auto"/>
              </w:rPr>
              <w:t>质量现状</w:t>
            </w:r>
          </w:p>
          <w:p>
            <w:pPr>
              <w:spacing w:line="360" w:lineRule="auto"/>
              <w:ind w:firstLine="480" w:firstLineChars="200"/>
              <w:rPr>
                <w:color w:val="auto"/>
                <w:sz w:val="24"/>
                <w:highlight w:val="none"/>
                <w:u w:val="none" w:color="auto"/>
              </w:rPr>
            </w:pPr>
            <w:r>
              <w:rPr>
                <w:rFonts w:hint="eastAsia"/>
                <w:color w:val="auto"/>
                <w:sz w:val="24"/>
                <w:highlight w:val="none"/>
                <w:u w:val="none" w:color="auto"/>
              </w:rPr>
              <w:t>本项目厂界外周边50米范围内不存在声环境保护目标，因此根据《建设项目环境影响报告表编制技术指南（污染影响类）（试行）》中的规定，本项目可不进行声环境质量现状监测。</w:t>
            </w:r>
          </w:p>
          <w:p>
            <w:pPr>
              <w:pStyle w:val="36"/>
              <w:ind w:firstLine="0"/>
              <w:rPr>
                <w:b/>
                <w:bCs/>
                <w:color w:val="auto"/>
                <w:highlight w:val="none"/>
                <w:u w:val="none" w:color="auto"/>
              </w:rPr>
            </w:pPr>
            <w:r>
              <w:rPr>
                <w:rFonts w:hint="eastAsia"/>
                <w:b/>
                <w:bCs/>
                <w:color w:val="auto"/>
                <w:highlight w:val="none"/>
                <w:u w:val="none" w:color="auto"/>
              </w:rPr>
              <w:t>4、生态环境</w:t>
            </w:r>
          </w:p>
          <w:p>
            <w:pPr>
              <w:pStyle w:val="36"/>
              <w:rPr>
                <w:color w:val="auto"/>
                <w:highlight w:val="none"/>
                <w:u w:val="none" w:color="auto"/>
              </w:rPr>
            </w:pPr>
            <w:r>
              <w:rPr>
                <w:color w:val="auto"/>
                <w:highlight w:val="none"/>
                <w:u w:val="none" w:color="auto"/>
              </w:rPr>
              <w:t>本项目总用地面积为</w:t>
            </w:r>
            <w:r>
              <w:rPr>
                <w:rFonts w:hint="eastAsia"/>
                <w:color w:val="auto"/>
                <w:kern w:val="0"/>
                <w:sz w:val="24"/>
                <w:highlight w:val="none"/>
                <w:u w:val="none" w:color="auto"/>
                <w:lang w:val="en-US" w:eastAsia="zh-CN"/>
              </w:rPr>
              <w:t>2513.75</w:t>
            </w:r>
            <w:r>
              <w:rPr>
                <w:rFonts w:hint="eastAsia"/>
                <w:color w:val="auto"/>
                <w:highlight w:val="none"/>
                <w:u w:val="none" w:color="auto"/>
              </w:rPr>
              <w:t>m</w:t>
            </w:r>
            <w:r>
              <w:rPr>
                <w:rFonts w:hint="eastAsia"/>
                <w:color w:val="auto"/>
                <w:highlight w:val="none"/>
                <w:u w:val="none" w:color="auto"/>
                <w:vertAlign w:val="superscript"/>
              </w:rPr>
              <w:t>2</w:t>
            </w:r>
            <w:r>
              <w:rPr>
                <w:rFonts w:hint="eastAsia"/>
                <w:color w:val="auto"/>
                <w:highlight w:val="none"/>
                <w:u w:val="none" w:color="auto"/>
              </w:rPr>
              <w:t>，项目占地为工业用地，</w:t>
            </w:r>
            <w:r>
              <w:rPr>
                <w:color w:val="auto"/>
                <w:highlight w:val="none"/>
                <w:u w:val="none" w:color="auto"/>
              </w:rPr>
              <w:t>不涉及基本农田</w:t>
            </w:r>
            <w:r>
              <w:rPr>
                <w:rFonts w:hint="eastAsia"/>
                <w:color w:val="auto"/>
                <w:highlight w:val="none"/>
                <w:u w:val="none" w:color="auto"/>
              </w:rPr>
              <w:t>及生态公益林，</w:t>
            </w:r>
            <w:r>
              <w:rPr>
                <w:color w:val="auto"/>
                <w:highlight w:val="none"/>
                <w:u w:val="none" w:color="auto"/>
              </w:rPr>
              <w:t>占地范围内有无生态保护目标。</w:t>
            </w:r>
          </w:p>
          <w:p>
            <w:pPr>
              <w:pStyle w:val="36"/>
              <w:ind w:firstLine="0"/>
              <w:rPr>
                <w:b/>
                <w:bCs/>
                <w:color w:val="auto"/>
                <w:highlight w:val="none"/>
                <w:u w:val="none" w:color="auto"/>
              </w:rPr>
            </w:pPr>
            <w:r>
              <w:rPr>
                <w:rFonts w:hint="eastAsia"/>
                <w:b/>
                <w:bCs/>
                <w:color w:val="auto"/>
                <w:highlight w:val="none"/>
                <w:u w:val="none" w:color="auto"/>
              </w:rPr>
              <w:t>5、地下水、土壤环境</w:t>
            </w:r>
          </w:p>
          <w:p>
            <w:pPr>
              <w:pStyle w:val="36"/>
              <w:rPr>
                <w:color w:val="auto"/>
                <w:highlight w:val="none"/>
                <w:u w:val="none" w:color="auto"/>
              </w:rPr>
            </w:pPr>
            <w:r>
              <w:rPr>
                <w:color w:val="auto"/>
                <w:highlight w:val="none"/>
                <w:u w:val="none" w:color="auto"/>
              </w:rPr>
              <w:t>根据《建设项目环境影响报告表编制技术指南（污染影响类）（试行）》中提到的</w:t>
            </w:r>
            <w:r>
              <w:rPr>
                <w:rFonts w:hint="eastAsia"/>
                <w:color w:val="auto"/>
                <w:highlight w:val="none"/>
                <w:u w:val="none" w:color="auto"/>
              </w:rPr>
              <w:t>“</w:t>
            </w:r>
            <w:r>
              <w:rPr>
                <w:color w:val="auto"/>
                <w:highlight w:val="none"/>
                <w:u w:val="none" w:color="auto"/>
              </w:rPr>
              <w:t>原则上不开展环境质量现状调查。建设项目存在土壤、地下水环境污染途径的，应结合污染源、保护目标分布情况开展现状调查以留作背景值</w:t>
            </w:r>
            <w:r>
              <w:rPr>
                <w:rFonts w:hint="eastAsia"/>
                <w:color w:val="auto"/>
                <w:highlight w:val="none"/>
                <w:u w:val="none" w:color="auto"/>
              </w:rPr>
              <w:t>”</w:t>
            </w:r>
            <w:r>
              <w:rPr>
                <w:color w:val="auto"/>
                <w:highlight w:val="none"/>
                <w:u w:val="none" w:color="auto"/>
              </w:rPr>
              <w:t>。本项目位于</w:t>
            </w:r>
            <w:r>
              <w:rPr>
                <w:rFonts w:hint="eastAsia"/>
                <w:color w:val="auto"/>
                <w:highlight w:val="none"/>
                <w:u w:val="none" w:color="auto"/>
              </w:rPr>
              <w:t>工</w:t>
            </w:r>
            <w:r>
              <w:rPr>
                <w:color w:val="auto"/>
                <w:highlight w:val="none"/>
                <w:u w:val="none" w:color="auto"/>
              </w:rPr>
              <w:t>业园内，生产工艺主要污染物为有机废气，不涉及土壤、地下水环境的污染途径，故可不开展现状调查。</w:t>
            </w:r>
          </w:p>
          <w:p>
            <w:pPr>
              <w:pStyle w:val="36"/>
              <w:ind w:firstLine="0"/>
              <w:rPr>
                <w:b/>
                <w:bCs/>
                <w:color w:val="auto"/>
                <w:highlight w:val="none"/>
                <w:u w:val="none" w:color="auto"/>
              </w:rPr>
            </w:pPr>
            <w:r>
              <w:rPr>
                <w:rFonts w:hint="eastAsia"/>
                <w:b/>
                <w:bCs/>
                <w:color w:val="auto"/>
                <w:highlight w:val="none"/>
                <w:u w:val="none" w:color="auto"/>
              </w:rPr>
              <w:t>6、电磁辐射</w:t>
            </w:r>
          </w:p>
          <w:p>
            <w:pPr>
              <w:pStyle w:val="36"/>
              <w:rPr>
                <w:color w:val="auto"/>
                <w:kern w:val="0"/>
                <w:szCs w:val="24"/>
                <w:highlight w:val="none"/>
                <w:u w:val="none" w:color="auto"/>
              </w:rPr>
            </w:pPr>
            <w:r>
              <w:rPr>
                <w:rFonts w:hint="eastAsia"/>
                <w:color w:val="auto"/>
                <w:highlight w:val="none"/>
                <w:u w:val="none" w:color="auto"/>
              </w:rPr>
              <w:t>本项目不涉及电磁辐射设备，不进行电磁辐射影响评价，因此无需进行电磁辐射环境现状调查。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87"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环境保护</w:t>
            </w:r>
          </w:p>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目标</w:t>
            </w:r>
          </w:p>
        </w:tc>
        <w:tc>
          <w:tcPr>
            <w:tcW w:w="7884" w:type="dxa"/>
          </w:tcPr>
          <w:p>
            <w:pPr>
              <w:pStyle w:val="36"/>
              <w:rPr>
                <w:color w:val="auto"/>
                <w:highlight w:val="none"/>
                <w:u w:val="none" w:color="auto"/>
              </w:rPr>
            </w:pPr>
            <w:r>
              <w:rPr>
                <w:rFonts w:hint="eastAsia"/>
                <w:color w:val="auto"/>
                <w:highlight w:val="none"/>
                <w:u w:val="none" w:color="auto"/>
              </w:rPr>
              <w:t>（一）环境保护目标</w:t>
            </w:r>
          </w:p>
          <w:p>
            <w:pPr>
              <w:pStyle w:val="36"/>
              <w:rPr>
                <w:rFonts w:hint="eastAsia" w:eastAsia="宋体"/>
                <w:color w:val="auto"/>
                <w:highlight w:val="none"/>
                <w:u w:val="none" w:color="auto"/>
                <w:lang w:eastAsia="zh-CN"/>
              </w:rPr>
            </w:pPr>
            <w:r>
              <w:rPr>
                <w:color w:val="auto"/>
                <w:highlight w:val="none"/>
                <w:u w:val="none" w:color="auto"/>
              </w:rPr>
              <w:t>(1)</w:t>
            </w:r>
            <w:r>
              <w:rPr>
                <w:rFonts w:hint="eastAsia"/>
                <w:color w:val="auto"/>
                <w:highlight w:val="none"/>
                <w:u w:val="none" w:color="auto"/>
              </w:rPr>
              <w:t>水环境保护目标：东面</w:t>
            </w:r>
            <w:r>
              <w:rPr>
                <w:rFonts w:hint="eastAsia"/>
                <w:color w:val="auto"/>
                <w:highlight w:val="none"/>
                <w:u w:val="none" w:color="auto"/>
                <w:lang w:val="en-US" w:eastAsia="zh-CN"/>
              </w:rPr>
              <w:t>1.92k</w:t>
            </w:r>
            <w:r>
              <w:rPr>
                <w:rFonts w:hint="eastAsia"/>
                <w:color w:val="auto"/>
                <w:highlight w:val="none"/>
                <w:u w:val="none" w:color="auto"/>
              </w:rPr>
              <w:t>m</w:t>
            </w:r>
            <w:r>
              <w:rPr>
                <w:rFonts w:hint="eastAsia"/>
                <w:color w:val="auto"/>
                <w:highlight w:val="none"/>
                <w:u w:val="none" w:color="auto"/>
                <w:lang w:eastAsia="zh-CN"/>
              </w:rPr>
              <w:t>处</w:t>
            </w:r>
            <w:r>
              <w:rPr>
                <w:rFonts w:hint="eastAsia"/>
                <w:color w:val="auto"/>
                <w:highlight w:val="none"/>
                <w:u w:val="none" w:color="auto"/>
              </w:rPr>
              <w:t>亲水河</w:t>
            </w:r>
            <w:r>
              <w:rPr>
                <w:rFonts w:hint="eastAsia"/>
                <w:color w:val="auto"/>
                <w:highlight w:val="none"/>
                <w:u w:val="none" w:color="auto"/>
                <w:lang w:eastAsia="zh-CN"/>
              </w:rPr>
              <w:t>，属于湘江支流，为小河。</w:t>
            </w:r>
          </w:p>
          <w:p>
            <w:pPr>
              <w:pStyle w:val="36"/>
              <w:rPr>
                <w:rFonts w:hint="eastAsia" w:eastAsia="宋体"/>
                <w:color w:val="auto"/>
                <w:highlight w:val="none"/>
                <w:u w:val="none" w:color="auto"/>
                <w:lang w:eastAsia="zh-CN"/>
              </w:rPr>
            </w:pPr>
            <w:r>
              <w:rPr>
                <w:rFonts w:hint="eastAsia"/>
                <w:color w:val="auto"/>
                <w:highlight w:val="none"/>
                <w:u w:val="none" w:color="auto"/>
              </w:rPr>
              <w:t>纳污水体</w:t>
            </w:r>
            <w:r>
              <w:rPr>
                <w:color w:val="auto"/>
                <w:highlight w:val="none"/>
                <w:u w:val="none" w:color="auto"/>
              </w:rPr>
              <w:t>湘江“菱角山取水口下游200米至高溪市码头”段</w:t>
            </w:r>
            <w:r>
              <w:rPr>
                <w:rFonts w:hint="eastAsia"/>
                <w:color w:val="auto"/>
                <w:highlight w:val="none"/>
                <w:u w:val="none" w:color="auto"/>
              </w:rPr>
              <w:t>水质达到</w:t>
            </w:r>
            <w:r>
              <w:rPr>
                <w:color w:val="auto"/>
                <w:highlight w:val="none"/>
                <w:u w:val="none" w:color="auto"/>
              </w:rPr>
              <w:t>GB3838-2002</w:t>
            </w:r>
            <w:r>
              <w:rPr>
                <w:rFonts w:hint="eastAsia"/>
                <w:color w:val="auto"/>
                <w:highlight w:val="none"/>
                <w:u w:val="none" w:color="auto"/>
              </w:rPr>
              <w:t>《地表水环境质量标准》Ⅳ类水质标准</w:t>
            </w:r>
            <w:r>
              <w:rPr>
                <w:rFonts w:hint="eastAsia"/>
                <w:color w:val="auto"/>
                <w:highlight w:val="none"/>
                <w:u w:val="none" w:color="auto"/>
                <w:lang w:eastAsia="zh-CN"/>
              </w:rPr>
              <w:t>。</w:t>
            </w:r>
          </w:p>
          <w:p>
            <w:pPr>
              <w:pStyle w:val="36"/>
              <w:rPr>
                <w:color w:val="auto"/>
                <w:highlight w:val="none"/>
                <w:u w:val="none" w:color="auto"/>
              </w:rPr>
            </w:pPr>
            <w:r>
              <w:rPr>
                <w:color w:val="auto"/>
                <w:highlight w:val="none"/>
                <w:u w:val="none" w:color="auto"/>
              </w:rPr>
              <w:t>(2)</w:t>
            </w:r>
            <w:r>
              <w:rPr>
                <w:rFonts w:hint="eastAsia"/>
                <w:color w:val="auto"/>
                <w:highlight w:val="none"/>
                <w:u w:val="none" w:color="auto"/>
              </w:rPr>
              <w:t>大气环境保护目标：</w:t>
            </w:r>
          </w:p>
          <w:p>
            <w:pPr>
              <w:pStyle w:val="36"/>
              <w:rPr>
                <w:color w:val="auto"/>
                <w:highlight w:val="none"/>
                <w:u w:val="none" w:color="auto"/>
              </w:rPr>
            </w:pPr>
            <w:r>
              <w:rPr>
                <w:rFonts w:hint="eastAsia"/>
                <w:color w:val="auto"/>
                <w:highlight w:val="none"/>
                <w:u w:val="none" w:color="auto"/>
                <w:lang w:val="en-US" w:eastAsia="zh-CN"/>
              </w:rPr>
              <w:t>环境空气考虑周边500m范围内的敏感点情况均为工业厂房，</w:t>
            </w:r>
            <w:r>
              <w:rPr>
                <w:rFonts w:hint="eastAsia"/>
                <w:color w:val="auto"/>
                <w:highlight w:val="none"/>
                <w:u w:val="none" w:color="auto"/>
              </w:rPr>
              <w:t>厂界外500米范围内无自然保护区、风景名胜区、居住区、文化区，项目所在区环境空气质量满足</w:t>
            </w:r>
            <w:r>
              <w:rPr>
                <w:color w:val="auto"/>
                <w:highlight w:val="none"/>
                <w:u w:val="none" w:color="auto"/>
              </w:rPr>
              <w:t>GB3096-2012</w:t>
            </w:r>
            <w:r>
              <w:rPr>
                <w:rFonts w:hint="eastAsia"/>
                <w:color w:val="auto"/>
                <w:highlight w:val="none"/>
                <w:u w:val="none" w:color="auto"/>
              </w:rPr>
              <w:t>《环境空气质量标准》二级标准。</w:t>
            </w:r>
          </w:p>
          <w:p>
            <w:pPr>
              <w:pStyle w:val="36"/>
              <w:rPr>
                <w:color w:val="auto"/>
                <w:highlight w:val="none"/>
                <w:u w:val="none" w:color="auto"/>
              </w:rPr>
            </w:pPr>
            <w:r>
              <w:rPr>
                <w:color w:val="auto"/>
                <w:highlight w:val="none"/>
                <w:u w:val="none" w:color="auto"/>
              </w:rPr>
              <w:t>(3)</w:t>
            </w:r>
            <w:r>
              <w:rPr>
                <w:rFonts w:hint="eastAsia"/>
                <w:color w:val="auto"/>
                <w:highlight w:val="none"/>
                <w:u w:val="none" w:color="auto"/>
              </w:rPr>
              <w:t>声环境保护目标：</w:t>
            </w:r>
          </w:p>
          <w:p>
            <w:pPr>
              <w:pStyle w:val="36"/>
              <w:rPr>
                <w:color w:val="auto"/>
                <w:highlight w:val="none"/>
                <w:u w:val="none" w:color="auto"/>
              </w:rPr>
            </w:pPr>
            <w:r>
              <w:rPr>
                <w:rFonts w:hint="eastAsia"/>
                <w:color w:val="auto"/>
                <w:highlight w:val="none"/>
                <w:u w:val="none" w:color="auto"/>
              </w:rPr>
              <w:t>项目所在区声环境质量达</w:t>
            </w:r>
            <w:r>
              <w:rPr>
                <w:color w:val="auto"/>
                <w:highlight w:val="none"/>
                <w:u w:val="none" w:color="auto"/>
              </w:rPr>
              <w:t>GB3096-2008</w:t>
            </w:r>
            <w:r>
              <w:rPr>
                <w:rFonts w:hint="eastAsia"/>
                <w:color w:val="auto"/>
                <w:highlight w:val="none"/>
                <w:u w:val="none" w:color="auto"/>
              </w:rPr>
              <w:t>《声环境质量标准》3类标准。</w:t>
            </w:r>
          </w:p>
          <w:p>
            <w:pPr>
              <w:pStyle w:val="36"/>
              <w:rPr>
                <w:color w:val="auto"/>
                <w:highlight w:val="none"/>
                <w:u w:val="none" w:color="auto"/>
              </w:rPr>
            </w:pPr>
            <w:r>
              <w:rPr>
                <w:rFonts w:hint="eastAsia"/>
                <w:color w:val="auto"/>
                <w:highlight w:val="none"/>
                <w:u w:val="none" w:color="auto"/>
              </w:rPr>
              <w:t>（4）地下水环境保护目标</w:t>
            </w:r>
          </w:p>
          <w:p>
            <w:pPr>
              <w:pStyle w:val="36"/>
              <w:rPr>
                <w:color w:val="auto"/>
                <w:kern w:val="0"/>
                <w:sz w:val="24"/>
                <w:szCs w:val="24"/>
                <w:highlight w:val="none"/>
                <w:u w:val="none" w:color="auto"/>
              </w:rPr>
            </w:pPr>
            <w:r>
              <w:rPr>
                <w:rFonts w:hint="eastAsia"/>
                <w:color w:val="auto"/>
                <w:highlight w:val="none"/>
                <w:u w:val="none" w:color="auto"/>
              </w:rPr>
              <w:t>厂界外500米范围内无地下水集中式饮用水水源和热水、矿泉水、温泉等特殊地下水资源。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污染物排放控制标准</w:t>
            </w:r>
          </w:p>
        </w:tc>
        <w:tc>
          <w:tcPr>
            <w:tcW w:w="7884" w:type="dxa"/>
          </w:tcPr>
          <w:p>
            <w:pPr>
              <w:spacing w:line="360" w:lineRule="auto"/>
              <w:rPr>
                <w:b/>
                <w:bCs/>
                <w:color w:val="auto"/>
                <w:kern w:val="0"/>
                <w:sz w:val="24"/>
                <w:szCs w:val="24"/>
                <w:highlight w:val="none"/>
                <w:u w:val="none" w:color="auto"/>
              </w:rPr>
            </w:pPr>
            <w:r>
              <w:rPr>
                <w:rFonts w:hint="eastAsia"/>
                <w:b/>
                <w:bCs/>
                <w:color w:val="auto"/>
                <w:kern w:val="0"/>
                <w:sz w:val="24"/>
                <w:szCs w:val="24"/>
                <w:highlight w:val="none"/>
                <w:u w:val="none" w:color="auto"/>
              </w:rPr>
              <w:t>1、废气排放标准</w:t>
            </w:r>
          </w:p>
          <w:p>
            <w:pPr>
              <w:spacing w:line="360" w:lineRule="auto"/>
              <w:ind w:firstLine="480" w:firstLineChars="200"/>
              <w:rPr>
                <w:bCs/>
                <w:color w:val="auto"/>
                <w:sz w:val="24"/>
                <w:highlight w:val="none"/>
                <w:u w:val="none" w:color="auto"/>
              </w:rPr>
            </w:pPr>
            <w:r>
              <w:rPr>
                <w:bCs/>
                <w:color w:val="auto"/>
                <w:sz w:val="24"/>
                <w:highlight w:val="none"/>
                <w:u w:val="none" w:color="auto"/>
              </w:rPr>
              <w:t>本项目施工期废气执行《大气污染物综合排放标准》（GB16297-1996）中无组织排放监控浓度值；</w:t>
            </w:r>
          </w:p>
          <w:p>
            <w:pPr>
              <w:spacing w:line="360" w:lineRule="auto"/>
              <w:ind w:firstLine="480" w:firstLineChars="200"/>
              <w:rPr>
                <w:rFonts w:hint="eastAsia" w:eastAsia="宋体"/>
                <w:bCs/>
                <w:color w:val="auto"/>
                <w:sz w:val="24"/>
                <w:szCs w:val="24"/>
                <w:highlight w:val="none"/>
                <w:u w:val="none" w:color="auto"/>
                <w:lang w:val="en-US" w:eastAsia="zh-CN"/>
              </w:rPr>
            </w:pPr>
            <w:r>
              <w:rPr>
                <w:bCs/>
                <w:color w:val="auto"/>
                <w:sz w:val="24"/>
                <w:highlight w:val="none"/>
                <w:u w:val="none" w:color="auto"/>
              </w:rPr>
              <w:t>本项目营运期</w:t>
            </w:r>
            <w:r>
              <w:rPr>
                <w:rFonts w:hint="eastAsia"/>
                <w:bCs/>
                <w:color w:val="auto"/>
                <w:sz w:val="24"/>
                <w:highlight w:val="none"/>
                <w:u w:val="none" w:color="auto"/>
                <w:lang w:val="en-US" w:eastAsia="zh-CN"/>
              </w:rPr>
              <w:t>有组织排放颗粒物（</w:t>
            </w:r>
            <w:r>
              <w:rPr>
                <w:rFonts w:hint="eastAsia"/>
                <w:color w:val="auto"/>
                <w:sz w:val="24"/>
                <w:highlight w:val="none"/>
                <w:u w:val="none" w:color="auto"/>
              </w:rPr>
              <w:t>锡及其化合物</w:t>
            </w:r>
            <w:r>
              <w:rPr>
                <w:rFonts w:hint="eastAsia"/>
                <w:bCs/>
                <w:color w:val="auto"/>
                <w:sz w:val="24"/>
                <w:highlight w:val="none"/>
                <w:u w:val="none" w:color="auto"/>
                <w:lang w:val="en-US" w:eastAsia="zh-CN"/>
              </w:rPr>
              <w:t>）、</w:t>
            </w:r>
            <w:r>
              <w:rPr>
                <w:rFonts w:hint="eastAsia"/>
                <w:color w:val="auto"/>
                <w:sz w:val="24"/>
                <w:highlight w:val="none"/>
                <w:u w:val="none" w:color="auto"/>
                <w:lang w:val="en-US" w:eastAsia="zh-CN"/>
              </w:rPr>
              <w:t>非甲烷总烃</w:t>
            </w:r>
            <w:r>
              <w:rPr>
                <w:rFonts w:hint="eastAsia"/>
                <w:color w:val="auto"/>
                <w:sz w:val="24"/>
                <w:highlight w:val="none"/>
                <w:u w:val="none" w:color="auto"/>
                <w:lang w:eastAsia="zh-CN"/>
              </w:rPr>
              <w:t>、</w:t>
            </w:r>
            <w:r>
              <w:rPr>
                <w:rFonts w:hint="eastAsia"/>
                <w:color w:val="auto"/>
                <w:sz w:val="24"/>
                <w:highlight w:val="none"/>
                <w:u w:val="none" w:color="auto"/>
                <w:lang w:val="en-US" w:eastAsia="zh-CN"/>
              </w:rPr>
              <w:t>二甲苯</w:t>
            </w:r>
            <w:r>
              <w:rPr>
                <w:rFonts w:hint="eastAsia"/>
                <w:color w:val="auto"/>
                <w:sz w:val="24"/>
                <w:highlight w:val="none"/>
                <w:u w:val="none" w:color="auto"/>
              </w:rPr>
              <w:t>执行《大气污染物综合排放标准》(GB16297- 1996)中</w:t>
            </w:r>
            <w:r>
              <w:rPr>
                <w:color w:val="auto"/>
                <w:sz w:val="24"/>
                <w:highlight w:val="none"/>
                <w:u w:val="none" w:color="auto"/>
              </w:rPr>
              <w:t>表2新污染源大气污染物排放限值要求</w:t>
            </w:r>
            <w:r>
              <w:rPr>
                <w:rFonts w:hint="eastAsia"/>
                <w:color w:val="auto"/>
                <w:sz w:val="24"/>
                <w:highlight w:val="none"/>
                <w:u w:val="none" w:color="auto"/>
              </w:rPr>
              <w:t>；</w:t>
            </w:r>
            <w:r>
              <w:rPr>
                <w:rFonts w:hint="eastAsia" w:ascii="Times New Roman" w:hAnsi="Times New Roman" w:eastAsia="宋体" w:cs="Times New Roman"/>
                <w:color w:val="auto"/>
                <w:sz w:val="24"/>
                <w:highlight w:val="none"/>
                <w:u w:val="none" w:color="auto"/>
              </w:rPr>
              <w:t>无组织排放</w:t>
            </w:r>
            <w:r>
              <w:rPr>
                <w:rFonts w:hint="eastAsia" w:ascii="Times New Roman" w:hAnsi="Times New Roman" w:eastAsia="宋体" w:cs="Times New Roman"/>
                <w:color w:val="auto"/>
                <w:sz w:val="24"/>
                <w:highlight w:val="none"/>
                <w:u w:val="none" w:color="auto"/>
                <w:lang w:val="en-US" w:eastAsia="zh-CN"/>
              </w:rPr>
              <w:t>非甲烷总烃</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二甲苯、颗粒物</w:t>
            </w:r>
            <w:r>
              <w:rPr>
                <w:rFonts w:hint="eastAsia" w:ascii="Times New Roman" w:hAnsi="Times New Roman" w:eastAsia="宋体" w:cs="Times New Roman"/>
                <w:color w:val="auto"/>
                <w:sz w:val="24"/>
                <w:highlight w:val="none"/>
                <w:u w:val="none" w:color="auto"/>
              </w:rPr>
              <w:t>执行</w:t>
            </w:r>
            <w:r>
              <w:rPr>
                <w:rFonts w:hint="default" w:ascii="Times New Roman" w:hAnsi="Times New Roman" w:eastAsia="宋体" w:cs="Times New Roman"/>
                <w:color w:val="auto"/>
                <w:sz w:val="24"/>
                <w:highlight w:val="none"/>
                <w:u w:val="none" w:color="auto"/>
              </w:rPr>
              <w:t>《</w:t>
            </w:r>
            <w:r>
              <w:rPr>
                <w:rFonts w:hint="default" w:ascii="Times New Roman" w:hAnsi="Times New Roman" w:eastAsia="宋体" w:cs="Times New Roman"/>
                <w:color w:val="auto"/>
                <w:sz w:val="24"/>
                <w:highlight w:val="none"/>
                <w:u w:val="none" w:color="auto"/>
                <w:lang w:eastAsia="zh-CN"/>
              </w:rPr>
              <w:t>大气污染物综合排放标准</w:t>
            </w:r>
            <w:r>
              <w:rPr>
                <w:rFonts w:hint="default" w:ascii="Times New Roman" w:hAnsi="Times New Roman" w:eastAsia="宋体" w:cs="Times New Roman"/>
                <w:color w:val="auto"/>
                <w:sz w:val="24"/>
                <w:highlight w:val="none"/>
                <w:u w:val="none" w:color="auto"/>
              </w:rPr>
              <w:t>》</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GB</w:t>
            </w:r>
            <w:r>
              <w:rPr>
                <w:rFonts w:hint="default" w:ascii="Times New Roman" w:hAnsi="Times New Roman" w:eastAsia="宋体" w:cs="Times New Roman"/>
                <w:color w:val="auto"/>
                <w:sz w:val="24"/>
                <w:highlight w:val="none"/>
                <w:u w:val="none" w:color="auto"/>
                <w:lang w:val="en-US" w:eastAsia="zh-CN"/>
              </w:rPr>
              <w:t>16297-1996</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表2无组织排放监控浓度限值，</w:t>
            </w:r>
            <w:r>
              <w:rPr>
                <w:rFonts w:hint="eastAsia" w:eastAsia="宋体"/>
                <w:color w:val="auto"/>
                <w:sz w:val="24"/>
                <w:highlight w:val="none"/>
                <w:u w:val="none" w:color="auto"/>
                <w:lang w:val="en-US" w:eastAsia="zh-CN"/>
              </w:rPr>
              <w:t>臭气浓度</w:t>
            </w:r>
            <w:r>
              <w:rPr>
                <w:color w:val="auto"/>
                <w:sz w:val="24"/>
                <w:highlight w:val="none"/>
                <w:u w:val="none" w:color="auto"/>
              </w:rPr>
              <w:t>执行《恶臭污染物排放标准》（GB14554-93）标准</w:t>
            </w:r>
            <w:r>
              <w:rPr>
                <w:rFonts w:hint="eastAsia"/>
                <w:bCs/>
                <w:color w:val="auto"/>
                <w:sz w:val="24"/>
                <w:szCs w:val="24"/>
                <w:highlight w:val="none"/>
                <w:u w:val="none" w:color="auto"/>
                <w:lang w:val="en-US" w:eastAsia="zh-CN"/>
              </w:rPr>
              <w:t>。</w:t>
            </w:r>
          </w:p>
          <w:p>
            <w:pPr>
              <w:pStyle w:val="47"/>
              <w:spacing w:line="240" w:lineRule="auto"/>
              <w:ind w:right="63" w:rightChars="30" w:firstLine="632" w:firstLineChars="300"/>
              <w:rPr>
                <w:rFonts w:ascii="宋体" w:hAnsi="宋体" w:eastAsia="宋体" w:cs="宋体"/>
                <w:b/>
                <w:bCs/>
                <w:color w:val="auto"/>
                <w:kern w:val="2"/>
                <w:sz w:val="21"/>
                <w:highlight w:val="none"/>
                <w:u w:val="none" w:color="auto"/>
              </w:rPr>
            </w:pPr>
            <w:r>
              <w:rPr>
                <w:rFonts w:hint="eastAsia" w:ascii="宋体" w:hAnsi="宋体" w:eastAsia="宋体" w:cs="宋体"/>
                <w:b/>
                <w:bCs/>
                <w:color w:val="auto"/>
                <w:kern w:val="2"/>
                <w:sz w:val="21"/>
                <w:highlight w:val="none"/>
                <w:u w:val="none" w:color="auto"/>
              </w:rPr>
              <w:t>表3-</w:t>
            </w:r>
            <w:r>
              <w:rPr>
                <w:rFonts w:hint="eastAsia" w:ascii="宋体" w:hAnsi="宋体" w:eastAsia="宋体" w:cs="宋体"/>
                <w:b/>
                <w:bCs/>
                <w:color w:val="auto"/>
                <w:kern w:val="2"/>
                <w:sz w:val="21"/>
                <w:highlight w:val="none"/>
                <w:u w:val="none" w:color="auto"/>
                <w:lang w:val="en-US" w:eastAsia="zh-CN"/>
              </w:rPr>
              <w:t>4</w:t>
            </w:r>
            <w:r>
              <w:rPr>
                <w:rFonts w:hint="eastAsia" w:ascii="宋体" w:hAnsi="宋体" w:eastAsia="宋体" w:cs="宋体"/>
                <w:b/>
                <w:bCs/>
                <w:color w:val="auto"/>
                <w:kern w:val="2"/>
                <w:sz w:val="21"/>
                <w:highlight w:val="none"/>
                <w:u w:val="none" w:color="auto"/>
              </w:rPr>
              <w:t xml:space="preserve">  《大气污染物综合排放标准》GB16297-1996 </w:t>
            </w:r>
          </w:p>
          <w:tbl>
            <w:tblPr>
              <w:tblStyle w:val="26"/>
              <w:tblW w:w="76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99" w:type="dxa"/>
                <w:bottom w:w="0" w:type="dxa"/>
                <w:right w:w="99" w:type="dxa"/>
              </w:tblCellMar>
            </w:tblPr>
            <w:tblGrid>
              <w:gridCol w:w="1348"/>
              <w:gridCol w:w="1557"/>
              <w:gridCol w:w="1223"/>
              <w:gridCol w:w="928"/>
              <w:gridCol w:w="1428"/>
              <w:gridCol w:w="1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600" w:hRule="atLeast"/>
                <w:jc w:val="center"/>
              </w:trPr>
              <w:tc>
                <w:tcPr>
                  <w:tcW w:w="1348" w:type="dxa"/>
                  <w:vMerge w:val="restart"/>
                  <w:vAlign w:val="center"/>
                </w:tcPr>
                <w:p>
                  <w:pPr>
                    <w:jc w:val="center"/>
                    <w:rPr>
                      <w:bCs/>
                      <w:color w:val="auto"/>
                      <w:szCs w:val="21"/>
                      <w:highlight w:val="none"/>
                      <w:u w:val="none" w:color="auto"/>
                    </w:rPr>
                  </w:pPr>
                  <w:r>
                    <w:rPr>
                      <w:bCs/>
                      <w:color w:val="auto"/>
                      <w:szCs w:val="21"/>
                      <w:highlight w:val="none"/>
                      <w:u w:val="none" w:color="auto"/>
                    </w:rPr>
                    <w:t>污染物</w:t>
                  </w:r>
                </w:p>
              </w:tc>
              <w:tc>
                <w:tcPr>
                  <w:tcW w:w="1557" w:type="dxa"/>
                  <w:vMerge w:val="restart"/>
                  <w:vAlign w:val="center"/>
                </w:tcPr>
                <w:p>
                  <w:pPr>
                    <w:jc w:val="center"/>
                    <w:rPr>
                      <w:bCs/>
                      <w:color w:val="auto"/>
                      <w:szCs w:val="21"/>
                      <w:highlight w:val="none"/>
                      <w:u w:val="none" w:color="auto"/>
                    </w:rPr>
                  </w:pPr>
                  <w:r>
                    <w:rPr>
                      <w:bCs/>
                      <w:color w:val="auto"/>
                      <w:szCs w:val="21"/>
                      <w:highlight w:val="none"/>
                      <w:u w:val="none" w:color="auto"/>
                    </w:rPr>
                    <w:t>最高允许排放浓度(mg/m</w:t>
                  </w:r>
                  <w:r>
                    <w:rPr>
                      <w:bCs/>
                      <w:color w:val="auto"/>
                      <w:szCs w:val="21"/>
                      <w:highlight w:val="none"/>
                      <w:u w:val="none" w:color="auto"/>
                      <w:vertAlign w:val="superscript"/>
                    </w:rPr>
                    <w:t>3</w:t>
                  </w:r>
                  <w:r>
                    <w:rPr>
                      <w:bCs/>
                      <w:color w:val="auto"/>
                      <w:szCs w:val="21"/>
                      <w:highlight w:val="none"/>
                      <w:u w:val="none" w:color="auto"/>
                    </w:rPr>
                    <w:t>)</w:t>
                  </w:r>
                </w:p>
              </w:tc>
              <w:tc>
                <w:tcPr>
                  <w:tcW w:w="2151" w:type="dxa"/>
                  <w:gridSpan w:val="2"/>
                  <w:vAlign w:val="center"/>
                </w:tcPr>
                <w:p>
                  <w:pPr>
                    <w:jc w:val="center"/>
                    <w:rPr>
                      <w:bCs/>
                      <w:color w:val="auto"/>
                      <w:szCs w:val="21"/>
                      <w:highlight w:val="none"/>
                      <w:u w:val="none" w:color="auto"/>
                    </w:rPr>
                  </w:pPr>
                  <w:r>
                    <w:rPr>
                      <w:bCs/>
                      <w:color w:val="auto"/>
                      <w:szCs w:val="21"/>
                      <w:highlight w:val="none"/>
                      <w:u w:val="none" w:color="auto"/>
                    </w:rPr>
                    <w:t>最高允许排放速率</w:t>
                  </w:r>
                </w:p>
              </w:tc>
              <w:tc>
                <w:tcPr>
                  <w:tcW w:w="2622" w:type="dxa"/>
                  <w:gridSpan w:val="2"/>
                  <w:vAlign w:val="center"/>
                </w:tcPr>
                <w:p>
                  <w:pPr>
                    <w:jc w:val="center"/>
                    <w:rPr>
                      <w:bCs/>
                      <w:color w:val="auto"/>
                      <w:szCs w:val="21"/>
                      <w:highlight w:val="none"/>
                      <w:u w:val="none" w:color="auto"/>
                    </w:rPr>
                  </w:pPr>
                  <w:r>
                    <w:rPr>
                      <w:bCs/>
                      <w:color w:val="auto"/>
                      <w:szCs w:val="21"/>
                      <w:highlight w:val="none"/>
                      <w:u w:val="none" w:color="auto"/>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587" w:hRule="atLeast"/>
                <w:jc w:val="center"/>
              </w:trPr>
              <w:tc>
                <w:tcPr>
                  <w:tcW w:w="1348" w:type="dxa"/>
                  <w:vMerge w:val="continue"/>
                </w:tcPr>
                <w:p>
                  <w:pPr>
                    <w:jc w:val="center"/>
                    <w:rPr>
                      <w:bCs/>
                      <w:color w:val="auto"/>
                      <w:szCs w:val="21"/>
                      <w:highlight w:val="none"/>
                      <w:u w:val="none" w:color="auto"/>
                    </w:rPr>
                  </w:pPr>
                </w:p>
              </w:tc>
              <w:tc>
                <w:tcPr>
                  <w:tcW w:w="1557" w:type="dxa"/>
                  <w:vMerge w:val="continue"/>
                  <w:vAlign w:val="center"/>
                </w:tcPr>
                <w:p>
                  <w:pPr>
                    <w:jc w:val="center"/>
                    <w:rPr>
                      <w:bCs/>
                      <w:color w:val="auto"/>
                      <w:szCs w:val="21"/>
                      <w:highlight w:val="none"/>
                      <w:u w:val="none" w:color="auto"/>
                    </w:rPr>
                  </w:pPr>
                </w:p>
              </w:tc>
              <w:tc>
                <w:tcPr>
                  <w:tcW w:w="1223" w:type="dxa"/>
                  <w:vAlign w:val="center"/>
                </w:tcPr>
                <w:p>
                  <w:pPr>
                    <w:jc w:val="center"/>
                    <w:rPr>
                      <w:bCs/>
                      <w:color w:val="auto"/>
                      <w:szCs w:val="21"/>
                      <w:highlight w:val="none"/>
                      <w:u w:val="none" w:color="auto"/>
                    </w:rPr>
                  </w:pPr>
                  <w:r>
                    <w:rPr>
                      <w:bCs/>
                      <w:color w:val="auto"/>
                      <w:szCs w:val="21"/>
                      <w:highlight w:val="none"/>
                      <w:u w:val="none" w:color="auto"/>
                    </w:rPr>
                    <w:t>排气筒(m)</w:t>
                  </w:r>
                </w:p>
              </w:tc>
              <w:tc>
                <w:tcPr>
                  <w:tcW w:w="928" w:type="dxa"/>
                  <w:vAlign w:val="center"/>
                </w:tcPr>
                <w:p>
                  <w:pPr>
                    <w:jc w:val="center"/>
                    <w:rPr>
                      <w:bCs/>
                      <w:color w:val="auto"/>
                      <w:szCs w:val="21"/>
                      <w:highlight w:val="none"/>
                      <w:u w:val="none" w:color="auto"/>
                    </w:rPr>
                  </w:pPr>
                  <w:r>
                    <w:rPr>
                      <w:bCs/>
                      <w:color w:val="auto"/>
                      <w:szCs w:val="21"/>
                      <w:highlight w:val="none"/>
                      <w:u w:val="none" w:color="auto"/>
                    </w:rPr>
                    <w:t>二级</w:t>
                  </w:r>
                </w:p>
                <w:p>
                  <w:pPr>
                    <w:jc w:val="center"/>
                    <w:rPr>
                      <w:bCs/>
                      <w:color w:val="auto"/>
                      <w:szCs w:val="21"/>
                      <w:highlight w:val="none"/>
                      <w:u w:val="none" w:color="auto"/>
                    </w:rPr>
                  </w:pPr>
                  <w:r>
                    <w:rPr>
                      <w:bCs/>
                      <w:color w:val="auto"/>
                      <w:szCs w:val="21"/>
                      <w:highlight w:val="none"/>
                      <w:u w:val="none" w:color="auto"/>
                    </w:rPr>
                    <w:t>(kg/h)</w:t>
                  </w:r>
                </w:p>
              </w:tc>
              <w:tc>
                <w:tcPr>
                  <w:tcW w:w="1428" w:type="dxa"/>
                  <w:vAlign w:val="center"/>
                </w:tcPr>
                <w:p>
                  <w:pPr>
                    <w:jc w:val="center"/>
                    <w:rPr>
                      <w:bCs/>
                      <w:color w:val="auto"/>
                      <w:szCs w:val="21"/>
                      <w:highlight w:val="none"/>
                      <w:u w:val="none" w:color="auto"/>
                    </w:rPr>
                  </w:pPr>
                  <w:r>
                    <w:rPr>
                      <w:bCs/>
                      <w:color w:val="auto"/>
                      <w:szCs w:val="21"/>
                      <w:highlight w:val="none"/>
                      <w:u w:val="none" w:color="auto"/>
                    </w:rPr>
                    <w:t>监控点</w:t>
                  </w:r>
                </w:p>
              </w:tc>
              <w:tc>
                <w:tcPr>
                  <w:tcW w:w="1194" w:type="dxa"/>
                  <w:vAlign w:val="center"/>
                </w:tcPr>
                <w:p>
                  <w:pPr>
                    <w:jc w:val="center"/>
                    <w:rPr>
                      <w:bCs/>
                      <w:color w:val="auto"/>
                      <w:szCs w:val="21"/>
                      <w:highlight w:val="none"/>
                      <w:u w:val="none" w:color="auto"/>
                    </w:rPr>
                  </w:pPr>
                  <w:r>
                    <w:rPr>
                      <w:bCs/>
                      <w:color w:val="auto"/>
                      <w:szCs w:val="21"/>
                      <w:highlight w:val="none"/>
                      <w:u w:val="none" w:color="auto"/>
                    </w:rPr>
                    <w:t>浓度（mg/m</w:t>
                  </w:r>
                  <w:r>
                    <w:rPr>
                      <w:bCs/>
                      <w:color w:val="auto"/>
                      <w:szCs w:val="21"/>
                      <w:highlight w:val="none"/>
                      <w:u w:val="none" w:color="auto"/>
                      <w:vertAlign w:val="superscript"/>
                    </w:rPr>
                    <w:t>3</w:t>
                  </w:r>
                  <w:r>
                    <w:rPr>
                      <w:bCs/>
                      <w:color w:val="auto"/>
                      <w:szCs w:val="21"/>
                      <w:highlight w:val="none"/>
                      <w:u w:val="non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3" w:hRule="atLeast"/>
                <w:jc w:val="center"/>
              </w:trPr>
              <w:tc>
                <w:tcPr>
                  <w:tcW w:w="1348" w:type="dxa"/>
                  <w:vMerge w:val="restart"/>
                  <w:vAlign w:val="center"/>
                </w:tcPr>
                <w:p>
                  <w:pPr>
                    <w:jc w:val="center"/>
                    <w:rPr>
                      <w:bCs/>
                      <w:color w:val="auto"/>
                      <w:szCs w:val="21"/>
                      <w:highlight w:val="none"/>
                      <w:u w:val="none" w:color="auto"/>
                    </w:rPr>
                  </w:pPr>
                  <w:r>
                    <w:rPr>
                      <w:bCs/>
                      <w:color w:val="auto"/>
                      <w:szCs w:val="21"/>
                      <w:highlight w:val="none"/>
                      <w:u w:val="none" w:color="auto"/>
                    </w:rPr>
                    <w:t>颗粒物</w:t>
                  </w:r>
                </w:p>
              </w:tc>
              <w:tc>
                <w:tcPr>
                  <w:tcW w:w="1557" w:type="dxa"/>
                  <w:vMerge w:val="restart"/>
                  <w:vAlign w:val="center"/>
                </w:tcPr>
                <w:p>
                  <w:pPr>
                    <w:jc w:val="center"/>
                    <w:rPr>
                      <w:bCs/>
                      <w:color w:val="auto"/>
                      <w:szCs w:val="21"/>
                      <w:highlight w:val="none"/>
                      <w:u w:val="none" w:color="auto"/>
                    </w:rPr>
                  </w:pPr>
                  <w:r>
                    <w:rPr>
                      <w:bCs/>
                      <w:color w:val="auto"/>
                      <w:szCs w:val="21"/>
                      <w:highlight w:val="none"/>
                      <w:u w:val="none" w:color="auto"/>
                    </w:rPr>
                    <w:t>120</w:t>
                  </w:r>
                </w:p>
              </w:tc>
              <w:tc>
                <w:tcPr>
                  <w:tcW w:w="1223" w:type="dxa"/>
                  <w:vAlign w:val="center"/>
                </w:tcPr>
                <w:p>
                  <w:pPr>
                    <w:jc w:val="center"/>
                    <w:rPr>
                      <w:bCs/>
                      <w:color w:val="auto"/>
                      <w:szCs w:val="21"/>
                      <w:highlight w:val="none"/>
                      <w:u w:val="none" w:color="auto"/>
                    </w:rPr>
                  </w:pPr>
                  <w:r>
                    <w:rPr>
                      <w:rFonts w:hint="eastAsia" w:eastAsia="宋体"/>
                      <w:bCs/>
                      <w:color w:val="auto"/>
                      <w:szCs w:val="21"/>
                      <w:highlight w:val="none"/>
                      <w:u w:val="none" w:color="auto"/>
                      <w:lang w:val="en-US" w:eastAsia="zh-CN"/>
                    </w:rPr>
                    <w:t>20</w:t>
                  </w:r>
                </w:p>
              </w:tc>
              <w:tc>
                <w:tcPr>
                  <w:tcW w:w="928" w:type="dxa"/>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5.9</w:t>
                  </w:r>
                </w:p>
              </w:tc>
              <w:tc>
                <w:tcPr>
                  <w:tcW w:w="1428" w:type="dxa"/>
                  <w:vMerge w:val="restart"/>
                  <w:vAlign w:val="center"/>
                </w:tcPr>
                <w:p>
                  <w:pPr>
                    <w:jc w:val="center"/>
                    <w:rPr>
                      <w:bCs/>
                      <w:color w:val="auto"/>
                      <w:szCs w:val="21"/>
                      <w:highlight w:val="none"/>
                      <w:u w:val="none" w:color="auto"/>
                    </w:rPr>
                  </w:pPr>
                  <w:r>
                    <w:rPr>
                      <w:bCs/>
                      <w:color w:val="auto"/>
                      <w:szCs w:val="21"/>
                      <w:highlight w:val="none"/>
                      <w:u w:val="none" w:color="auto"/>
                    </w:rPr>
                    <w:t>周界外浓度最高点</w:t>
                  </w:r>
                </w:p>
              </w:tc>
              <w:tc>
                <w:tcPr>
                  <w:tcW w:w="1194" w:type="dxa"/>
                  <w:vMerge w:val="restart"/>
                  <w:vAlign w:val="center"/>
                </w:tcPr>
                <w:p>
                  <w:pPr>
                    <w:jc w:val="center"/>
                    <w:rPr>
                      <w:bCs/>
                      <w:color w:val="auto"/>
                      <w:szCs w:val="21"/>
                      <w:highlight w:val="none"/>
                      <w:u w:val="none" w:color="auto"/>
                    </w:rPr>
                  </w:pPr>
                  <w:r>
                    <w:rPr>
                      <w:bCs/>
                      <w:color w:val="auto"/>
                      <w:szCs w:val="21"/>
                      <w:highlight w:val="none"/>
                      <w:u w:val="none" w:color="auto"/>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3" w:hRule="atLeast"/>
                <w:jc w:val="center"/>
              </w:trPr>
              <w:tc>
                <w:tcPr>
                  <w:tcW w:w="1348" w:type="dxa"/>
                  <w:vMerge w:val="continue"/>
                  <w:vAlign w:val="center"/>
                </w:tcPr>
                <w:p>
                  <w:pPr>
                    <w:jc w:val="center"/>
                    <w:rPr>
                      <w:color w:val="auto"/>
                      <w:highlight w:val="none"/>
                      <w:u w:val="none" w:color="auto"/>
                    </w:rPr>
                  </w:pPr>
                </w:p>
              </w:tc>
              <w:tc>
                <w:tcPr>
                  <w:tcW w:w="1557" w:type="dxa"/>
                  <w:vMerge w:val="continue"/>
                  <w:vAlign w:val="center"/>
                </w:tcPr>
                <w:p>
                  <w:pPr>
                    <w:jc w:val="center"/>
                    <w:rPr>
                      <w:color w:val="auto"/>
                      <w:highlight w:val="none"/>
                      <w:u w:val="none" w:color="auto"/>
                    </w:rPr>
                  </w:pPr>
                </w:p>
              </w:tc>
              <w:tc>
                <w:tcPr>
                  <w:tcW w:w="1223" w:type="dxa"/>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26</w:t>
                  </w:r>
                </w:p>
              </w:tc>
              <w:tc>
                <w:tcPr>
                  <w:tcW w:w="928" w:type="dxa"/>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16.16</w:t>
                  </w:r>
                </w:p>
              </w:tc>
              <w:tc>
                <w:tcPr>
                  <w:tcW w:w="1428" w:type="dxa"/>
                  <w:vMerge w:val="continue"/>
                  <w:vAlign w:val="center"/>
                </w:tcPr>
                <w:p>
                  <w:pPr>
                    <w:jc w:val="center"/>
                    <w:rPr>
                      <w:bCs/>
                      <w:color w:val="auto"/>
                      <w:szCs w:val="21"/>
                      <w:highlight w:val="none"/>
                      <w:u w:val="none" w:color="auto"/>
                    </w:rPr>
                  </w:pPr>
                </w:p>
              </w:tc>
              <w:tc>
                <w:tcPr>
                  <w:tcW w:w="1194" w:type="dxa"/>
                  <w:vMerge w:val="continue"/>
                  <w:vAlign w:val="center"/>
                </w:tcPr>
                <w:p>
                  <w:pPr>
                    <w:jc w:val="center"/>
                    <w:rPr>
                      <w:bCs/>
                      <w:color w:val="auto"/>
                      <w:szCs w:val="21"/>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3" w:hRule="atLeast"/>
                <w:jc w:val="center"/>
              </w:trPr>
              <w:tc>
                <w:tcPr>
                  <w:tcW w:w="1348" w:type="dxa"/>
                  <w:vMerge w:val="continue"/>
                  <w:vAlign w:val="center"/>
                </w:tcPr>
                <w:p>
                  <w:pPr>
                    <w:jc w:val="center"/>
                    <w:rPr>
                      <w:bCs/>
                      <w:color w:val="auto"/>
                      <w:szCs w:val="21"/>
                      <w:highlight w:val="none"/>
                      <w:u w:val="none" w:color="auto"/>
                    </w:rPr>
                  </w:pPr>
                </w:p>
              </w:tc>
              <w:tc>
                <w:tcPr>
                  <w:tcW w:w="1557" w:type="dxa"/>
                  <w:vMerge w:val="continue"/>
                  <w:vAlign w:val="center"/>
                </w:tcPr>
                <w:p>
                  <w:pPr>
                    <w:jc w:val="center"/>
                    <w:rPr>
                      <w:bCs/>
                      <w:color w:val="auto"/>
                      <w:szCs w:val="21"/>
                      <w:highlight w:val="none"/>
                      <w:u w:val="none" w:color="auto"/>
                    </w:rPr>
                  </w:pPr>
                </w:p>
              </w:tc>
              <w:tc>
                <w:tcPr>
                  <w:tcW w:w="1223" w:type="dxa"/>
                  <w:vAlign w:val="center"/>
                </w:tcPr>
                <w:p>
                  <w:pPr>
                    <w:jc w:val="center"/>
                    <w:rPr>
                      <w:bCs/>
                      <w:color w:val="auto"/>
                      <w:szCs w:val="21"/>
                      <w:highlight w:val="none"/>
                      <w:u w:val="none" w:color="auto"/>
                    </w:rPr>
                  </w:pPr>
                  <w:r>
                    <w:rPr>
                      <w:rFonts w:hint="eastAsia"/>
                      <w:bCs/>
                      <w:color w:val="auto"/>
                      <w:szCs w:val="21"/>
                      <w:highlight w:val="none"/>
                      <w:u w:val="none" w:color="auto"/>
                      <w:lang w:val="en-US" w:eastAsia="zh-CN"/>
                    </w:rPr>
                    <w:t>30</w:t>
                  </w:r>
                </w:p>
              </w:tc>
              <w:tc>
                <w:tcPr>
                  <w:tcW w:w="928" w:type="dxa"/>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23</w:t>
                  </w:r>
                </w:p>
              </w:tc>
              <w:tc>
                <w:tcPr>
                  <w:tcW w:w="1428" w:type="dxa"/>
                  <w:vMerge w:val="continue"/>
                  <w:vAlign w:val="center"/>
                </w:tcPr>
                <w:p>
                  <w:pPr>
                    <w:jc w:val="center"/>
                    <w:rPr>
                      <w:bCs/>
                      <w:color w:val="auto"/>
                      <w:szCs w:val="21"/>
                      <w:highlight w:val="none"/>
                      <w:u w:val="none" w:color="auto"/>
                    </w:rPr>
                  </w:pPr>
                </w:p>
              </w:tc>
              <w:tc>
                <w:tcPr>
                  <w:tcW w:w="1194" w:type="dxa"/>
                  <w:vMerge w:val="continue"/>
                  <w:vAlign w:val="center"/>
                </w:tcPr>
                <w:p>
                  <w:pPr>
                    <w:jc w:val="center"/>
                    <w:rPr>
                      <w:bCs/>
                      <w:color w:val="auto"/>
                      <w:szCs w:val="21"/>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3" w:hRule="atLeast"/>
                <w:jc w:val="center"/>
              </w:trPr>
              <w:tc>
                <w:tcPr>
                  <w:tcW w:w="1348" w:type="dxa"/>
                  <w:vMerge w:val="restart"/>
                  <w:vAlign w:val="center"/>
                </w:tcPr>
                <w:p>
                  <w:pPr>
                    <w:jc w:val="center"/>
                    <w:rPr>
                      <w:bCs/>
                      <w:color w:val="auto"/>
                      <w:szCs w:val="21"/>
                      <w:highlight w:val="none"/>
                      <w:u w:val="none" w:color="auto"/>
                    </w:rPr>
                  </w:pPr>
                  <w:r>
                    <w:rPr>
                      <w:rFonts w:hint="eastAsia"/>
                      <w:bCs/>
                      <w:color w:val="auto"/>
                      <w:szCs w:val="21"/>
                      <w:highlight w:val="none"/>
                      <w:u w:val="none" w:color="auto"/>
                    </w:rPr>
                    <w:t>非甲烷总烃</w:t>
                  </w:r>
                </w:p>
              </w:tc>
              <w:tc>
                <w:tcPr>
                  <w:tcW w:w="1557" w:type="dxa"/>
                  <w:vMerge w:val="restart"/>
                  <w:vAlign w:val="center"/>
                </w:tcPr>
                <w:p>
                  <w:pPr>
                    <w:jc w:val="center"/>
                    <w:rPr>
                      <w:bCs/>
                      <w:color w:val="auto"/>
                      <w:szCs w:val="21"/>
                      <w:highlight w:val="none"/>
                      <w:u w:val="none" w:color="auto"/>
                    </w:rPr>
                  </w:pPr>
                  <w:r>
                    <w:rPr>
                      <w:rFonts w:hint="eastAsia"/>
                      <w:bCs/>
                      <w:color w:val="auto"/>
                      <w:szCs w:val="21"/>
                      <w:highlight w:val="none"/>
                      <w:u w:val="none" w:color="auto"/>
                    </w:rPr>
                    <w:t>120</w:t>
                  </w:r>
                </w:p>
              </w:tc>
              <w:tc>
                <w:tcPr>
                  <w:tcW w:w="1223" w:type="dxa"/>
                  <w:vAlign w:val="center"/>
                </w:tcPr>
                <w:p>
                  <w:pPr>
                    <w:jc w:val="center"/>
                    <w:rPr>
                      <w:rFonts w:hint="default" w:eastAsia="宋体"/>
                      <w:bCs/>
                      <w:color w:val="auto"/>
                      <w:szCs w:val="21"/>
                      <w:highlight w:val="none"/>
                      <w:u w:val="none" w:color="auto"/>
                      <w:lang w:val="en-US" w:eastAsia="zh-CN"/>
                    </w:rPr>
                  </w:pPr>
                  <w:r>
                    <w:rPr>
                      <w:rFonts w:hint="eastAsia" w:eastAsia="宋体"/>
                      <w:bCs/>
                      <w:color w:val="auto"/>
                      <w:szCs w:val="21"/>
                      <w:highlight w:val="none"/>
                      <w:u w:val="none" w:color="auto"/>
                      <w:lang w:val="en-US" w:eastAsia="zh-CN"/>
                    </w:rPr>
                    <w:t>20</w:t>
                  </w:r>
                </w:p>
              </w:tc>
              <w:tc>
                <w:tcPr>
                  <w:tcW w:w="928" w:type="dxa"/>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17</w:t>
                  </w:r>
                </w:p>
              </w:tc>
              <w:tc>
                <w:tcPr>
                  <w:tcW w:w="1428" w:type="dxa"/>
                  <w:vMerge w:val="restart"/>
                  <w:vAlign w:val="center"/>
                </w:tcPr>
                <w:p>
                  <w:pPr>
                    <w:jc w:val="center"/>
                    <w:rPr>
                      <w:bCs/>
                      <w:color w:val="auto"/>
                      <w:szCs w:val="21"/>
                      <w:highlight w:val="none"/>
                      <w:u w:val="none" w:color="auto"/>
                    </w:rPr>
                  </w:pPr>
                  <w:r>
                    <w:rPr>
                      <w:bCs/>
                      <w:color w:val="auto"/>
                      <w:szCs w:val="21"/>
                      <w:highlight w:val="none"/>
                      <w:u w:val="none" w:color="auto"/>
                    </w:rPr>
                    <w:t>周界外浓度最高点</w:t>
                  </w:r>
                </w:p>
              </w:tc>
              <w:tc>
                <w:tcPr>
                  <w:tcW w:w="1194" w:type="dxa"/>
                  <w:vMerge w:val="restart"/>
                  <w:vAlign w:val="center"/>
                </w:tcPr>
                <w:p>
                  <w:pPr>
                    <w:jc w:val="center"/>
                    <w:rPr>
                      <w:bCs/>
                      <w:color w:val="auto"/>
                      <w:szCs w:val="21"/>
                      <w:highlight w:val="none"/>
                      <w:u w:val="none" w:color="auto"/>
                    </w:rPr>
                  </w:pPr>
                  <w:r>
                    <w:rPr>
                      <w:rFonts w:hint="eastAsia"/>
                      <w:bCs/>
                      <w:color w:val="auto"/>
                      <w:szCs w:val="21"/>
                      <w:highlight w:val="none"/>
                      <w:u w:val="none" w:color="auto"/>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3" w:hRule="atLeast"/>
                <w:jc w:val="center"/>
              </w:trPr>
              <w:tc>
                <w:tcPr>
                  <w:tcW w:w="1348" w:type="dxa"/>
                  <w:vMerge w:val="continue"/>
                  <w:vAlign w:val="center"/>
                </w:tcPr>
                <w:p>
                  <w:pPr>
                    <w:jc w:val="center"/>
                    <w:rPr>
                      <w:color w:val="auto"/>
                      <w:highlight w:val="none"/>
                      <w:u w:val="none" w:color="auto"/>
                    </w:rPr>
                  </w:pPr>
                </w:p>
              </w:tc>
              <w:tc>
                <w:tcPr>
                  <w:tcW w:w="1557" w:type="dxa"/>
                  <w:vMerge w:val="continue"/>
                  <w:vAlign w:val="center"/>
                </w:tcPr>
                <w:p>
                  <w:pPr>
                    <w:jc w:val="center"/>
                    <w:rPr>
                      <w:color w:val="auto"/>
                      <w:highlight w:val="none"/>
                      <w:u w:val="none" w:color="auto"/>
                    </w:rPr>
                  </w:pPr>
                </w:p>
              </w:tc>
              <w:tc>
                <w:tcPr>
                  <w:tcW w:w="1223" w:type="dxa"/>
                  <w:vAlign w:val="center"/>
                </w:tcPr>
                <w:p>
                  <w:pPr>
                    <w:jc w:val="center"/>
                    <w:rPr>
                      <w:rFonts w:hint="eastAsia"/>
                      <w:bCs/>
                      <w:color w:val="auto"/>
                      <w:szCs w:val="21"/>
                      <w:highlight w:val="none"/>
                      <w:u w:val="none" w:color="auto"/>
                      <w:lang w:val="en-US" w:eastAsia="zh-CN"/>
                    </w:rPr>
                  </w:pPr>
                  <w:r>
                    <w:rPr>
                      <w:rFonts w:hint="eastAsia"/>
                      <w:bCs/>
                      <w:color w:val="auto"/>
                      <w:szCs w:val="21"/>
                      <w:highlight w:val="none"/>
                      <w:u w:val="none" w:color="auto"/>
                      <w:lang w:val="en-US" w:eastAsia="zh-CN"/>
                    </w:rPr>
                    <w:t>26</w:t>
                  </w:r>
                </w:p>
              </w:tc>
              <w:tc>
                <w:tcPr>
                  <w:tcW w:w="928" w:type="dxa"/>
                  <w:vAlign w:val="center"/>
                </w:tcPr>
                <w:p>
                  <w:pPr>
                    <w:jc w:val="center"/>
                    <w:rPr>
                      <w:rFonts w:hint="default"/>
                      <w:bCs/>
                      <w:color w:val="auto"/>
                      <w:szCs w:val="21"/>
                      <w:highlight w:val="none"/>
                      <w:u w:val="none" w:color="auto"/>
                      <w:lang w:val="en-US" w:eastAsia="zh-CN"/>
                    </w:rPr>
                  </w:pPr>
                  <w:r>
                    <w:rPr>
                      <w:rFonts w:hint="eastAsia"/>
                      <w:bCs/>
                      <w:color w:val="auto"/>
                      <w:szCs w:val="21"/>
                      <w:highlight w:val="none"/>
                      <w:u w:val="none" w:color="auto"/>
                      <w:lang w:val="en-US" w:eastAsia="zh-CN"/>
                    </w:rPr>
                    <w:t>38.6</w:t>
                  </w:r>
                </w:p>
              </w:tc>
              <w:tc>
                <w:tcPr>
                  <w:tcW w:w="1428" w:type="dxa"/>
                  <w:vMerge w:val="continue"/>
                  <w:vAlign w:val="center"/>
                </w:tcPr>
                <w:p>
                  <w:pPr>
                    <w:jc w:val="center"/>
                    <w:rPr>
                      <w:rFonts w:hint="eastAsia"/>
                      <w:bCs/>
                      <w:color w:val="auto"/>
                      <w:szCs w:val="21"/>
                      <w:highlight w:val="none"/>
                      <w:u w:val="none" w:color="auto"/>
                      <w:lang w:val="en-US" w:eastAsia="zh-CN"/>
                    </w:rPr>
                  </w:pPr>
                </w:p>
              </w:tc>
              <w:tc>
                <w:tcPr>
                  <w:tcW w:w="1194" w:type="dxa"/>
                  <w:vMerge w:val="continue"/>
                  <w:vAlign w:val="center"/>
                </w:tcPr>
                <w:p>
                  <w:pPr>
                    <w:jc w:val="center"/>
                    <w:rPr>
                      <w:rFonts w:hint="eastAsia"/>
                      <w:bCs/>
                      <w:color w:val="auto"/>
                      <w:szCs w:val="21"/>
                      <w:highlight w:val="none"/>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3" w:hRule="atLeast"/>
                <w:jc w:val="center"/>
              </w:trPr>
              <w:tc>
                <w:tcPr>
                  <w:tcW w:w="1348" w:type="dxa"/>
                  <w:vMerge w:val="continue"/>
                  <w:vAlign w:val="center"/>
                </w:tcPr>
                <w:p>
                  <w:pPr>
                    <w:jc w:val="center"/>
                    <w:rPr>
                      <w:rFonts w:hint="eastAsia"/>
                      <w:bCs/>
                      <w:color w:val="auto"/>
                      <w:szCs w:val="21"/>
                      <w:highlight w:val="none"/>
                      <w:u w:val="none" w:color="auto"/>
                      <w:lang w:val="en-US" w:eastAsia="zh-CN"/>
                    </w:rPr>
                  </w:pPr>
                </w:p>
              </w:tc>
              <w:tc>
                <w:tcPr>
                  <w:tcW w:w="1557" w:type="dxa"/>
                  <w:vMerge w:val="continue"/>
                  <w:vAlign w:val="center"/>
                </w:tcPr>
                <w:p>
                  <w:pPr>
                    <w:jc w:val="center"/>
                    <w:rPr>
                      <w:rFonts w:hint="eastAsia"/>
                      <w:bCs/>
                      <w:color w:val="auto"/>
                      <w:szCs w:val="21"/>
                      <w:highlight w:val="none"/>
                      <w:u w:val="none" w:color="auto"/>
                      <w:lang w:val="en-US" w:eastAsia="zh-CN"/>
                    </w:rPr>
                  </w:pPr>
                </w:p>
              </w:tc>
              <w:tc>
                <w:tcPr>
                  <w:tcW w:w="1223" w:type="dxa"/>
                  <w:vAlign w:val="center"/>
                </w:tcPr>
                <w:p>
                  <w:pPr>
                    <w:jc w:val="center"/>
                    <w:rPr>
                      <w:rFonts w:hint="default"/>
                      <w:bCs/>
                      <w:color w:val="auto"/>
                      <w:szCs w:val="21"/>
                      <w:highlight w:val="none"/>
                      <w:u w:val="none" w:color="auto"/>
                      <w:lang w:val="en-US" w:eastAsia="zh-CN"/>
                    </w:rPr>
                  </w:pPr>
                  <w:r>
                    <w:rPr>
                      <w:rFonts w:hint="eastAsia"/>
                      <w:bCs/>
                      <w:color w:val="auto"/>
                      <w:szCs w:val="21"/>
                      <w:highlight w:val="none"/>
                      <w:u w:val="none" w:color="auto"/>
                      <w:lang w:val="en-US" w:eastAsia="zh-CN"/>
                    </w:rPr>
                    <w:t>30</w:t>
                  </w:r>
                </w:p>
              </w:tc>
              <w:tc>
                <w:tcPr>
                  <w:tcW w:w="928" w:type="dxa"/>
                  <w:vAlign w:val="center"/>
                </w:tcPr>
                <w:p>
                  <w:pPr>
                    <w:jc w:val="center"/>
                    <w:rPr>
                      <w:rFonts w:hint="default"/>
                      <w:bCs/>
                      <w:color w:val="auto"/>
                      <w:szCs w:val="21"/>
                      <w:highlight w:val="none"/>
                      <w:u w:val="none" w:color="auto"/>
                      <w:lang w:val="en-US" w:eastAsia="zh-CN"/>
                    </w:rPr>
                  </w:pPr>
                  <w:r>
                    <w:rPr>
                      <w:rFonts w:hint="eastAsia"/>
                      <w:bCs/>
                      <w:color w:val="auto"/>
                      <w:szCs w:val="21"/>
                      <w:highlight w:val="none"/>
                      <w:u w:val="none" w:color="auto"/>
                      <w:lang w:val="en-US" w:eastAsia="zh-CN"/>
                    </w:rPr>
                    <w:t>53</w:t>
                  </w:r>
                </w:p>
              </w:tc>
              <w:tc>
                <w:tcPr>
                  <w:tcW w:w="1428" w:type="dxa"/>
                  <w:vMerge w:val="continue"/>
                  <w:vAlign w:val="center"/>
                </w:tcPr>
                <w:p>
                  <w:pPr>
                    <w:jc w:val="center"/>
                    <w:rPr>
                      <w:rFonts w:hint="eastAsia"/>
                      <w:bCs/>
                      <w:color w:val="auto"/>
                      <w:szCs w:val="21"/>
                      <w:highlight w:val="none"/>
                      <w:u w:val="none" w:color="auto"/>
                      <w:lang w:val="en-US" w:eastAsia="zh-CN"/>
                    </w:rPr>
                  </w:pPr>
                </w:p>
              </w:tc>
              <w:tc>
                <w:tcPr>
                  <w:tcW w:w="1194" w:type="dxa"/>
                  <w:vMerge w:val="continue"/>
                  <w:vAlign w:val="center"/>
                </w:tcPr>
                <w:p>
                  <w:pPr>
                    <w:jc w:val="center"/>
                    <w:rPr>
                      <w:rFonts w:hint="eastAsia"/>
                      <w:bCs/>
                      <w:color w:val="auto"/>
                      <w:szCs w:val="21"/>
                      <w:highlight w:val="none"/>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9" w:hRule="atLeast"/>
                <w:jc w:val="center"/>
              </w:trPr>
              <w:tc>
                <w:tcPr>
                  <w:tcW w:w="1348" w:type="dxa"/>
                  <w:vMerge w:val="restart"/>
                  <w:vAlign w:val="center"/>
                </w:tcPr>
                <w:p>
                  <w:pPr>
                    <w:jc w:val="center"/>
                    <w:rPr>
                      <w:rFonts w:hint="eastAsia" w:eastAsia="宋体"/>
                      <w:bCs/>
                      <w:color w:val="auto"/>
                      <w:szCs w:val="21"/>
                      <w:highlight w:val="none"/>
                      <w:u w:val="none" w:color="auto"/>
                      <w:lang w:eastAsia="zh-CN"/>
                    </w:rPr>
                  </w:pPr>
                  <w:r>
                    <w:rPr>
                      <w:rFonts w:hint="eastAsia"/>
                      <w:bCs/>
                      <w:color w:val="auto"/>
                      <w:szCs w:val="21"/>
                      <w:highlight w:val="none"/>
                      <w:u w:val="none" w:color="auto"/>
                      <w:lang w:eastAsia="zh-CN"/>
                    </w:rPr>
                    <w:t>二甲苯</w:t>
                  </w:r>
                </w:p>
              </w:tc>
              <w:tc>
                <w:tcPr>
                  <w:tcW w:w="1557" w:type="dxa"/>
                  <w:vMerge w:val="restart"/>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70</w:t>
                  </w:r>
                </w:p>
              </w:tc>
              <w:tc>
                <w:tcPr>
                  <w:tcW w:w="1223" w:type="dxa"/>
                  <w:vAlign w:val="center"/>
                </w:tcPr>
                <w:p>
                  <w:pPr>
                    <w:jc w:val="center"/>
                    <w:rPr>
                      <w:rFonts w:hint="default" w:eastAsia="宋体"/>
                      <w:bCs/>
                      <w:color w:val="auto"/>
                      <w:szCs w:val="21"/>
                      <w:highlight w:val="none"/>
                      <w:u w:val="none" w:color="auto"/>
                      <w:lang w:val="en-US" w:eastAsia="zh-CN"/>
                    </w:rPr>
                  </w:pPr>
                  <w:r>
                    <w:rPr>
                      <w:rFonts w:hint="eastAsia" w:eastAsia="宋体"/>
                      <w:bCs/>
                      <w:color w:val="auto"/>
                      <w:szCs w:val="21"/>
                      <w:highlight w:val="none"/>
                      <w:u w:val="none" w:color="auto"/>
                      <w:lang w:val="en-US" w:eastAsia="zh-CN"/>
                    </w:rPr>
                    <w:t>20</w:t>
                  </w:r>
                </w:p>
              </w:tc>
              <w:tc>
                <w:tcPr>
                  <w:tcW w:w="928" w:type="dxa"/>
                  <w:vAlign w:val="center"/>
                </w:tcPr>
                <w:p>
                  <w:pPr>
                    <w:jc w:val="center"/>
                    <w:rPr>
                      <w:rFonts w:hint="default" w:eastAsia="宋体"/>
                      <w:bCs/>
                      <w:color w:val="auto"/>
                      <w:szCs w:val="21"/>
                      <w:highlight w:val="none"/>
                      <w:u w:val="none" w:color="auto"/>
                      <w:lang w:val="en-US" w:eastAsia="zh-CN"/>
                    </w:rPr>
                  </w:pPr>
                  <w:r>
                    <w:rPr>
                      <w:rFonts w:hint="eastAsia" w:eastAsia="宋体"/>
                      <w:bCs/>
                      <w:color w:val="auto"/>
                      <w:szCs w:val="21"/>
                      <w:highlight w:val="none"/>
                      <w:u w:val="none" w:color="auto"/>
                      <w:lang w:val="en-US" w:eastAsia="zh-CN"/>
                    </w:rPr>
                    <w:t>1.7</w:t>
                  </w:r>
                </w:p>
              </w:tc>
              <w:tc>
                <w:tcPr>
                  <w:tcW w:w="1428" w:type="dxa"/>
                  <w:vMerge w:val="restart"/>
                  <w:vAlign w:val="center"/>
                </w:tcPr>
                <w:p>
                  <w:pPr>
                    <w:jc w:val="center"/>
                    <w:rPr>
                      <w:rFonts w:hint="eastAsia"/>
                      <w:bCs/>
                      <w:color w:val="auto"/>
                      <w:szCs w:val="21"/>
                      <w:highlight w:val="none"/>
                      <w:u w:val="none" w:color="auto"/>
                    </w:rPr>
                  </w:pPr>
                  <w:r>
                    <w:rPr>
                      <w:rFonts w:hint="eastAsia"/>
                      <w:bCs/>
                      <w:color w:val="auto"/>
                      <w:szCs w:val="21"/>
                      <w:highlight w:val="none"/>
                      <w:u w:val="none" w:color="auto"/>
                    </w:rPr>
                    <w:t>周界外浓度最高点</w:t>
                  </w:r>
                </w:p>
              </w:tc>
              <w:tc>
                <w:tcPr>
                  <w:tcW w:w="1194" w:type="dxa"/>
                  <w:vMerge w:val="restart"/>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9" w:hRule="atLeast"/>
                <w:jc w:val="center"/>
              </w:trPr>
              <w:tc>
                <w:tcPr>
                  <w:tcW w:w="1348" w:type="dxa"/>
                  <w:vMerge w:val="continue"/>
                  <w:vAlign w:val="center"/>
                </w:tcPr>
                <w:p>
                  <w:pPr>
                    <w:jc w:val="center"/>
                    <w:rPr>
                      <w:color w:val="auto"/>
                      <w:highlight w:val="none"/>
                      <w:u w:val="none" w:color="auto"/>
                    </w:rPr>
                  </w:pPr>
                </w:p>
              </w:tc>
              <w:tc>
                <w:tcPr>
                  <w:tcW w:w="1557" w:type="dxa"/>
                  <w:vMerge w:val="continue"/>
                  <w:vAlign w:val="center"/>
                </w:tcPr>
                <w:p>
                  <w:pPr>
                    <w:jc w:val="center"/>
                    <w:rPr>
                      <w:color w:val="auto"/>
                      <w:highlight w:val="none"/>
                      <w:u w:val="none" w:color="auto"/>
                    </w:rPr>
                  </w:pPr>
                </w:p>
              </w:tc>
              <w:tc>
                <w:tcPr>
                  <w:tcW w:w="1223" w:type="dxa"/>
                  <w:vAlign w:val="center"/>
                </w:tcPr>
                <w:p>
                  <w:pPr>
                    <w:jc w:val="center"/>
                    <w:rPr>
                      <w:rFonts w:hint="eastAsia"/>
                      <w:bCs/>
                      <w:color w:val="auto"/>
                      <w:szCs w:val="21"/>
                      <w:highlight w:val="none"/>
                      <w:u w:val="none" w:color="auto"/>
                      <w:lang w:val="en-US" w:eastAsia="zh-CN"/>
                    </w:rPr>
                  </w:pPr>
                  <w:r>
                    <w:rPr>
                      <w:rFonts w:hint="eastAsia"/>
                      <w:bCs/>
                      <w:color w:val="auto"/>
                      <w:szCs w:val="21"/>
                      <w:highlight w:val="none"/>
                      <w:u w:val="none" w:color="auto"/>
                      <w:lang w:val="en-US" w:eastAsia="zh-CN"/>
                    </w:rPr>
                    <w:t>26</w:t>
                  </w:r>
                </w:p>
              </w:tc>
              <w:tc>
                <w:tcPr>
                  <w:tcW w:w="928" w:type="dxa"/>
                  <w:vAlign w:val="center"/>
                </w:tcPr>
                <w:p>
                  <w:pPr>
                    <w:jc w:val="center"/>
                    <w:rPr>
                      <w:rFonts w:hint="default"/>
                      <w:bCs/>
                      <w:color w:val="auto"/>
                      <w:szCs w:val="21"/>
                      <w:highlight w:val="none"/>
                      <w:u w:val="none" w:color="auto"/>
                      <w:lang w:val="en-US" w:eastAsia="zh-CN"/>
                    </w:rPr>
                  </w:pPr>
                  <w:r>
                    <w:rPr>
                      <w:rFonts w:hint="eastAsia"/>
                      <w:bCs/>
                      <w:color w:val="auto"/>
                      <w:szCs w:val="21"/>
                      <w:highlight w:val="none"/>
                      <w:u w:val="none" w:color="auto"/>
                      <w:lang w:val="en-US" w:eastAsia="zh-CN"/>
                    </w:rPr>
                    <w:t>4.22</w:t>
                  </w:r>
                </w:p>
              </w:tc>
              <w:tc>
                <w:tcPr>
                  <w:tcW w:w="1428" w:type="dxa"/>
                  <w:vMerge w:val="continue"/>
                  <w:vAlign w:val="center"/>
                </w:tcPr>
                <w:p>
                  <w:pPr>
                    <w:jc w:val="center"/>
                    <w:rPr>
                      <w:rFonts w:hint="eastAsia"/>
                      <w:bCs/>
                      <w:color w:val="auto"/>
                      <w:szCs w:val="21"/>
                      <w:highlight w:val="none"/>
                      <w:u w:val="none" w:color="auto"/>
                      <w:lang w:val="en-US" w:eastAsia="zh-CN"/>
                    </w:rPr>
                  </w:pPr>
                </w:p>
              </w:tc>
              <w:tc>
                <w:tcPr>
                  <w:tcW w:w="1194" w:type="dxa"/>
                  <w:vMerge w:val="continue"/>
                  <w:vAlign w:val="center"/>
                </w:tcPr>
                <w:p>
                  <w:pPr>
                    <w:jc w:val="center"/>
                    <w:rPr>
                      <w:rFonts w:hint="eastAsia"/>
                      <w:bCs/>
                      <w:color w:val="auto"/>
                      <w:szCs w:val="21"/>
                      <w:highlight w:val="none"/>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209" w:hRule="atLeast"/>
                <w:jc w:val="center"/>
              </w:trPr>
              <w:tc>
                <w:tcPr>
                  <w:tcW w:w="1348" w:type="dxa"/>
                  <w:vMerge w:val="continue"/>
                  <w:vAlign w:val="center"/>
                </w:tcPr>
                <w:p>
                  <w:pPr>
                    <w:jc w:val="center"/>
                    <w:rPr>
                      <w:rFonts w:hint="eastAsia"/>
                      <w:bCs/>
                      <w:color w:val="auto"/>
                      <w:szCs w:val="21"/>
                      <w:highlight w:val="none"/>
                      <w:u w:val="none" w:color="auto"/>
                      <w:lang w:val="en-US" w:eastAsia="zh-CN"/>
                    </w:rPr>
                  </w:pPr>
                </w:p>
              </w:tc>
              <w:tc>
                <w:tcPr>
                  <w:tcW w:w="1557" w:type="dxa"/>
                  <w:vMerge w:val="continue"/>
                  <w:vAlign w:val="center"/>
                </w:tcPr>
                <w:p>
                  <w:pPr>
                    <w:jc w:val="center"/>
                    <w:rPr>
                      <w:rFonts w:hint="eastAsia"/>
                      <w:bCs/>
                      <w:color w:val="auto"/>
                      <w:szCs w:val="21"/>
                      <w:highlight w:val="none"/>
                      <w:u w:val="none" w:color="auto"/>
                      <w:lang w:val="en-US" w:eastAsia="zh-CN"/>
                    </w:rPr>
                  </w:pPr>
                </w:p>
              </w:tc>
              <w:tc>
                <w:tcPr>
                  <w:tcW w:w="1223" w:type="dxa"/>
                  <w:vAlign w:val="center"/>
                </w:tcPr>
                <w:p>
                  <w:pPr>
                    <w:jc w:val="center"/>
                    <w:rPr>
                      <w:rFonts w:hint="eastAsia"/>
                      <w:bCs/>
                      <w:color w:val="auto"/>
                      <w:szCs w:val="21"/>
                      <w:highlight w:val="none"/>
                      <w:u w:val="none" w:color="auto"/>
                      <w:lang w:val="en-US" w:eastAsia="zh-CN"/>
                    </w:rPr>
                  </w:pPr>
                  <w:r>
                    <w:rPr>
                      <w:rFonts w:hint="eastAsia"/>
                      <w:bCs/>
                      <w:color w:val="auto"/>
                      <w:szCs w:val="21"/>
                      <w:highlight w:val="none"/>
                      <w:u w:val="none" w:color="auto"/>
                      <w:lang w:val="en-US" w:eastAsia="zh-CN"/>
                    </w:rPr>
                    <w:t>30</w:t>
                  </w:r>
                </w:p>
              </w:tc>
              <w:tc>
                <w:tcPr>
                  <w:tcW w:w="928" w:type="dxa"/>
                  <w:vAlign w:val="center"/>
                </w:tcPr>
                <w:p>
                  <w:pPr>
                    <w:jc w:val="center"/>
                    <w:rPr>
                      <w:rFonts w:hint="default"/>
                      <w:bCs/>
                      <w:color w:val="auto"/>
                      <w:szCs w:val="21"/>
                      <w:highlight w:val="none"/>
                      <w:u w:val="none" w:color="auto"/>
                      <w:lang w:val="en-US" w:eastAsia="zh-CN"/>
                    </w:rPr>
                  </w:pPr>
                  <w:r>
                    <w:rPr>
                      <w:rFonts w:hint="eastAsia"/>
                      <w:bCs/>
                      <w:color w:val="auto"/>
                      <w:szCs w:val="21"/>
                      <w:highlight w:val="none"/>
                      <w:u w:val="none" w:color="auto"/>
                      <w:lang w:val="en-US" w:eastAsia="zh-CN"/>
                    </w:rPr>
                    <w:t>5.9</w:t>
                  </w:r>
                </w:p>
              </w:tc>
              <w:tc>
                <w:tcPr>
                  <w:tcW w:w="1428" w:type="dxa"/>
                  <w:vMerge w:val="continue"/>
                  <w:vAlign w:val="center"/>
                </w:tcPr>
                <w:p>
                  <w:pPr>
                    <w:jc w:val="center"/>
                    <w:rPr>
                      <w:rFonts w:hint="eastAsia"/>
                      <w:bCs/>
                      <w:color w:val="auto"/>
                      <w:szCs w:val="21"/>
                      <w:highlight w:val="none"/>
                      <w:u w:val="none" w:color="auto"/>
                      <w:lang w:val="en-US" w:eastAsia="zh-CN"/>
                    </w:rPr>
                  </w:pPr>
                </w:p>
              </w:tc>
              <w:tc>
                <w:tcPr>
                  <w:tcW w:w="1194" w:type="dxa"/>
                  <w:vMerge w:val="continue"/>
                  <w:vAlign w:val="center"/>
                </w:tcPr>
                <w:p>
                  <w:pPr>
                    <w:jc w:val="center"/>
                    <w:rPr>
                      <w:rFonts w:hint="eastAsia"/>
                      <w:bCs/>
                      <w:color w:val="auto"/>
                      <w:szCs w:val="21"/>
                      <w:highlight w:val="none"/>
                      <w:u w:val="none" w:color="auto"/>
                      <w:lang w:val="en-US" w:eastAsia="zh-CN"/>
                    </w:rPr>
                  </w:pPr>
                </w:p>
              </w:tc>
            </w:tr>
          </w:tbl>
          <w:p>
            <w:pPr>
              <w:jc w:val="center"/>
              <w:rPr>
                <w:b/>
                <w:bCs/>
                <w:color w:val="auto"/>
                <w:highlight w:val="none"/>
                <w:u w:val="none" w:color="auto"/>
              </w:rPr>
            </w:pPr>
            <w:r>
              <w:rPr>
                <w:b/>
                <w:bCs/>
                <w:color w:val="auto"/>
                <w:highlight w:val="none"/>
                <w:u w:val="none" w:color="auto"/>
              </w:rPr>
              <w:t>表</w:t>
            </w:r>
            <w:r>
              <w:rPr>
                <w:rFonts w:hint="eastAsia"/>
                <w:b/>
                <w:bCs/>
                <w:color w:val="auto"/>
                <w:highlight w:val="none"/>
                <w:u w:val="none" w:color="auto"/>
              </w:rPr>
              <w:t>3-</w:t>
            </w:r>
            <w:r>
              <w:rPr>
                <w:rFonts w:hint="eastAsia"/>
                <w:b/>
                <w:bCs/>
                <w:color w:val="auto"/>
                <w:highlight w:val="none"/>
                <w:u w:val="none" w:color="auto"/>
                <w:lang w:val="en-US" w:eastAsia="zh-CN"/>
              </w:rPr>
              <w:t>5</w:t>
            </w:r>
            <w:r>
              <w:rPr>
                <w:b/>
                <w:bCs/>
                <w:color w:val="auto"/>
                <w:highlight w:val="none"/>
                <w:u w:val="none" w:color="auto"/>
              </w:rPr>
              <w:t xml:space="preserve">   恶臭污染物排放标准     单位：mg/m</w:t>
            </w:r>
            <w:r>
              <w:rPr>
                <w:b/>
                <w:bCs/>
                <w:color w:val="auto"/>
                <w:highlight w:val="none"/>
                <w:u w:val="none" w:color="auto"/>
                <w:vertAlign w:val="superscript"/>
              </w:rPr>
              <w:t>3</w:t>
            </w:r>
          </w:p>
          <w:tbl>
            <w:tblPr>
              <w:tblStyle w:val="26"/>
              <w:tblW w:w="7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533"/>
              <w:gridCol w:w="1910"/>
              <w:gridCol w:w="1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85" w:type="dxa"/>
                  <w:vAlign w:val="center"/>
                </w:tcPr>
                <w:p>
                  <w:pPr>
                    <w:pStyle w:val="2"/>
                    <w:spacing w:after="0"/>
                    <w:jc w:val="center"/>
                    <w:rPr>
                      <w:color w:val="auto"/>
                      <w:sz w:val="21"/>
                      <w:highlight w:val="none"/>
                      <w:u w:val="none" w:color="auto"/>
                    </w:rPr>
                  </w:pPr>
                  <w:r>
                    <w:rPr>
                      <w:color w:val="auto"/>
                      <w:sz w:val="21"/>
                      <w:highlight w:val="none"/>
                      <w:u w:val="none" w:color="auto"/>
                    </w:rPr>
                    <w:t>污染物</w:t>
                  </w:r>
                </w:p>
              </w:tc>
              <w:tc>
                <w:tcPr>
                  <w:tcW w:w="2533" w:type="dxa"/>
                  <w:vAlign w:val="center"/>
                </w:tcPr>
                <w:p>
                  <w:pPr>
                    <w:pStyle w:val="2"/>
                    <w:spacing w:after="0"/>
                    <w:jc w:val="center"/>
                    <w:rPr>
                      <w:color w:val="auto"/>
                      <w:sz w:val="21"/>
                      <w:highlight w:val="none"/>
                      <w:u w:val="none" w:color="auto"/>
                    </w:rPr>
                  </w:pPr>
                  <w:r>
                    <w:rPr>
                      <w:color w:val="auto"/>
                      <w:sz w:val="21"/>
                      <w:highlight w:val="none"/>
                      <w:u w:val="none" w:color="auto"/>
                    </w:rPr>
                    <w:t>厂界标准值（mg/m</w:t>
                  </w:r>
                  <w:r>
                    <w:rPr>
                      <w:color w:val="auto"/>
                      <w:sz w:val="21"/>
                      <w:highlight w:val="none"/>
                      <w:u w:val="none" w:color="auto"/>
                      <w:vertAlign w:val="superscript"/>
                    </w:rPr>
                    <w:t>3</w:t>
                  </w:r>
                  <w:r>
                    <w:rPr>
                      <w:color w:val="auto"/>
                      <w:sz w:val="21"/>
                      <w:highlight w:val="none"/>
                      <w:u w:val="none" w:color="auto"/>
                    </w:rPr>
                    <w:t>）</w:t>
                  </w:r>
                </w:p>
              </w:tc>
              <w:tc>
                <w:tcPr>
                  <w:tcW w:w="1910" w:type="dxa"/>
                  <w:vAlign w:val="center"/>
                </w:tcPr>
                <w:p>
                  <w:pPr>
                    <w:pStyle w:val="2"/>
                    <w:spacing w:after="0"/>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排气筒高度（m）</w:t>
                  </w:r>
                </w:p>
              </w:tc>
              <w:tc>
                <w:tcPr>
                  <w:tcW w:w="1910" w:type="dxa"/>
                  <w:vAlign w:val="center"/>
                </w:tcPr>
                <w:p>
                  <w:pPr>
                    <w:pStyle w:val="2"/>
                    <w:spacing w:after="0"/>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排放量（kg/h）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85" w:type="dxa"/>
                  <w:vAlign w:val="center"/>
                </w:tcPr>
                <w:p>
                  <w:pPr>
                    <w:pStyle w:val="2"/>
                    <w:spacing w:after="0"/>
                    <w:jc w:val="center"/>
                    <w:rPr>
                      <w:color w:val="auto"/>
                      <w:sz w:val="21"/>
                      <w:highlight w:val="none"/>
                      <w:u w:val="none" w:color="auto"/>
                    </w:rPr>
                  </w:pPr>
                  <w:r>
                    <w:rPr>
                      <w:color w:val="auto"/>
                      <w:sz w:val="21"/>
                      <w:highlight w:val="none"/>
                      <w:u w:val="none" w:color="auto"/>
                    </w:rPr>
                    <w:t>臭气浓度</w:t>
                  </w:r>
                </w:p>
              </w:tc>
              <w:tc>
                <w:tcPr>
                  <w:tcW w:w="2533" w:type="dxa"/>
                  <w:vAlign w:val="center"/>
                </w:tcPr>
                <w:p>
                  <w:pPr>
                    <w:pStyle w:val="2"/>
                    <w:spacing w:after="0"/>
                    <w:jc w:val="center"/>
                    <w:rPr>
                      <w:color w:val="auto"/>
                      <w:sz w:val="21"/>
                      <w:highlight w:val="none"/>
                      <w:u w:val="none" w:color="auto"/>
                    </w:rPr>
                  </w:pPr>
                  <w:r>
                    <w:rPr>
                      <w:color w:val="auto"/>
                      <w:sz w:val="21"/>
                      <w:highlight w:val="none"/>
                      <w:u w:val="none" w:color="auto"/>
                    </w:rPr>
                    <w:t>20</w:t>
                  </w:r>
                </w:p>
              </w:tc>
              <w:tc>
                <w:tcPr>
                  <w:tcW w:w="1910" w:type="dxa"/>
                  <w:vAlign w:val="center"/>
                </w:tcPr>
                <w:p>
                  <w:pPr>
                    <w:pStyle w:val="2"/>
                    <w:spacing w:after="0"/>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w:t>
                  </w:r>
                </w:p>
              </w:tc>
              <w:tc>
                <w:tcPr>
                  <w:tcW w:w="1910" w:type="dxa"/>
                  <w:vAlign w:val="center"/>
                </w:tcPr>
                <w:p>
                  <w:pPr>
                    <w:pStyle w:val="2"/>
                    <w:spacing w:after="0"/>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w:t>
                  </w:r>
                </w:p>
              </w:tc>
            </w:tr>
          </w:tbl>
          <w:p>
            <w:pPr>
              <w:spacing w:line="360" w:lineRule="auto"/>
              <w:jc w:val="left"/>
              <w:rPr>
                <w:b/>
                <w:color w:val="auto"/>
                <w:kern w:val="0"/>
                <w:sz w:val="24"/>
                <w:highlight w:val="none"/>
                <w:u w:val="none" w:color="auto"/>
              </w:rPr>
            </w:pPr>
            <w:r>
              <w:rPr>
                <w:rFonts w:hint="eastAsia"/>
                <w:b/>
                <w:color w:val="auto"/>
                <w:kern w:val="0"/>
                <w:sz w:val="24"/>
                <w:highlight w:val="none"/>
                <w:u w:val="none" w:color="auto"/>
              </w:rPr>
              <w:t>2、废水排放标准</w:t>
            </w:r>
          </w:p>
          <w:p>
            <w:pPr>
              <w:spacing w:line="360" w:lineRule="auto"/>
              <w:ind w:firstLine="480" w:firstLineChars="200"/>
              <w:jc w:val="left"/>
              <w:rPr>
                <w:color w:val="auto"/>
                <w:sz w:val="24"/>
                <w:highlight w:val="none"/>
                <w:u w:val="none" w:color="auto"/>
              </w:rPr>
            </w:pPr>
            <w:r>
              <w:rPr>
                <w:color w:val="auto"/>
                <w:sz w:val="24"/>
                <w:highlight w:val="none"/>
                <w:u w:val="none" w:color="auto"/>
              </w:rPr>
              <w:t>本项目生活污水经过厂区污水处理设施预处理达到</w:t>
            </w:r>
            <w:r>
              <w:rPr>
                <w:rFonts w:hint="eastAsia"/>
                <w:color w:val="auto"/>
                <w:sz w:val="24"/>
                <w:highlight w:val="none"/>
                <w:u w:val="none" w:color="auto"/>
              </w:rPr>
              <w:t>《电子工业水污染物排放标准》（GB 39731-2020）表1水污染物排放限值</w:t>
            </w:r>
            <w:r>
              <w:rPr>
                <w:color w:val="auto"/>
                <w:sz w:val="24"/>
                <w:highlight w:val="none"/>
                <w:u w:val="none" w:color="auto"/>
              </w:rPr>
              <w:t>后排入市政污水管网进入下河线污水处理厂处理</w:t>
            </w:r>
            <w:r>
              <w:rPr>
                <w:rFonts w:hint="eastAsia"/>
                <w:color w:val="auto"/>
                <w:sz w:val="24"/>
                <w:highlight w:val="none"/>
                <w:u w:val="none" w:color="auto"/>
              </w:rPr>
              <w:t>达到《城镇污水处理厂污染物排放标准》（GB18918-2002）及修改单中一级A标准。</w:t>
            </w:r>
          </w:p>
          <w:p>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表3-</w:t>
            </w:r>
            <w:r>
              <w:rPr>
                <w:rFonts w:hint="eastAsia"/>
                <w:b/>
                <w:bCs/>
                <w:color w:val="auto"/>
                <w:highlight w:val="none"/>
                <w:u w:val="none" w:color="auto"/>
                <w:lang w:val="en-US" w:eastAsia="zh-CN"/>
              </w:rPr>
              <w:t>6</w:t>
            </w:r>
            <w:r>
              <w:rPr>
                <w:rFonts w:hint="eastAsia"/>
                <w:b/>
                <w:bCs/>
                <w:color w:val="auto"/>
                <w:highlight w:val="none"/>
                <w:u w:val="none" w:color="auto"/>
              </w:rPr>
              <w:t xml:space="preserve">  《电子工业水污染物排放标准》（GB 39731-2020）</w:t>
            </w:r>
          </w:p>
          <w:tbl>
            <w:tblPr>
              <w:tblStyle w:val="26"/>
              <w:tblW w:w="76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30"/>
              <w:gridCol w:w="674"/>
              <w:gridCol w:w="780"/>
              <w:gridCol w:w="871"/>
              <w:gridCol w:w="669"/>
              <w:gridCol w:w="902"/>
              <w:gridCol w:w="1062"/>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825" w:type="dxa"/>
                  <w:tcBorders>
                    <w:tl2br w:val="nil"/>
                    <w:tr2bl w:val="nil"/>
                  </w:tcBorders>
                </w:tcPr>
                <w:p>
                  <w:pPr>
                    <w:snapToGrid w:val="0"/>
                    <w:rPr>
                      <w:color w:val="auto"/>
                      <w:highlight w:val="none"/>
                      <w:u w:val="none" w:color="auto"/>
                    </w:rPr>
                  </w:pPr>
                </w:p>
                <w:p>
                  <w:pPr>
                    <w:snapToGrid w:val="0"/>
                    <w:rPr>
                      <w:color w:val="auto"/>
                      <w:highlight w:val="none"/>
                      <w:u w:val="none" w:color="auto"/>
                    </w:rPr>
                  </w:pPr>
                  <w:r>
                    <w:rPr>
                      <w:color w:val="auto"/>
                      <w:highlight w:val="none"/>
                      <w:u w:val="none" w:color="auto"/>
                    </w:rPr>
                    <w:t>标准</w:t>
                  </w:r>
                </w:p>
                <w:p>
                  <w:pPr>
                    <w:spacing w:line="400" w:lineRule="exact"/>
                    <w:rPr>
                      <w:color w:val="auto"/>
                      <w:highlight w:val="none"/>
                      <w:u w:val="none" w:color="auto"/>
                    </w:rPr>
                  </w:pPr>
                  <w:r>
                    <w:rPr>
                      <w:color w:val="auto"/>
                      <w:highlight w:val="none"/>
                      <w:u w:val="none" w:color="auto"/>
                    </w:rPr>
                    <w:t>项目</w:t>
                  </w:r>
                </w:p>
              </w:tc>
              <w:tc>
                <w:tcPr>
                  <w:tcW w:w="1030"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pH值</w:t>
                  </w:r>
                </w:p>
              </w:tc>
              <w:tc>
                <w:tcPr>
                  <w:tcW w:w="674"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SS</w:t>
                  </w:r>
                </w:p>
              </w:tc>
              <w:tc>
                <w:tcPr>
                  <w:tcW w:w="780"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石油类</w:t>
                  </w:r>
                </w:p>
              </w:tc>
              <w:tc>
                <w:tcPr>
                  <w:tcW w:w="871"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CODcr</w:t>
                  </w:r>
                </w:p>
              </w:tc>
              <w:tc>
                <w:tcPr>
                  <w:tcW w:w="669"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TOC</w:t>
                  </w:r>
                </w:p>
              </w:tc>
              <w:tc>
                <w:tcPr>
                  <w:tcW w:w="902"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氨氮</w:t>
                  </w:r>
                </w:p>
              </w:tc>
              <w:tc>
                <w:tcPr>
                  <w:tcW w:w="1062"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总氮</w:t>
                  </w:r>
                </w:p>
              </w:tc>
              <w:tc>
                <w:tcPr>
                  <w:tcW w:w="882"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总磷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825" w:type="dxa"/>
                  <w:tcBorders>
                    <w:tl2br w:val="nil"/>
                    <w:tr2bl w:val="nil"/>
                  </w:tcBorders>
                  <w:vAlign w:val="center"/>
                </w:tcPr>
                <w:p>
                  <w:pPr>
                    <w:jc w:val="both"/>
                    <w:rPr>
                      <w:rFonts w:hint="eastAsia" w:eastAsia="宋体"/>
                      <w:color w:val="auto"/>
                      <w:highlight w:val="none"/>
                      <w:u w:val="none" w:color="auto"/>
                      <w:lang w:eastAsia="zh-CN"/>
                    </w:rPr>
                  </w:pPr>
                  <w:r>
                    <w:rPr>
                      <w:color w:val="auto"/>
                      <w:sz w:val="21"/>
                      <w:szCs w:val="21"/>
                      <w:highlight w:val="none"/>
                      <w:u w:val="none" w:color="auto"/>
                    </w:rPr>
                    <w:t>（</w:t>
                  </w:r>
                  <w:r>
                    <w:rPr>
                      <w:rFonts w:hint="eastAsia"/>
                      <w:color w:val="auto"/>
                      <w:sz w:val="21"/>
                      <w:szCs w:val="21"/>
                      <w:highlight w:val="none"/>
                      <w:u w:val="none" w:color="auto"/>
                    </w:rPr>
                    <w:t>GB 39731-2020</w:t>
                  </w:r>
                  <w:r>
                    <w:rPr>
                      <w:color w:val="auto"/>
                      <w:sz w:val="21"/>
                      <w:szCs w:val="21"/>
                      <w:highlight w:val="none"/>
                      <w:u w:val="none" w:color="auto"/>
                    </w:rPr>
                    <w:t>）表</w:t>
                  </w:r>
                  <w:r>
                    <w:rPr>
                      <w:rFonts w:hint="eastAsia"/>
                      <w:color w:val="auto"/>
                      <w:sz w:val="21"/>
                      <w:szCs w:val="21"/>
                      <w:highlight w:val="none"/>
                      <w:u w:val="none" w:color="auto"/>
                      <w:lang w:val="en-US" w:eastAsia="zh-CN"/>
                    </w:rPr>
                    <w:t>1</w:t>
                  </w:r>
                </w:p>
              </w:tc>
              <w:tc>
                <w:tcPr>
                  <w:tcW w:w="1030"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6-9</w:t>
                  </w:r>
                </w:p>
              </w:tc>
              <w:tc>
                <w:tcPr>
                  <w:tcW w:w="674"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400</w:t>
                  </w:r>
                </w:p>
              </w:tc>
              <w:tc>
                <w:tcPr>
                  <w:tcW w:w="780"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20</w:t>
                  </w:r>
                </w:p>
              </w:tc>
              <w:tc>
                <w:tcPr>
                  <w:tcW w:w="871"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500</w:t>
                  </w:r>
                </w:p>
              </w:tc>
              <w:tc>
                <w:tcPr>
                  <w:tcW w:w="669"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200</w:t>
                  </w:r>
                </w:p>
              </w:tc>
              <w:tc>
                <w:tcPr>
                  <w:tcW w:w="902"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45</w:t>
                  </w:r>
                </w:p>
              </w:tc>
              <w:tc>
                <w:tcPr>
                  <w:tcW w:w="1062"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70</w:t>
                  </w:r>
                </w:p>
              </w:tc>
              <w:tc>
                <w:tcPr>
                  <w:tcW w:w="882" w:type="dxa"/>
                  <w:tcBorders>
                    <w:tl2br w:val="nil"/>
                    <w:tr2bl w:val="nil"/>
                  </w:tcBorders>
                  <w:vAlign w:val="center"/>
                </w:tcPr>
                <w:p>
                  <w:pPr>
                    <w:spacing w:line="400" w:lineRule="exact"/>
                    <w:jc w:val="center"/>
                    <w:rPr>
                      <w:color w:val="auto"/>
                      <w:highlight w:val="none"/>
                      <w:u w:val="none" w:color="auto"/>
                      <w:vertAlign w:val="superscript"/>
                    </w:rPr>
                  </w:pPr>
                  <w:r>
                    <w:rPr>
                      <w:color w:val="auto"/>
                      <w:highlight w:val="none"/>
                      <w:u w:val="none" w:color="auto"/>
                    </w:rPr>
                    <w:t>≤</w:t>
                  </w:r>
                  <w:r>
                    <w:rPr>
                      <w:rFonts w:hint="eastAsia"/>
                      <w:color w:val="auto"/>
                      <w:highlight w:val="none"/>
                      <w:u w:val="none" w:color="auto"/>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695" w:type="dxa"/>
                  <w:gridSpan w:val="9"/>
                  <w:tcBorders>
                    <w:tl2br w:val="nil"/>
                    <w:tr2bl w:val="nil"/>
                  </w:tcBorders>
                  <w:vAlign w:val="center"/>
                </w:tcPr>
                <w:p>
                  <w:pPr>
                    <w:spacing w:line="400" w:lineRule="exact"/>
                    <w:rPr>
                      <w:color w:val="auto"/>
                      <w:highlight w:val="none"/>
                      <w:u w:val="none" w:color="auto"/>
                    </w:rPr>
                  </w:pPr>
                  <w:r>
                    <w:rPr>
                      <w:rFonts w:hint="eastAsia"/>
                      <w:color w:val="auto"/>
                      <w:highlight w:val="none"/>
                      <w:u w:val="none" w:color="auto"/>
                    </w:rPr>
                    <w:t>本项目为</w:t>
                  </w:r>
                  <w:r>
                    <w:rPr>
                      <w:rFonts w:hint="eastAsia" w:ascii="Calibri" w:hAnsi="Calibri"/>
                      <w:color w:val="auto"/>
                      <w:kern w:val="0"/>
                      <w:highlight w:val="none"/>
                      <w:u w:val="none" w:color="auto"/>
                    </w:rPr>
                    <w:t>其他电子元件制造，单位产品基准排水量为</w:t>
                  </w:r>
                  <w:r>
                    <w:rPr>
                      <w:color w:val="auto"/>
                      <w:kern w:val="0"/>
                      <w:highlight w:val="none"/>
                      <w:u w:val="none" w:color="auto"/>
                    </w:rPr>
                    <w:t>0.2m</w:t>
                  </w:r>
                  <w:r>
                    <w:rPr>
                      <w:color w:val="auto"/>
                      <w:kern w:val="0"/>
                      <w:highlight w:val="none"/>
                      <w:u w:val="none" w:color="auto"/>
                      <w:vertAlign w:val="superscript"/>
                    </w:rPr>
                    <w:t>3</w:t>
                  </w:r>
                  <w:r>
                    <w:rPr>
                      <w:color w:val="auto"/>
                      <w:kern w:val="0"/>
                      <w:highlight w:val="none"/>
                      <w:u w:val="none" w:color="auto"/>
                    </w:rPr>
                    <w:t>/</w:t>
                  </w:r>
                  <w:r>
                    <w:rPr>
                      <w:rFonts w:hint="eastAsia" w:ascii="Calibri" w:hAnsi="Calibri"/>
                      <w:color w:val="auto"/>
                      <w:kern w:val="0"/>
                      <w:highlight w:val="none"/>
                      <w:u w:val="none" w:color="auto"/>
                    </w:rPr>
                    <w:t>万只产品。</w:t>
                  </w:r>
                </w:p>
              </w:tc>
            </w:tr>
          </w:tbl>
          <w:p>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表3-</w:t>
            </w:r>
            <w:r>
              <w:rPr>
                <w:rFonts w:hint="eastAsia"/>
                <w:b/>
                <w:bCs/>
                <w:color w:val="auto"/>
                <w:highlight w:val="none"/>
                <w:u w:val="none" w:color="auto"/>
                <w:lang w:val="en-US" w:eastAsia="zh-CN"/>
              </w:rPr>
              <w:t>7</w:t>
            </w:r>
            <w:r>
              <w:rPr>
                <w:rFonts w:hint="eastAsia"/>
                <w:b/>
                <w:bCs/>
                <w:color w:val="auto"/>
                <w:highlight w:val="none"/>
                <w:u w:val="none" w:color="auto"/>
              </w:rPr>
              <w:t xml:space="preserve"> 《城镇污水处理厂污染物排放标准》（GB18918-2002）及修改单</w:t>
            </w:r>
          </w:p>
          <w:tbl>
            <w:tblPr>
              <w:tblStyle w:val="26"/>
              <w:tblW w:w="76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23"/>
              <w:gridCol w:w="727"/>
              <w:gridCol w:w="755"/>
              <w:gridCol w:w="584"/>
              <w:gridCol w:w="612"/>
              <w:gridCol w:w="897"/>
              <w:gridCol w:w="741"/>
              <w:gridCol w:w="655"/>
              <w:gridCol w:w="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81" w:type="dxa"/>
                  <w:tcBorders>
                    <w:tl2br w:val="nil"/>
                    <w:tr2bl w:val="nil"/>
                  </w:tcBorders>
                </w:tcPr>
                <w:p>
                  <w:pPr>
                    <w:snapToGrid w:val="0"/>
                    <w:rPr>
                      <w:color w:val="auto"/>
                      <w:highlight w:val="none"/>
                      <w:u w:val="none" w:color="auto"/>
                    </w:rPr>
                  </w:pPr>
                </w:p>
                <w:p>
                  <w:pPr>
                    <w:snapToGrid w:val="0"/>
                    <w:ind w:firstLine="420" w:firstLineChars="200"/>
                    <w:rPr>
                      <w:color w:val="auto"/>
                      <w:highlight w:val="none"/>
                      <w:u w:val="none" w:color="auto"/>
                    </w:rPr>
                  </w:pPr>
                  <w:r>
                    <w:rPr>
                      <w:color w:val="auto"/>
                      <w:highlight w:val="none"/>
                      <w:u w:val="none" w:color="auto"/>
                    </w:rPr>
                    <w:t>标准</w:t>
                  </w:r>
                </w:p>
                <w:p>
                  <w:pPr>
                    <w:spacing w:line="400" w:lineRule="exact"/>
                    <w:rPr>
                      <w:color w:val="auto"/>
                      <w:highlight w:val="none"/>
                      <w:u w:val="none" w:color="auto"/>
                    </w:rPr>
                  </w:pPr>
                  <w:r>
                    <w:rPr>
                      <w:color w:val="auto"/>
                      <w:highlight w:val="none"/>
                      <w:u w:val="none" w:color="auto"/>
                    </w:rPr>
                    <w:t>项目</w:t>
                  </w:r>
                </w:p>
              </w:tc>
              <w:tc>
                <w:tcPr>
                  <w:tcW w:w="723"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pH值</w:t>
                  </w:r>
                </w:p>
              </w:tc>
              <w:tc>
                <w:tcPr>
                  <w:tcW w:w="727"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COD</w:t>
                  </w:r>
                </w:p>
              </w:tc>
              <w:tc>
                <w:tcPr>
                  <w:tcW w:w="755"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BOD</w:t>
                  </w:r>
                  <w:r>
                    <w:rPr>
                      <w:color w:val="auto"/>
                      <w:highlight w:val="none"/>
                      <w:u w:val="none" w:color="auto"/>
                      <w:vertAlign w:val="subscript"/>
                    </w:rPr>
                    <w:t>5</w:t>
                  </w:r>
                </w:p>
              </w:tc>
              <w:tc>
                <w:tcPr>
                  <w:tcW w:w="584"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SS</w:t>
                  </w:r>
                </w:p>
              </w:tc>
              <w:tc>
                <w:tcPr>
                  <w:tcW w:w="612"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总氮</w:t>
                  </w:r>
                </w:p>
              </w:tc>
              <w:tc>
                <w:tcPr>
                  <w:tcW w:w="897"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NH</w:t>
                  </w:r>
                  <w:r>
                    <w:rPr>
                      <w:color w:val="auto"/>
                      <w:highlight w:val="none"/>
                      <w:u w:val="none" w:color="auto"/>
                      <w:vertAlign w:val="subscript"/>
                    </w:rPr>
                    <w:t>3</w:t>
                  </w:r>
                  <w:r>
                    <w:rPr>
                      <w:color w:val="auto"/>
                      <w:highlight w:val="none"/>
                      <w:u w:val="none" w:color="auto"/>
                    </w:rPr>
                    <w:t>-N</w:t>
                  </w:r>
                </w:p>
              </w:tc>
              <w:tc>
                <w:tcPr>
                  <w:tcW w:w="741"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总磷</w:t>
                  </w:r>
                </w:p>
              </w:tc>
              <w:tc>
                <w:tcPr>
                  <w:tcW w:w="655"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LAS</w:t>
                  </w:r>
                </w:p>
              </w:tc>
              <w:tc>
                <w:tcPr>
                  <w:tcW w:w="839"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石油类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081" w:type="dxa"/>
                  <w:tcBorders>
                    <w:tl2br w:val="nil"/>
                    <w:tr2bl w:val="nil"/>
                  </w:tcBorders>
                  <w:vAlign w:val="center"/>
                </w:tcPr>
                <w:p>
                  <w:pPr>
                    <w:spacing w:line="400" w:lineRule="exact"/>
                    <w:jc w:val="center"/>
                    <w:rPr>
                      <w:color w:val="auto"/>
                      <w:highlight w:val="none"/>
                      <w:u w:val="none" w:color="auto"/>
                    </w:rPr>
                  </w:pPr>
                  <w:r>
                    <w:rPr>
                      <w:rFonts w:hint="eastAsia"/>
                      <w:color w:val="auto"/>
                      <w:highlight w:val="none"/>
                      <w:u w:val="none" w:color="auto"/>
                    </w:rPr>
                    <w:t>（GB18918-2002）中</w:t>
                  </w:r>
                  <w:r>
                    <w:rPr>
                      <w:color w:val="auto"/>
                      <w:highlight w:val="none"/>
                      <w:u w:val="none" w:color="auto"/>
                    </w:rPr>
                    <w:t>一级</w:t>
                  </w:r>
                  <w:r>
                    <w:rPr>
                      <w:rFonts w:hint="eastAsia"/>
                      <w:color w:val="auto"/>
                      <w:highlight w:val="none"/>
                      <w:u w:val="none" w:color="auto"/>
                    </w:rPr>
                    <w:t>A</w:t>
                  </w:r>
                  <w:r>
                    <w:rPr>
                      <w:color w:val="auto"/>
                      <w:highlight w:val="none"/>
                      <w:u w:val="none" w:color="auto"/>
                    </w:rPr>
                    <w:t>标准</w:t>
                  </w:r>
                </w:p>
              </w:tc>
              <w:tc>
                <w:tcPr>
                  <w:tcW w:w="723"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6-9</w:t>
                  </w:r>
                </w:p>
              </w:tc>
              <w:tc>
                <w:tcPr>
                  <w:tcW w:w="727"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5</w:t>
                  </w:r>
                  <w:r>
                    <w:rPr>
                      <w:color w:val="auto"/>
                      <w:highlight w:val="none"/>
                      <w:u w:val="none" w:color="auto"/>
                    </w:rPr>
                    <w:t>0</w:t>
                  </w:r>
                </w:p>
              </w:tc>
              <w:tc>
                <w:tcPr>
                  <w:tcW w:w="755"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w:t>
                  </w:r>
                  <w:r>
                    <w:rPr>
                      <w:color w:val="auto"/>
                      <w:highlight w:val="none"/>
                      <w:u w:val="none" w:color="auto"/>
                    </w:rPr>
                    <w:t>0</w:t>
                  </w:r>
                </w:p>
              </w:tc>
              <w:tc>
                <w:tcPr>
                  <w:tcW w:w="584"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w:t>
                  </w:r>
                  <w:r>
                    <w:rPr>
                      <w:color w:val="auto"/>
                      <w:highlight w:val="none"/>
                      <w:u w:val="none" w:color="auto"/>
                    </w:rPr>
                    <w:t>0</w:t>
                  </w:r>
                </w:p>
              </w:tc>
              <w:tc>
                <w:tcPr>
                  <w:tcW w:w="612"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15</w:t>
                  </w:r>
                </w:p>
              </w:tc>
              <w:tc>
                <w:tcPr>
                  <w:tcW w:w="897"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5</w:t>
                  </w:r>
                  <w:r>
                    <w:rPr>
                      <w:color w:val="auto"/>
                      <w:highlight w:val="none"/>
                      <w:u w:val="none" w:color="auto"/>
                    </w:rPr>
                    <w:t>（</w:t>
                  </w:r>
                  <w:r>
                    <w:rPr>
                      <w:rFonts w:hint="eastAsia"/>
                      <w:color w:val="auto"/>
                      <w:highlight w:val="none"/>
                      <w:u w:val="none" w:color="auto"/>
                    </w:rPr>
                    <w:t>8</w:t>
                  </w:r>
                  <w:r>
                    <w:rPr>
                      <w:color w:val="auto"/>
                      <w:highlight w:val="none"/>
                      <w:u w:val="none" w:color="auto"/>
                    </w:rPr>
                    <w:t>）</w:t>
                  </w:r>
                </w:p>
              </w:tc>
              <w:tc>
                <w:tcPr>
                  <w:tcW w:w="741"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0.5</w:t>
                  </w:r>
                </w:p>
              </w:tc>
              <w:tc>
                <w:tcPr>
                  <w:tcW w:w="655" w:type="dxa"/>
                  <w:tcBorders>
                    <w:tl2br w:val="nil"/>
                    <w:tr2bl w:val="nil"/>
                  </w:tcBorders>
                  <w:vAlign w:val="center"/>
                </w:tcPr>
                <w:p>
                  <w:pPr>
                    <w:spacing w:line="400" w:lineRule="exact"/>
                    <w:jc w:val="center"/>
                    <w:rPr>
                      <w:color w:val="auto"/>
                      <w:highlight w:val="none"/>
                      <w:u w:val="none" w:color="auto"/>
                      <w:vertAlign w:val="superscript"/>
                    </w:rPr>
                  </w:pPr>
                  <w:r>
                    <w:rPr>
                      <w:color w:val="auto"/>
                      <w:highlight w:val="none"/>
                      <w:u w:val="none" w:color="auto"/>
                    </w:rPr>
                    <w:t>≤</w:t>
                  </w:r>
                  <w:r>
                    <w:rPr>
                      <w:rFonts w:hint="eastAsia"/>
                      <w:color w:val="auto"/>
                      <w:highlight w:val="none"/>
                      <w:u w:val="none" w:color="auto"/>
                    </w:rPr>
                    <w:t>0.5</w:t>
                  </w:r>
                </w:p>
              </w:tc>
              <w:tc>
                <w:tcPr>
                  <w:tcW w:w="839" w:type="dxa"/>
                  <w:tcBorders>
                    <w:tl2br w:val="nil"/>
                    <w:tr2bl w:val="nil"/>
                  </w:tcBorders>
                  <w:vAlign w:val="center"/>
                </w:tcPr>
                <w:p>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w:t>
                  </w:r>
                </w:p>
              </w:tc>
            </w:tr>
          </w:tbl>
          <w:p>
            <w:pPr>
              <w:spacing w:line="360" w:lineRule="auto"/>
              <w:jc w:val="left"/>
              <w:rPr>
                <w:b/>
                <w:color w:val="auto"/>
                <w:kern w:val="0"/>
                <w:sz w:val="24"/>
                <w:highlight w:val="none"/>
                <w:u w:val="none" w:color="auto"/>
              </w:rPr>
            </w:pPr>
            <w:r>
              <w:rPr>
                <w:b/>
                <w:color w:val="auto"/>
                <w:kern w:val="0"/>
                <w:sz w:val="24"/>
                <w:highlight w:val="none"/>
                <w:u w:val="none" w:color="auto"/>
              </w:rPr>
              <w:t>3、噪声</w:t>
            </w:r>
            <w:r>
              <w:rPr>
                <w:rFonts w:hint="eastAsia"/>
                <w:b/>
                <w:color w:val="auto"/>
                <w:kern w:val="0"/>
                <w:sz w:val="24"/>
                <w:highlight w:val="none"/>
                <w:u w:val="none" w:color="auto"/>
              </w:rPr>
              <w:t>排放标准</w:t>
            </w:r>
          </w:p>
          <w:p>
            <w:pPr>
              <w:spacing w:line="360" w:lineRule="auto"/>
              <w:ind w:firstLine="480" w:firstLineChars="200"/>
              <w:jc w:val="left"/>
              <w:rPr>
                <w:b/>
                <w:color w:val="auto"/>
                <w:highlight w:val="none"/>
                <w:u w:val="none" w:color="auto"/>
              </w:rPr>
            </w:pPr>
            <w:r>
              <w:rPr>
                <w:bCs/>
                <w:color w:val="auto"/>
                <w:sz w:val="24"/>
                <w:highlight w:val="none"/>
                <w:u w:val="none" w:color="auto"/>
              </w:rPr>
              <w:t>本项目施工期噪声排放执行《建筑施工场界环境噪声排放标准》（GB 12523-2011）；本项目</w:t>
            </w:r>
            <w:r>
              <w:rPr>
                <w:color w:val="auto"/>
                <w:sz w:val="24"/>
                <w:highlight w:val="none"/>
                <w:u w:val="none" w:color="auto"/>
              </w:rPr>
              <w:t>营运期噪声排放执行《工业企业厂界环境噪声排放标准》(GB12348-2008)中</w:t>
            </w:r>
            <w:r>
              <w:rPr>
                <w:rFonts w:hint="eastAsia"/>
                <w:color w:val="auto"/>
                <w:sz w:val="24"/>
                <w:highlight w:val="none"/>
                <w:u w:val="none" w:color="auto"/>
              </w:rPr>
              <w:t>3</w:t>
            </w:r>
            <w:r>
              <w:rPr>
                <w:color w:val="auto"/>
                <w:sz w:val="24"/>
                <w:highlight w:val="none"/>
                <w:u w:val="none" w:color="auto"/>
              </w:rPr>
              <w:t>类标准</w:t>
            </w:r>
            <w:r>
              <w:rPr>
                <w:color w:val="auto"/>
                <w:sz w:val="24"/>
                <w:highlight w:val="none"/>
                <w:u w:val="none" w:color="auto"/>
                <w:lang w:val="zh-CN"/>
              </w:rPr>
              <w:t>，</w:t>
            </w:r>
            <w:r>
              <w:rPr>
                <w:bCs/>
                <w:color w:val="auto"/>
                <w:sz w:val="24"/>
                <w:highlight w:val="none"/>
                <w:u w:val="none" w:color="auto"/>
              </w:rPr>
              <w:t>详见表</w:t>
            </w:r>
            <w:r>
              <w:rPr>
                <w:rFonts w:hint="eastAsia"/>
                <w:bCs/>
                <w:color w:val="auto"/>
                <w:sz w:val="24"/>
                <w:highlight w:val="none"/>
                <w:u w:val="none" w:color="auto"/>
              </w:rPr>
              <w:t>3-</w:t>
            </w:r>
            <w:r>
              <w:rPr>
                <w:rFonts w:hint="eastAsia"/>
                <w:bCs/>
                <w:color w:val="auto"/>
                <w:sz w:val="24"/>
                <w:highlight w:val="none"/>
                <w:u w:val="none" w:color="auto"/>
                <w:lang w:val="en-US" w:eastAsia="zh-CN"/>
              </w:rPr>
              <w:t>8</w:t>
            </w:r>
            <w:r>
              <w:rPr>
                <w:rFonts w:hint="eastAsia"/>
                <w:bCs/>
                <w:color w:val="auto"/>
                <w:sz w:val="24"/>
                <w:highlight w:val="none"/>
                <w:u w:val="none" w:color="auto"/>
              </w:rPr>
              <w:t>、3-</w:t>
            </w:r>
            <w:r>
              <w:rPr>
                <w:rFonts w:hint="eastAsia"/>
                <w:bCs/>
                <w:color w:val="auto"/>
                <w:sz w:val="24"/>
                <w:highlight w:val="none"/>
                <w:u w:val="none" w:color="auto"/>
                <w:lang w:val="en-US" w:eastAsia="zh-CN"/>
              </w:rPr>
              <w:t>9</w:t>
            </w:r>
            <w:r>
              <w:rPr>
                <w:bCs/>
                <w:color w:val="auto"/>
                <w:sz w:val="24"/>
                <w:highlight w:val="none"/>
                <w:u w:val="none" w:color="auto"/>
              </w:rPr>
              <w:t>。</w:t>
            </w:r>
          </w:p>
          <w:p>
            <w:pPr>
              <w:jc w:val="center"/>
              <w:rPr>
                <w:b/>
                <w:color w:val="auto"/>
                <w:highlight w:val="none"/>
                <w:u w:val="none" w:color="auto"/>
              </w:rPr>
            </w:pPr>
            <w:r>
              <w:rPr>
                <w:b/>
                <w:color w:val="auto"/>
                <w:highlight w:val="none"/>
                <w:u w:val="none" w:color="auto"/>
              </w:rPr>
              <w:t>表</w:t>
            </w:r>
            <w:r>
              <w:rPr>
                <w:rFonts w:hint="eastAsia"/>
                <w:b/>
                <w:color w:val="auto"/>
                <w:highlight w:val="none"/>
                <w:u w:val="none" w:color="auto"/>
              </w:rPr>
              <w:t>3-</w:t>
            </w:r>
            <w:r>
              <w:rPr>
                <w:rFonts w:hint="eastAsia"/>
                <w:b/>
                <w:color w:val="auto"/>
                <w:highlight w:val="none"/>
                <w:u w:val="none" w:color="auto"/>
                <w:lang w:val="en-US" w:eastAsia="zh-CN"/>
              </w:rPr>
              <w:t>8</w:t>
            </w:r>
            <w:r>
              <w:rPr>
                <w:rFonts w:hint="eastAsia"/>
                <w:b/>
                <w:color w:val="auto"/>
                <w:highlight w:val="none"/>
                <w:u w:val="none" w:color="auto"/>
              </w:rPr>
              <w:t xml:space="preserve"> </w:t>
            </w:r>
            <w:r>
              <w:rPr>
                <w:b/>
                <w:color w:val="auto"/>
                <w:highlight w:val="none"/>
                <w:u w:val="none" w:color="auto"/>
              </w:rPr>
              <w:t>《建筑施工场界环境噪声排放标准》（GB 12523-2011） 单位：dB(A)</w:t>
            </w:r>
          </w:p>
          <w:tbl>
            <w:tblPr>
              <w:tblStyle w:val="26"/>
              <w:tblW w:w="7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176"/>
              <w:gridCol w:w="1178"/>
              <w:gridCol w:w="2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23" w:type="dxa"/>
                  <w:vAlign w:val="center"/>
                </w:tcPr>
                <w:p>
                  <w:pPr>
                    <w:ind w:right="-40"/>
                    <w:jc w:val="center"/>
                    <w:rPr>
                      <w:color w:val="auto"/>
                      <w:highlight w:val="none"/>
                      <w:u w:val="none" w:color="auto"/>
                    </w:rPr>
                  </w:pPr>
                  <w:r>
                    <w:rPr>
                      <w:color w:val="auto"/>
                      <w:highlight w:val="none"/>
                      <w:u w:val="none" w:color="auto"/>
                    </w:rPr>
                    <w:t>污染物排放标准</w:t>
                  </w:r>
                </w:p>
              </w:tc>
              <w:tc>
                <w:tcPr>
                  <w:tcW w:w="1176" w:type="dxa"/>
                  <w:vAlign w:val="center"/>
                </w:tcPr>
                <w:p>
                  <w:pPr>
                    <w:ind w:right="-40"/>
                    <w:jc w:val="center"/>
                    <w:rPr>
                      <w:color w:val="auto"/>
                      <w:highlight w:val="none"/>
                      <w:u w:val="none" w:color="auto"/>
                    </w:rPr>
                  </w:pPr>
                  <w:r>
                    <w:rPr>
                      <w:color w:val="auto"/>
                      <w:highlight w:val="none"/>
                      <w:u w:val="none" w:color="auto"/>
                    </w:rPr>
                    <w:t>昼间</w:t>
                  </w:r>
                </w:p>
              </w:tc>
              <w:tc>
                <w:tcPr>
                  <w:tcW w:w="1178" w:type="dxa"/>
                  <w:vAlign w:val="center"/>
                </w:tcPr>
                <w:p>
                  <w:pPr>
                    <w:ind w:right="-40"/>
                    <w:jc w:val="center"/>
                    <w:rPr>
                      <w:color w:val="auto"/>
                      <w:highlight w:val="none"/>
                      <w:u w:val="none" w:color="auto"/>
                    </w:rPr>
                  </w:pPr>
                  <w:r>
                    <w:rPr>
                      <w:color w:val="auto"/>
                      <w:highlight w:val="none"/>
                      <w:u w:val="none" w:color="auto"/>
                    </w:rPr>
                    <w:t>夜间</w:t>
                  </w:r>
                </w:p>
              </w:tc>
              <w:tc>
                <w:tcPr>
                  <w:tcW w:w="2921" w:type="dxa"/>
                  <w:vAlign w:val="center"/>
                </w:tcPr>
                <w:p>
                  <w:pPr>
                    <w:ind w:right="-40"/>
                    <w:jc w:val="center"/>
                    <w:rPr>
                      <w:color w:val="auto"/>
                      <w:highlight w:val="none"/>
                      <w:u w:val="none" w:color="auto"/>
                    </w:rPr>
                  </w:pPr>
                  <w:r>
                    <w:rPr>
                      <w:color w:val="auto"/>
                      <w:highlight w:val="none"/>
                      <w:u w:val="none" w:color="auto"/>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23" w:type="dxa"/>
                  <w:vAlign w:val="center"/>
                </w:tcPr>
                <w:p>
                  <w:pPr>
                    <w:ind w:right="-40"/>
                    <w:jc w:val="center"/>
                    <w:rPr>
                      <w:color w:val="auto"/>
                      <w:highlight w:val="none"/>
                      <w:u w:val="none" w:color="auto"/>
                    </w:rPr>
                  </w:pPr>
                  <w:r>
                    <w:rPr>
                      <w:color w:val="auto"/>
                      <w:highlight w:val="none"/>
                      <w:u w:val="none" w:color="auto"/>
                    </w:rPr>
                    <w:t>（GB 12523-2011）</w:t>
                  </w:r>
                </w:p>
              </w:tc>
              <w:tc>
                <w:tcPr>
                  <w:tcW w:w="1176" w:type="dxa"/>
                  <w:vAlign w:val="center"/>
                </w:tcPr>
                <w:p>
                  <w:pPr>
                    <w:ind w:right="-40"/>
                    <w:jc w:val="center"/>
                    <w:rPr>
                      <w:color w:val="auto"/>
                      <w:highlight w:val="none"/>
                      <w:u w:val="none" w:color="auto"/>
                    </w:rPr>
                  </w:pPr>
                  <w:r>
                    <w:rPr>
                      <w:color w:val="auto"/>
                      <w:highlight w:val="none"/>
                      <w:u w:val="none" w:color="auto"/>
                    </w:rPr>
                    <w:t>70</w:t>
                  </w:r>
                </w:p>
              </w:tc>
              <w:tc>
                <w:tcPr>
                  <w:tcW w:w="1178" w:type="dxa"/>
                  <w:vAlign w:val="center"/>
                </w:tcPr>
                <w:p>
                  <w:pPr>
                    <w:ind w:right="-40"/>
                    <w:jc w:val="center"/>
                    <w:rPr>
                      <w:color w:val="auto"/>
                      <w:highlight w:val="none"/>
                      <w:u w:val="none" w:color="auto"/>
                    </w:rPr>
                  </w:pPr>
                  <w:r>
                    <w:rPr>
                      <w:color w:val="auto"/>
                      <w:highlight w:val="none"/>
                      <w:u w:val="none" w:color="auto"/>
                    </w:rPr>
                    <w:t>55</w:t>
                  </w:r>
                </w:p>
              </w:tc>
              <w:tc>
                <w:tcPr>
                  <w:tcW w:w="2921" w:type="dxa"/>
                  <w:vAlign w:val="center"/>
                </w:tcPr>
                <w:p>
                  <w:pPr>
                    <w:pStyle w:val="49"/>
                    <w:rPr>
                      <w:color w:val="auto"/>
                      <w:szCs w:val="21"/>
                      <w:highlight w:val="none"/>
                      <w:u w:val="none" w:color="auto"/>
                    </w:rPr>
                  </w:pPr>
                  <w:r>
                    <w:rPr>
                      <w:color w:val="auto"/>
                      <w:szCs w:val="21"/>
                      <w:highlight w:val="none"/>
                      <w:u w:val="none" w:color="auto"/>
                    </w:rPr>
                    <w:t>建筑施工场界</w:t>
                  </w:r>
                </w:p>
              </w:tc>
            </w:tr>
          </w:tbl>
          <w:p>
            <w:pPr>
              <w:jc w:val="center"/>
              <w:rPr>
                <w:b/>
                <w:color w:val="auto"/>
                <w:highlight w:val="none"/>
                <w:u w:val="none" w:color="auto"/>
              </w:rPr>
            </w:pPr>
            <w:r>
              <w:rPr>
                <w:b/>
                <w:color w:val="auto"/>
                <w:highlight w:val="none"/>
                <w:u w:val="none" w:color="auto"/>
              </w:rPr>
              <w:t>表</w:t>
            </w:r>
            <w:r>
              <w:rPr>
                <w:rFonts w:hint="eastAsia"/>
                <w:b/>
                <w:color w:val="auto"/>
                <w:highlight w:val="none"/>
                <w:u w:val="none" w:color="auto"/>
              </w:rPr>
              <w:t>3</w:t>
            </w:r>
            <w:r>
              <w:rPr>
                <w:b/>
                <w:color w:val="auto"/>
                <w:highlight w:val="none"/>
                <w:u w:val="none" w:color="auto"/>
              </w:rPr>
              <w:t>-</w:t>
            </w:r>
            <w:r>
              <w:rPr>
                <w:rFonts w:hint="eastAsia"/>
                <w:b/>
                <w:color w:val="auto"/>
                <w:highlight w:val="none"/>
                <w:u w:val="none" w:color="auto"/>
                <w:lang w:val="en-US" w:eastAsia="zh-CN"/>
              </w:rPr>
              <w:t>9</w:t>
            </w:r>
            <w:r>
              <w:rPr>
                <w:b/>
                <w:color w:val="auto"/>
                <w:highlight w:val="none"/>
                <w:u w:val="none" w:color="auto"/>
              </w:rPr>
              <w:t>《工业企业厂界环境噪声排放标准》(GB12348-2008)   单位：dB(A)</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0"/>
              <w:gridCol w:w="2674"/>
              <w:gridCol w:w="2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440" w:type="dxa"/>
                  <w:vMerge w:val="restart"/>
                  <w:vAlign w:val="center"/>
                </w:tcPr>
                <w:p>
                  <w:pPr>
                    <w:tabs>
                      <w:tab w:val="left" w:pos="360"/>
                    </w:tabs>
                    <w:adjustRightInd w:val="0"/>
                    <w:snapToGrid w:val="0"/>
                    <w:spacing w:line="300" w:lineRule="exact"/>
                    <w:jc w:val="center"/>
                    <w:rPr>
                      <w:color w:val="auto"/>
                      <w:highlight w:val="none"/>
                      <w:u w:val="none" w:color="auto"/>
                    </w:rPr>
                  </w:pPr>
                  <w:r>
                    <w:rPr>
                      <w:color w:val="auto"/>
                      <w:highlight w:val="none"/>
                      <w:u w:val="none" w:color="auto"/>
                    </w:rPr>
                    <w:t>声环境功能区类别</w:t>
                  </w:r>
                </w:p>
              </w:tc>
              <w:tc>
                <w:tcPr>
                  <w:tcW w:w="5179" w:type="dxa"/>
                  <w:gridSpan w:val="2"/>
                  <w:vAlign w:val="center"/>
                </w:tcPr>
                <w:p>
                  <w:pPr>
                    <w:tabs>
                      <w:tab w:val="left" w:pos="360"/>
                    </w:tabs>
                    <w:adjustRightInd w:val="0"/>
                    <w:snapToGrid w:val="0"/>
                    <w:spacing w:line="300" w:lineRule="exact"/>
                    <w:jc w:val="center"/>
                    <w:rPr>
                      <w:color w:val="auto"/>
                      <w:highlight w:val="none"/>
                      <w:u w:val="none" w:color="auto"/>
                    </w:rPr>
                  </w:pPr>
                  <w:r>
                    <w:rPr>
                      <w:color w:val="auto"/>
                      <w:highlight w:val="none"/>
                      <w:u w:val="none" w:color="auto"/>
                    </w:rPr>
                    <w:t>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Merge w:val="continue"/>
                  <w:vAlign w:val="center"/>
                </w:tcPr>
                <w:p>
                  <w:pPr>
                    <w:tabs>
                      <w:tab w:val="left" w:pos="360"/>
                    </w:tabs>
                    <w:adjustRightInd w:val="0"/>
                    <w:snapToGrid w:val="0"/>
                    <w:spacing w:line="300" w:lineRule="exact"/>
                    <w:jc w:val="center"/>
                    <w:rPr>
                      <w:color w:val="auto"/>
                      <w:highlight w:val="none"/>
                      <w:u w:val="none" w:color="auto"/>
                    </w:rPr>
                  </w:pPr>
                </w:p>
              </w:tc>
              <w:tc>
                <w:tcPr>
                  <w:tcW w:w="2674" w:type="dxa"/>
                  <w:vAlign w:val="center"/>
                </w:tcPr>
                <w:p>
                  <w:pPr>
                    <w:tabs>
                      <w:tab w:val="left" w:pos="360"/>
                    </w:tabs>
                    <w:adjustRightInd w:val="0"/>
                    <w:snapToGrid w:val="0"/>
                    <w:spacing w:line="300" w:lineRule="exact"/>
                    <w:jc w:val="center"/>
                    <w:rPr>
                      <w:color w:val="auto"/>
                      <w:highlight w:val="none"/>
                      <w:u w:val="none" w:color="auto"/>
                    </w:rPr>
                  </w:pPr>
                  <w:r>
                    <w:rPr>
                      <w:color w:val="auto"/>
                      <w:highlight w:val="none"/>
                      <w:u w:val="none" w:color="auto"/>
                    </w:rPr>
                    <w:t>昼间</w:t>
                  </w:r>
                </w:p>
              </w:tc>
              <w:tc>
                <w:tcPr>
                  <w:tcW w:w="2505" w:type="dxa"/>
                  <w:vAlign w:val="center"/>
                </w:tcPr>
                <w:p>
                  <w:pPr>
                    <w:tabs>
                      <w:tab w:val="left" w:pos="360"/>
                    </w:tabs>
                    <w:adjustRightInd w:val="0"/>
                    <w:snapToGrid w:val="0"/>
                    <w:spacing w:line="300" w:lineRule="exact"/>
                    <w:jc w:val="center"/>
                    <w:rPr>
                      <w:color w:val="auto"/>
                      <w:highlight w:val="none"/>
                      <w:u w:val="none" w:color="auto"/>
                    </w:rPr>
                  </w:pPr>
                  <w:r>
                    <w:rPr>
                      <w:color w:val="auto"/>
                      <w:highlight w:val="none"/>
                      <w:u w:val="none" w:color="auto"/>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Align w:val="center"/>
                </w:tcPr>
                <w:p>
                  <w:pPr>
                    <w:tabs>
                      <w:tab w:val="left" w:pos="360"/>
                    </w:tabs>
                    <w:spacing w:line="300" w:lineRule="exact"/>
                    <w:jc w:val="center"/>
                    <w:rPr>
                      <w:color w:val="auto"/>
                      <w:highlight w:val="none"/>
                      <w:u w:val="none" w:color="auto"/>
                    </w:rPr>
                  </w:pPr>
                  <w:r>
                    <w:rPr>
                      <w:rFonts w:hint="eastAsia"/>
                      <w:color w:val="auto"/>
                      <w:highlight w:val="none"/>
                      <w:u w:val="none" w:color="auto"/>
                    </w:rPr>
                    <w:t>3</w:t>
                  </w:r>
                  <w:r>
                    <w:rPr>
                      <w:color w:val="auto"/>
                      <w:highlight w:val="none"/>
                      <w:u w:val="none" w:color="auto"/>
                    </w:rPr>
                    <w:t>类</w:t>
                  </w:r>
                </w:p>
              </w:tc>
              <w:tc>
                <w:tcPr>
                  <w:tcW w:w="2674" w:type="dxa"/>
                  <w:vAlign w:val="center"/>
                </w:tcPr>
                <w:p>
                  <w:pPr>
                    <w:tabs>
                      <w:tab w:val="left" w:pos="360"/>
                    </w:tabs>
                    <w:spacing w:line="300" w:lineRule="exact"/>
                    <w:jc w:val="center"/>
                    <w:rPr>
                      <w:color w:val="auto"/>
                      <w:highlight w:val="none"/>
                      <w:u w:val="none" w:color="auto"/>
                    </w:rPr>
                  </w:pPr>
                  <w:r>
                    <w:rPr>
                      <w:color w:val="auto"/>
                      <w:highlight w:val="none"/>
                      <w:u w:val="none" w:color="auto"/>
                    </w:rPr>
                    <w:t>6</w:t>
                  </w:r>
                  <w:r>
                    <w:rPr>
                      <w:rFonts w:hint="eastAsia"/>
                      <w:color w:val="auto"/>
                      <w:highlight w:val="none"/>
                      <w:u w:val="none" w:color="auto"/>
                    </w:rPr>
                    <w:t>5</w:t>
                  </w:r>
                </w:p>
              </w:tc>
              <w:tc>
                <w:tcPr>
                  <w:tcW w:w="2505" w:type="dxa"/>
                  <w:vAlign w:val="center"/>
                </w:tcPr>
                <w:p>
                  <w:pPr>
                    <w:tabs>
                      <w:tab w:val="left" w:pos="360"/>
                    </w:tabs>
                    <w:spacing w:line="300" w:lineRule="exact"/>
                    <w:jc w:val="center"/>
                    <w:rPr>
                      <w:color w:val="auto"/>
                      <w:highlight w:val="none"/>
                      <w:u w:val="none" w:color="auto"/>
                    </w:rPr>
                  </w:pPr>
                  <w:r>
                    <w:rPr>
                      <w:color w:val="auto"/>
                      <w:highlight w:val="none"/>
                      <w:u w:val="none" w:color="auto"/>
                    </w:rPr>
                    <w:t>5</w:t>
                  </w:r>
                  <w:r>
                    <w:rPr>
                      <w:rFonts w:hint="eastAsia"/>
                      <w:color w:val="auto"/>
                      <w:highlight w:val="none"/>
                      <w:u w:val="none" w:color="auto"/>
                    </w:rPr>
                    <w:t>5</w:t>
                  </w:r>
                </w:p>
              </w:tc>
            </w:tr>
          </w:tbl>
          <w:p>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4、固废</w:t>
            </w:r>
          </w:p>
          <w:p>
            <w:pPr>
              <w:spacing w:line="360" w:lineRule="auto"/>
              <w:ind w:firstLine="480" w:firstLineChars="200"/>
              <w:rPr>
                <w:color w:val="auto"/>
                <w:kern w:val="0"/>
                <w:sz w:val="24"/>
                <w:szCs w:val="24"/>
                <w:highlight w:val="none"/>
                <w:u w:val="none" w:color="auto"/>
              </w:rPr>
            </w:pPr>
            <w:r>
              <w:rPr>
                <w:color w:val="auto"/>
                <w:sz w:val="24"/>
                <w:highlight w:val="none"/>
                <w:u w:val="none" w:color="auto"/>
              </w:rPr>
              <w:t>本项目一般工业固体废弃物执行</w:t>
            </w:r>
            <w:r>
              <w:rPr>
                <w:rFonts w:hint="eastAsia"/>
                <w:color w:val="auto"/>
                <w:sz w:val="24"/>
                <w:highlight w:val="none"/>
                <w:u w:val="none" w:color="auto"/>
              </w:rPr>
              <w:t>《一般工业固体废物贮存和填埋污染控制标准》（GB18599-2020）</w:t>
            </w:r>
            <w:r>
              <w:rPr>
                <w:color w:val="auto"/>
                <w:sz w:val="24"/>
                <w:highlight w:val="none"/>
                <w:u w:val="none" w:color="auto"/>
              </w:rPr>
              <w:t>；危险固废执行危险废物暂存执行</w:t>
            </w:r>
            <w:r>
              <w:rPr>
                <w:rFonts w:hint="eastAsia"/>
                <w:color w:val="auto"/>
                <w:sz w:val="24"/>
                <w:highlight w:val="none"/>
                <w:u w:val="none" w:color="auto"/>
                <w:lang w:eastAsia="zh-CN"/>
              </w:rPr>
              <w:t>《</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中的相关要求；生活垃圾处理处置执行《生活垃圾填埋场污染控制标准》（GB16889-2008）</w:t>
            </w:r>
            <w:r>
              <w:rPr>
                <w:color w:val="auto"/>
                <w:sz w:val="24"/>
                <w:szCs w:val="24"/>
                <w:highlight w:val="none"/>
                <w:u w:val="none" w:color="auto"/>
              </w:rPr>
              <w:t>。</w:t>
            </w:r>
          </w:p>
          <w:p>
            <w:pPr>
              <w:spacing w:line="360" w:lineRule="auto"/>
              <w:jc w:val="center"/>
              <w:rPr>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总量控制指标</w:t>
            </w:r>
          </w:p>
        </w:tc>
        <w:tc>
          <w:tcPr>
            <w:tcW w:w="7884" w:type="dxa"/>
          </w:tcPr>
          <w:p>
            <w:pPr>
              <w:pStyle w:val="9"/>
              <w:spacing w:line="360" w:lineRule="auto"/>
              <w:ind w:left="0" w:leftChars="0" w:firstLine="480" w:firstLineChars="200"/>
              <w:rPr>
                <w:color w:val="auto"/>
                <w:kern w:val="2"/>
                <w:highlight w:val="none"/>
                <w:u w:val="none" w:color="auto"/>
              </w:rPr>
            </w:pPr>
            <w:r>
              <w:rPr>
                <w:color w:val="auto"/>
                <w:kern w:val="2"/>
                <w:highlight w:val="none"/>
                <w:u w:val="none" w:color="auto"/>
              </w:rPr>
              <w:t>按国家对污染物排放总量控制指标的要求，在核算基础上，提出工程污染物总量控制建议指标，是建设项目环境影响评价的任务之一，污染物总量控制建议指标应包括国家规定的指标和项目特征污染物。并结合本项目工程特征，确定本项目的总量控制因子为废水为COD、氨氮。</w:t>
            </w:r>
          </w:p>
          <w:p>
            <w:pPr>
              <w:pStyle w:val="9"/>
              <w:spacing w:line="360" w:lineRule="auto"/>
              <w:ind w:left="0" w:leftChars="0" w:firstLine="480" w:firstLineChars="200"/>
              <w:rPr>
                <w:color w:val="auto"/>
                <w:kern w:val="2"/>
                <w:szCs w:val="24"/>
                <w:highlight w:val="none"/>
                <w:u w:val="none" w:color="auto"/>
              </w:rPr>
            </w:pPr>
            <w:r>
              <w:rPr>
                <w:color w:val="auto"/>
                <w:kern w:val="2"/>
                <w:highlight w:val="none"/>
                <w:u w:val="none" w:color="auto"/>
              </w:rPr>
              <w:t>①水污染物控制指标：</w:t>
            </w:r>
            <w:r>
              <w:rPr>
                <w:rFonts w:hint="eastAsia"/>
                <w:color w:val="auto"/>
                <w:highlight w:val="none"/>
                <w:u w:val="none" w:color="auto"/>
              </w:rPr>
              <w:t>本项目</w:t>
            </w:r>
            <w:r>
              <w:rPr>
                <w:color w:val="auto"/>
                <w:highlight w:val="none"/>
                <w:u w:val="none" w:color="auto"/>
              </w:rPr>
              <w:t>生活污</w:t>
            </w:r>
            <w:r>
              <w:rPr>
                <w:color w:val="auto"/>
                <w:szCs w:val="28"/>
                <w:highlight w:val="none"/>
                <w:u w:val="none" w:color="auto"/>
              </w:rPr>
              <w:t>水经化粪池污水处理设施达到</w:t>
            </w:r>
            <w:r>
              <w:rPr>
                <w:rFonts w:hint="eastAsia"/>
                <w:color w:val="auto"/>
                <w:sz w:val="24"/>
                <w:highlight w:val="none"/>
                <w:u w:val="none" w:color="auto"/>
              </w:rPr>
              <w:t>《电子工业水污染物排放标准》（GB 39731-2020）表1水污染物排放限值</w:t>
            </w:r>
            <w:r>
              <w:rPr>
                <w:rFonts w:hint="eastAsia"/>
                <w:color w:val="auto"/>
                <w:sz w:val="24"/>
                <w:highlight w:val="none"/>
                <w:u w:val="none" w:color="auto"/>
                <w:lang w:val="en-US" w:eastAsia="zh-CN"/>
              </w:rPr>
              <w:t>限值</w:t>
            </w:r>
            <w:r>
              <w:rPr>
                <w:color w:val="auto"/>
                <w:sz w:val="24"/>
                <w:highlight w:val="none"/>
                <w:u w:val="none" w:color="auto"/>
              </w:rPr>
              <w:t>后排入市政污水管网进入下河线污水处理厂处理</w:t>
            </w:r>
            <w:r>
              <w:rPr>
                <w:rFonts w:hint="eastAsia"/>
                <w:color w:val="auto"/>
                <w:sz w:val="24"/>
                <w:highlight w:val="none"/>
                <w:u w:val="none" w:color="auto"/>
              </w:rPr>
              <w:t>达到《城镇污水处理厂污染物排放标准》（GB18918-2002）及修改单中一级A标准</w:t>
            </w:r>
            <w:r>
              <w:rPr>
                <w:rFonts w:hint="eastAsia"/>
                <w:color w:val="auto"/>
                <w:szCs w:val="24"/>
                <w:highlight w:val="none"/>
                <w:u w:val="none" w:color="auto"/>
              </w:rPr>
              <w:t>。</w:t>
            </w:r>
            <w:r>
              <w:rPr>
                <w:color w:val="auto"/>
                <w:kern w:val="2"/>
                <w:szCs w:val="24"/>
                <w:highlight w:val="none"/>
                <w:u w:val="none" w:color="auto"/>
              </w:rPr>
              <w:t>因此无需申请</w:t>
            </w:r>
            <w:r>
              <w:rPr>
                <w:rFonts w:hint="eastAsia"/>
                <w:color w:val="auto"/>
                <w:kern w:val="2"/>
                <w:szCs w:val="24"/>
                <w:highlight w:val="none"/>
                <w:u w:val="none" w:color="auto"/>
              </w:rPr>
              <w:t>水</w:t>
            </w:r>
            <w:r>
              <w:rPr>
                <w:color w:val="auto"/>
                <w:kern w:val="2"/>
                <w:szCs w:val="24"/>
                <w:highlight w:val="none"/>
                <w:u w:val="none" w:color="auto"/>
              </w:rPr>
              <w:t>总量指标。</w:t>
            </w:r>
          </w:p>
          <w:p>
            <w:pPr>
              <w:widowControl/>
              <w:spacing w:line="360" w:lineRule="auto"/>
              <w:ind w:firstLine="480" w:firstLineChars="200"/>
              <w:jc w:val="left"/>
              <w:rPr>
                <w:color w:val="auto"/>
                <w:kern w:val="0"/>
                <w:sz w:val="24"/>
                <w:szCs w:val="24"/>
                <w:highlight w:val="none"/>
                <w:u w:val="none" w:color="auto"/>
              </w:rPr>
            </w:pPr>
            <w:r>
              <w:rPr>
                <w:rFonts w:hint="eastAsia"/>
                <w:bCs/>
                <w:color w:val="auto"/>
                <w:sz w:val="24"/>
                <w:highlight w:val="none"/>
                <w:u w:val="none" w:color="auto"/>
              </w:rPr>
              <w:t>②大气总量控制指标：根据工程分析，本项目</w:t>
            </w:r>
            <w:r>
              <w:rPr>
                <w:rFonts w:hint="eastAsia"/>
                <w:bCs/>
                <w:color w:val="auto"/>
                <w:sz w:val="24"/>
                <w:highlight w:val="none"/>
                <w:u w:val="none" w:color="auto"/>
                <w:lang w:val="en-US" w:eastAsia="zh-CN"/>
              </w:rPr>
              <w:t>非甲烷总烃</w:t>
            </w:r>
            <w:r>
              <w:rPr>
                <w:rFonts w:hint="eastAsia"/>
                <w:bCs/>
                <w:color w:val="auto"/>
                <w:sz w:val="24"/>
                <w:highlight w:val="none"/>
                <w:u w:val="none" w:color="auto"/>
              </w:rPr>
              <w:t>排放量</w:t>
            </w:r>
            <w:r>
              <w:rPr>
                <w:rFonts w:hint="eastAsia"/>
                <w:bCs/>
                <w:color w:val="auto"/>
                <w:sz w:val="24"/>
                <w:szCs w:val="24"/>
                <w:highlight w:val="none"/>
                <w:u w:val="none" w:color="auto"/>
              </w:rPr>
              <w:t>为</w:t>
            </w:r>
            <w:r>
              <w:rPr>
                <w:rFonts w:hint="eastAsia"/>
                <w:color w:val="auto"/>
                <w:sz w:val="24"/>
                <w:szCs w:val="24"/>
                <w:highlight w:val="none"/>
                <w:u w:val="none" w:color="auto"/>
                <w:lang w:val="en-US" w:eastAsia="zh-CN"/>
              </w:rPr>
              <w:t>0.1661</w:t>
            </w:r>
            <w:r>
              <w:rPr>
                <w:color w:val="auto"/>
                <w:kern w:val="0"/>
                <w:sz w:val="24"/>
                <w:szCs w:val="24"/>
                <w:highlight w:val="none"/>
                <w:u w:val="none" w:color="auto"/>
              </w:rPr>
              <w:t>t/a</w:t>
            </w:r>
            <w:r>
              <w:rPr>
                <w:rFonts w:hint="eastAsia"/>
                <w:bCs/>
                <w:color w:val="auto"/>
                <w:sz w:val="24"/>
                <w:szCs w:val="24"/>
                <w:highlight w:val="none"/>
                <w:u w:val="none" w:color="auto"/>
              </w:rPr>
              <w:t>，</w:t>
            </w:r>
            <w:r>
              <w:rPr>
                <w:rFonts w:hint="eastAsia"/>
                <w:bCs/>
                <w:color w:val="auto"/>
                <w:sz w:val="24"/>
                <w:highlight w:val="none"/>
                <w:u w:val="none" w:color="auto"/>
              </w:rPr>
              <w:t>目前VOCs总量控制指标未纳入国家总量控制指标体系，建议核定，不进行总量控制指标交易。</w:t>
            </w:r>
          </w:p>
        </w:tc>
      </w:tr>
    </w:tbl>
    <w:p>
      <w:pPr>
        <w:pStyle w:val="4"/>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before="0" w:after="0" w:line="360" w:lineRule="auto"/>
        <w:jc w:val="center"/>
        <w:rPr>
          <w:color w:val="auto"/>
          <w:sz w:val="32"/>
          <w:highlight w:val="none"/>
          <w:u w:val="none" w:color="auto"/>
        </w:rPr>
      </w:pPr>
      <w:bookmarkStart w:id="6" w:name="_Toc19306_WPSOffice_Level1"/>
      <w:r>
        <w:rPr>
          <w:rFonts w:hint="eastAsia"/>
          <w:color w:val="auto"/>
          <w:sz w:val="32"/>
          <w:highlight w:val="none"/>
          <w:u w:val="none" w:color="auto"/>
        </w:rPr>
        <w:t>四、主要环境影响和保护措施</w:t>
      </w:r>
      <w:bookmarkEnd w:id="6"/>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20"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施工期环境保护措施</w:t>
            </w:r>
          </w:p>
        </w:tc>
        <w:tc>
          <w:tcPr>
            <w:tcW w:w="8251" w:type="dxa"/>
          </w:tcPr>
          <w:p>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w:t>
            </w:r>
            <w:r>
              <w:rPr>
                <w:rFonts w:hint="eastAsia"/>
                <w:color w:val="auto"/>
                <w:sz w:val="24"/>
                <w:szCs w:val="24"/>
                <w:highlight w:val="none"/>
                <w:u w:val="none" w:color="auto"/>
              </w:rPr>
              <w:t>租赁</w:t>
            </w:r>
            <w:r>
              <w:rPr>
                <w:rFonts w:hint="eastAsia"/>
                <w:color w:val="auto"/>
                <w:sz w:val="24"/>
                <w:highlight w:val="none"/>
                <w:u w:val="none" w:color="auto"/>
              </w:rPr>
              <w:t>湖南锦络电子股份有限公司3号栋1-3楼厂房及配套附属设施，项目入驻只需进行简单的装修和设备安装。据调查，由于施工时间较短，施工量较小，基本在封闭的空间内施工，施工期对项目周边环境敏感目标没有产生明显影响，因此仅对施工期间产生的污染及其对环境的影响做简单分析，并提出相应的防治措施。</w:t>
            </w:r>
          </w:p>
          <w:p>
            <w:pPr>
              <w:numPr>
                <w:ilvl w:val="0"/>
                <w:numId w:val="4"/>
              </w:numPr>
              <w:spacing w:line="360" w:lineRule="auto"/>
              <w:ind w:firstLine="602" w:firstLineChars="250"/>
              <w:jc w:val="left"/>
              <w:rPr>
                <w:b/>
                <w:color w:val="auto"/>
                <w:sz w:val="24"/>
                <w:highlight w:val="none"/>
                <w:u w:val="none" w:color="auto"/>
              </w:rPr>
            </w:pPr>
            <w:r>
              <w:rPr>
                <w:b/>
                <w:color w:val="auto"/>
                <w:sz w:val="24"/>
                <w:highlight w:val="none"/>
                <w:u w:val="none" w:color="auto"/>
              </w:rPr>
              <w:t>施工期废气污染防治措施：</w:t>
            </w:r>
          </w:p>
          <w:p>
            <w:pPr>
              <w:widowControl/>
              <w:spacing w:line="360" w:lineRule="auto"/>
              <w:ind w:firstLine="480" w:firstLineChars="200"/>
              <w:jc w:val="left"/>
              <w:rPr>
                <w:color w:val="auto"/>
                <w:sz w:val="24"/>
                <w:highlight w:val="none"/>
                <w:u w:val="none" w:color="auto"/>
              </w:rPr>
            </w:pPr>
            <w:r>
              <w:rPr>
                <w:color w:val="auto"/>
                <w:sz w:val="24"/>
                <w:highlight w:val="none"/>
                <w:u w:val="none" w:color="auto"/>
              </w:rPr>
              <w:t>本项目施工期产生的大气污染物主要为装修过程中使用的涂料、油漆、胶水和密度板、层压板、强化地板等装修材料含有放射性污染物氡、化学污染物甲醛、氨、苯及总挥发性有机物(TVOC)等，据资料表明，建筑内外装饰过程产生的有害物质主要为以各种形式逸出的甲醛和挥发性有机物VOC等，建设单位应合理选择建筑及装修材料，在建筑装修工程阶段，需加强现场管理，建筑装修采用环保型装饰材料和建筑涂料，以避免室内空气污染现象的发生，并使室内环境和公共场所环境满足《室内空气质量标准》（GB/T1883-2002），以减少有害气体物质对旅客和工作人员身体的危害。</w:t>
            </w:r>
          </w:p>
          <w:p>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2、施工期废水污染防治措施：</w:t>
            </w:r>
          </w:p>
          <w:p>
            <w:pPr>
              <w:spacing w:line="360" w:lineRule="auto"/>
              <w:ind w:firstLine="480" w:firstLineChars="200"/>
              <w:jc w:val="left"/>
              <w:rPr>
                <w:color w:val="auto"/>
                <w:sz w:val="24"/>
                <w:szCs w:val="24"/>
                <w:highlight w:val="none"/>
                <w:u w:val="none" w:color="auto"/>
              </w:rPr>
            </w:pPr>
            <w:r>
              <w:rPr>
                <w:color w:val="auto"/>
                <w:sz w:val="24"/>
                <w:highlight w:val="none"/>
                <w:u w:val="none" w:color="auto"/>
              </w:rPr>
              <w:t>本项目施工人员均为项目建设区域附近居民，食宿均不在施工场内，施工期产生的废水主要是施工人员粪便废水，主要污染物为COD、BOD</w:t>
            </w:r>
            <w:r>
              <w:rPr>
                <w:color w:val="auto"/>
                <w:sz w:val="24"/>
                <w:highlight w:val="none"/>
                <w:u w:val="none" w:color="auto"/>
                <w:vertAlign w:val="subscript"/>
              </w:rPr>
              <w:t>5</w:t>
            </w:r>
            <w:r>
              <w:rPr>
                <w:color w:val="auto"/>
                <w:sz w:val="24"/>
                <w:highlight w:val="none"/>
                <w:u w:val="none" w:color="auto"/>
              </w:rPr>
              <w:t>、SS、氨氮。目前，项目所在区域污水管网已建成，项目施工人员生活污水经化粪池处理后，排入附近市政污水管网，经污水处理厂处理后对外环境影响较小。</w:t>
            </w:r>
          </w:p>
          <w:p>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3、施工期噪声污染防治措施：</w:t>
            </w:r>
          </w:p>
          <w:p>
            <w:pPr>
              <w:snapToGrid w:val="0"/>
              <w:spacing w:line="360" w:lineRule="auto"/>
              <w:ind w:firstLine="480" w:firstLineChars="200"/>
              <w:jc w:val="left"/>
              <w:rPr>
                <w:color w:val="auto"/>
                <w:sz w:val="24"/>
                <w:highlight w:val="none"/>
                <w:u w:val="none" w:color="auto"/>
              </w:rPr>
            </w:pPr>
            <w:r>
              <w:rPr>
                <w:color w:val="auto"/>
                <w:sz w:val="24"/>
                <w:highlight w:val="none"/>
                <w:u w:val="none" w:color="auto"/>
              </w:rPr>
              <w:t>施工期厂房及附属设施装修安装设备噪声污染源主要来源于电钻、电锯、电锤等施工设备噪声和物料运输的交通噪声，噪声源强值约在75-95dB（A）之间。项目通过墙体阻隔降噪后，噪声值可降低15-25 dB(A)。为了进一步减少施工期噪声对区域环境的影响，建议采取以下防治措施：</w:t>
            </w:r>
          </w:p>
          <w:p>
            <w:pPr>
              <w:spacing w:line="360" w:lineRule="auto"/>
              <w:ind w:firstLine="480" w:firstLineChars="200"/>
              <w:jc w:val="left"/>
              <w:rPr>
                <w:color w:val="auto"/>
                <w:sz w:val="24"/>
                <w:highlight w:val="none"/>
                <w:u w:val="none" w:color="auto"/>
              </w:rPr>
            </w:pPr>
            <w:r>
              <w:rPr>
                <w:color w:val="auto"/>
                <w:sz w:val="24"/>
                <w:highlight w:val="none"/>
                <w:u w:val="none" w:color="auto"/>
              </w:rPr>
              <w:t>①合理安排施工时间，施工应安排在昼间6：00~12：00、14：00~22：00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GB12523-2011）的限值要求，即夜间≤55dB(A)。</w:t>
            </w:r>
          </w:p>
          <w:p>
            <w:pPr>
              <w:spacing w:line="360" w:lineRule="auto"/>
              <w:ind w:firstLine="480" w:firstLineChars="200"/>
              <w:jc w:val="left"/>
              <w:rPr>
                <w:color w:val="auto"/>
                <w:sz w:val="24"/>
                <w:highlight w:val="none"/>
                <w:u w:val="none" w:color="auto"/>
              </w:rPr>
            </w:pPr>
            <w:r>
              <w:rPr>
                <w:color w:val="auto"/>
                <w:sz w:val="24"/>
                <w:highlight w:val="none"/>
                <w:u w:val="none" w:color="auto"/>
              </w:rPr>
              <w:t>②选用低噪声设备和工作方式，加强设备的维护与管理，把噪声污染减少到最低程度。</w:t>
            </w:r>
          </w:p>
          <w:p>
            <w:pPr>
              <w:spacing w:line="360" w:lineRule="auto"/>
              <w:ind w:firstLine="480" w:firstLineChars="200"/>
              <w:rPr>
                <w:color w:val="auto"/>
                <w:sz w:val="24"/>
                <w:highlight w:val="none"/>
                <w:u w:val="none" w:color="auto"/>
              </w:rPr>
            </w:pPr>
            <w:r>
              <w:rPr>
                <w:color w:val="auto"/>
                <w:sz w:val="24"/>
                <w:highlight w:val="none"/>
                <w:u w:val="none" w:color="auto"/>
              </w:rPr>
              <w:t>③合理布局高噪声设备，电锯、电锤等可移动的高噪声设备放置在远离环境敏感点一侧，避免在同一地点安排大量动力机械设备，以免局部声级过高。</w:t>
            </w:r>
          </w:p>
          <w:p>
            <w:pPr>
              <w:spacing w:line="360" w:lineRule="auto"/>
              <w:ind w:firstLine="480" w:firstLineChars="200"/>
              <w:rPr>
                <w:color w:val="auto"/>
                <w:sz w:val="24"/>
                <w:highlight w:val="none"/>
                <w:u w:val="none" w:color="auto"/>
              </w:rPr>
            </w:pPr>
            <w:r>
              <w:rPr>
                <w:color w:val="auto"/>
                <w:sz w:val="24"/>
                <w:highlight w:val="none"/>
                <w:u w:val="none" w:color="auto"/>
              </w:rPr>
              <w:t>④加强运输车辆的管理，按规定组织车辆运输，合理规定运输通道。施工场地内道路应尽量保持平坦，减少由于道路不平而引起的车辆颠簸噪声。</w:t>
            </w:r>
          </w:p>
          <w:p>
            <w:pPr>
              <w:widowControl/>
              <w:spacing w:line="360" w:lineRule="auto"/>
              <w:ind w:firstLine="470" w:firstLineChars="196"/>
              <w:jc w:val="left"/>
              <w:rPr>
                <w:color w:val="auto"/>
                <w:sz w:val="24"/>
                <w:szCs w:val="24"/>
                <w:highlight w:val="none"/>
                <w:u w:val="none" w:color="auto"/>
              </w:rPr>
            </w:pPr>
            <w:r>
              <w:rPr>
                <w:color w:val="auto"/>
                <w:sz w:val="24"/>
                <w:highlight w:val="none"/>
                <w:u w:val="none" w:color="auto"/>
              </w:rPr>
              <w:t>通过</w:t>
            </w:r>
            <w:r>
              <w:rPr>
                <w:rFonts w:hint="eastAsia"/>
                <w:color w:val="auto"/>
                <w:sz w:val="24"/>
                <w:highlight w:val="none"/>
                <w:u w:val="none" w:color="auto"/>
                <w:lang w:val="en-US" w:eastAsia="zh-CN"/>
              </w:rPr>
              <w:t>上述措</w:t>
            </w:r>
            <w:r>
              <w:rPr>
                <w:color w:val="auto"/>
                <w:sz w:val="24"/>
                <w:highlight w:val="none"/>
                <w:u w:val="none" w:color="auto"/>
              </w:rPr>
              <w:t>施后，项目装修阶段场界噪声可达到《建筑施工场界噪声排放标准》（GB12523-2011）中标准限值，对环境影响较小。</w:t>
            </w:r>
          </w:p>
          <w:p>
            <w:pPr>
              <w:widowControl/>
              <w:spacing w:line="360" w:lineRule="auto"/>
              <w:ind w:firstLine="482" w:firstLineChars="200"/>
              <w:jc w:val="left"/>
              <w:rPr>
                <w:color w:val="auto"/>
                <w:sz w:val="24"/>
                <w:szCs w:val="22"/>
                <w:highlight w:val="none"/>
                <w:u w:val="none" w:color="auto"/>
              </w:rPr>
            </w:pPr>
            <w:r>
              <w:rPr>
                <w:b/>
                <w:bCs/>
                <w:color w:val="auto"/>
                <w:sz w:val="24"/>
                <w:szCs w:val="24"/>
                <w:highlight w:val="none"/>
                <w:u w:val="none" w:color="auto"/>
              </w:rPr>
              <w:t>4、施工期固体防治措施</w:t>
            </w:r>
          </w:p>
          <w:p>
            <w:pPr>
              <w:spacing w:line="360" w:lineRule="auto"/>
              <w:ind w:firstLine="480" w:firstLineChars="200"/>
              <w:jc w:val="left"/>
              <w:rPr>
                <w:color w:val="auto"/>
                <w:sz w:val="24"/>
                <w:highlight w:val="none"/>
                <w:u w:val="none" w:color="auto"/>
              </w:rPr>
            </w:pPr>
            <w:r>
              <w:rPr>
                <w:color w:val="auto"/>
                <w:sz w:val="24"/>
                <w:highlight w:val="none"/>
                <w:u w:val="none" w:color="auto"/>
              </w:rPr>
              <w:t>本项目施工期产生的固体废物主要为建筑</w:t>
            </w:r>
            <w:r>
              <w:rPr>
                <w:rFonts w:hint="eastAsia"/>
                <w:color w:val="auto"/>
                <w:sz w:val="24"/>
                <w:highlight w:val="none"/>
                <w:u w:val="none" w:color="auto"/>
                <w:lang w:val="en-US" w:eastAsia="zh-CN"/>
              </w:rPr>
              <w:t>垃圾</w:t>
            </w:r>
            <w:r>
              <w:rPr>
                <w:color w:val="auto"/>
                <w:sz w:val="24"/>
                <w:highlight w:val="none"/>
                <w:u w:val="none" w:color="auto"/>
              </w:rPr>
              <w:t>和生活垃圾。</w:t>
            </w:r>
          </w:p>
          <w:p>
            <w:pPr>
              <w:spacing w:line="360" w:lineRule="auto"/>
              <w:ind w:firstLine="480" w:firstLineChars="200"/>
              <w:rPr>
                <w:color w:val="auto"/>
                <w:sz w:val="24"/>
                <w:highlight w:val="none"/>
                <w:u w:val="none" w:color="auto"/>
              </w:rPr>
            </w:pPr>
            <w:r>
              <w:rPr>
                <w:color w:val="auto"/>
                <w:sz w:val="24"/>
                <w:highlight w:val="none"/>
                <w:u w:val="none" w:color="auto"/>
              </w:rPr>
              <w:t>（1）建筑垃圾</w:t>
            </w:r>
          </w:p>
          <w:p>
            <w:pPr>
              <w:spacing w:line="360" w:lineRule="auto"/>
              <w:ind w:firstLine="480" w:firstLineChars="200"/>
              <w:rPr>
                <w:color w:val="auto"/>
                <w:sz w:val="24"/>
                <w:highlight w:val="none"/>
                <w:u w:val="none" w:color="auto"/>
              </w:rPr>
            </w:pPr>
            <w:r>
              <w:rPr>
                <w:color w:val="auto"/>
                <w:sz w:val="24"/>
                <w:highlight w:val="none"/>
                <w:u w:val="none" w:color="auto"/>
              </w:rPr>
              <w:t>本项目施工过程将产生一定量的建筑废弃物，建筑垃圾主要包括砂石、石灰、混凝土、木材、废砖等，集中收集由施工单位清运至城建部门指定的地点。大量的建筑垃圾堆放不仅影响城市景观，而且还容易引起扬尘等环境问题，故环评要求施工单位对施工中产生的建筑垃圾必须及时处理，及时外运，不能随路洒落，不能随意倾倒、堆放。</w:t>
            </w:r>
          </w:p>
          <w:p>
            <w:pPr>
              <w:spacing w:line="360" w:lineRule="auto"/>
              <w:ind w:firstLine="480" w:firstLineChars="200"/>
              <w:rPr>
                <w:color w:val="auto"/>
                <w:sz w:val="24"/>
                <w:highlight w:val="none"/>
                <w:u w:val="none" w:color="auto"/>
              </w:rPr>
            </w:pPr>
            <w:r>
              <w:rPr>
                <w:color w:val="auto"/>
                <w:sz w:val="24"/>
                <w:highlight w:val="none"/>
                <w:u w:val="none" w:color="auto"/>
              </w:rPr>
              <w:t>（2）生活垃圾</w:t>
            </w:r>
          </w:p>
          <w:p>
            <w:pPr>
              <w:spacing w:line="360" w:lineRule="auto"/>
              <w:ind w:firstLine="480" w:firstLineChars="200"/>
              <w:rPr>
                <w:color w:val="auto"/>
                <w:sz w:val="24"/>
                <w:szCs w:val="24"/>
                <w:highlight w:val="none"/>
                <w:u w:val="none" w:color="auto"/>
              </w:rPr>
            </w:pPr>
            <w:r>
              <w:rPr>
                <w:color w:val="auto"/>
                <w:sz w:val="24"/>
                <w:highlight w:val="none"/>
                <w:u w:val="none" w:color="auto"/>
              </w:rPr>
              <w:t>施工过程中产生的生活垃圾如不及时进行清理，则会腐烂变质，孳生蚊虫苍蝇，产生恶臭，传染疾病，从而对周围环境和作业人员健康带来不利影响。施工人员的生活垃圾应定点存放、及时收集，回收可利用物质，将生活垃圾减量化、资源化后，委托环卫部门</w:t>
            </w:r>
            <w:r>
              <w:rPr>
                <w:rFonts w:hint="eastAsia"/>
                <w:color w:val="auto"/>
                <w:sz w:val="24"/>
                <w:highlight w:val="none"/>
                <w:u w:val="none" w:color="auto"/>
              </w:rPr>
              <w:t>清运处理</w:t>
            </w:r>
            <w:r>
              <w:rPr>
                <w:color w:val="auto"/>
                <w:sz w:val="24"/>
                <w:highlight w:val="none"/>
                <w:u w:val="none" w:color="auto"/>
              </w:rPr>
              <w:t>。</w:t>
            </w:r>
          </w:p>
          <w:p>
            <w:pPr>
              <w:widowControl/>
              <w:spacing w:line="360" w:lineRule="auto"/>
              <w:ind w:firstLine="482" w:firstLineChars="200"/>
              <w:jc w:val="left"/>
              <w:rPr>
                <w:b/>
                <w:bCs/>
                <w:color w:val="auto"/>
                <w:sz w:val="24"/>
                <w:szCs w:val="24"/>
                <w:highlight w:val="none"/>
                <w:u w:val="none" w:color="auto"/>
              </w:rPr>
            </w:pPr>
            <w:r>
              <w:rPr>
                <w:b/>
                <w:bCs/>
                <w:color w:val="auto"/>
                <w:sz w:val="24"/>
                <w:szCs w:val="24"/>
                <w:highlight w:val="none"/>
                <w:u w:val="none" w:color="auto"/>
              </w:rPr>
              <w:t>5、生态环境目标保护措施</w:t>
            </w:r>
          </w:p>
          <w:p>
            <w:pPr>
              <w:spacing w:line="360" w:lineRule="auto"/>
              <w:ind w:firstLine="480" w:firstLineChars="200"/>
              <w:rPr>
                <w:color w:val="auto"/>
                <w:kern w:val="0"/>
                <w:sz w:val="24"/>
                <w:szCs w:val="24"/>
                <w:highlight w:val="none"/>
                <w:u w:val="none" w:color="auto"/>
              </w:rPr>
            </w:pPr>
            <w:r>
              <w:rPr>
                <w:rFonts w:hint="eastAsia"/>
                <w:color w:val="auto"/>
                <w:sz w:val="24"/>
                <w:szCs w:val="22"/>
                <w:highlight w:val="none"/>
                <w:u w:val="none" w:color="auto"/>
              </w:rPr>
              <w:t>项目占地为工业用地，新增用地范围内没有生态环境保护目标，根据《建设项目环境影响报告表编制技术指南(污染影响类)(试行)》，本项目新增用地范围内没有生态环境保护目标，因此无需明确新增用地范围内生态环境保护目标的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2" w:hRule="atLeast"/>
          <w:jc w:val="center"/>
        </w:trPr>
        <w:tc>
          <w:tcPr>
            <w:tcW w:w="820" w:type="dxa"/>
            <w:vAlign w:val="center"/>
          </w:tcPr>
          <w:p>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运营期环境影响和保护措施</w:t>
            </w:r>
          </w:p>
        </w:tc>
        <w:tc>
          <w:tcPr>
            <w:tcW w:w="8251" w:type="dxa"/>
          </w:tcPr>
          <w:p>
            <w:pPr>
              <w:widowControl/>
              <w:spacing w:line="360" w:lineRule="auto"/>
              <w:ind w:firstLine="482" w:firstLineChars="200"/>
              <w:jc w:val="left"/>
              <w:rPr>
                <w:color w:val="auto"/>
                <w:highlight w:val="none"/>
                <w:u w:val="none" w:color="auto"/>
              </w:rPr>
            </w:pPr>
            <w:r>
              <w:rPr>
                <w:b/>
                <w:color w:val="auto"/>
                <w:kern w:val="0"/>
                <w:sz w:val="24"/>
                <w:highlight w:val="none"/>
                <w:u w:val="none" w:color="auto"/>
                <w:lang w:bidi="ar"/>
              </w:rPr>
              <w:t>1</w:t>
            </w:r>
            <w:r>
              <w:rPr>
                <w:rFonts w:hint="eastAsia" w:ascii="宋体" w:hAnsi="宋体" w:cs="宋体"/>
                <w:b/>
                <w:color w:val="auto"/>
                <w:kern w:val="0"/>
                <w:sz w:val="24"/>
                <w:highlight w:val="none"/>
                <w:u w:val="none" w:color="auto"/>
                <w:lang w:bidi="ar"/>
              </w:rPr>
              <w:t>、废气</w:t>
            </w:r>
          </w:p>
          <w:p>
            <w:pPr>
              <w:spacing w:line="360" w:lineRule="auto"/>
              <w:ind w:firstLine="482" w:firstLineChars="200"/>
              <w:rPr>
                <w:rFonts w:hAnsi="宋体"/>
                <w:color w:val="auto"/>
                <w:sz w:val="24"/>
                <w:highlight w:val="none"/>
                <w:u w:val="none" w:color="auto"/>
              </w:rPr>
            </w:pPr>
            <w:r>
              <w:rPr>
                <w:rFonts w:hint="eastAsia" w:ascii="宋体" w:hAnsi="宋体" w:cs="宋体"/>
                <w:b/>
                <w:color w:val="auto"/>
                <w:kern w:val="0"/>
                <w:sz w:val="24"/>
                <w:highlight w:val="none"/>
                <w:u w:val="none" w:color="auto"/>
                <w:lang w:bidi="ar"/>
              </w:rPr>
              <w:t>（</w:t>
            </w:r>
            <w:r>
              <w:rPr>
                <w:b/>
                <w:color w:val="auto"/>
                <w:kern w:val="0"/>
                <w:sz w:val="24"/>
                <w:highlight w:val="none"/>
                <w:u w:val="none" w:color="auto"/>
                <w:lang w:bidi="ar"/>
              </w:rPr>
              <w:t>1</w:t>
            </w:r>
            <w:r>
              <w:rPr>
                <w:rFonts w:hint="eastAsia" w:ascii="宋体" w:hAnsi="宋体" w:cs="宋体"/>
                <w:b/>
                <w:color w:val="auto"/>
                <w:kern w:val="0"/>
                <w:sz w:val="24"/>
                <w:highlight w:val="none"/>
                <w:u w:val="none" w:color="auto"/>
                <w:lang w:bidi="ar"/>
              </w:rPr>
              <w:t>）废气污染物排放源强</w:t>
            </w:r>
          </w:p>
          <w:p>
            <w:pPr>
              <w:widowControl/>
              <w:spacing w:line="360" w:lineRule="auto"/>
              <w:ind w:firstLine="480" w:firstLineChars="200"/>
              <w:jc w:val="left"/>
              <w:rPr>
                <w:rFonts w:hint="eastAsia" w:hAnsi="宋体" w:eastAsia="宋体"/>
                <w:color w:val="auto"/>
                <w:sz w:val="24"/>
                <w:highlight w:val="none"/>
                <w:u w:val="none" w:color="auto"/>
                <w:lang w:eastAsia="zh-CN"/>
              </w:rPr>
            </w:pPr>
            <w:r>
              <w:rPr>
                <w:rFonts w:hint="eastAsia" w:hAnsi="宋体"/>
                <w:color w:val="auto"/>
                <w:sz w:val="24"/>
                <w:highlight w:val="none"/>
                <w:u w:val="none" w:color="auto"/>
              </w:rPr>
              <w:t>本项目营运期废气主要为：</w:t>
            </w:r>
            <w:r>
              <w:rPr>
                <w:rFonts w:hint="eastAsia"/>
                <w:b w:val="0"/>
                <w:bCs w:val="0"/>
                <w:color w:val="auto"/>
                <w:sz w:val="24"/>
                <w:highlight w:val="none"/>
                <w:u w:val="none" w:color="auto"/>
              </w:rPr>
              <w:t>本项目产生废气污染物的环节主要包括点胶工序废气、含浸烘干工序废气</w:t>
            </w:r>
            <w:r>
              <w:rPr>
                <w:rFonts w:hint="eastAsia"/>
                <w:b w:val="0"/>
                <w:bCs w:val="0"/>
                <w:color w:val="auto"/>
                <w:sz w:val="24"/>
                <w:highlight w:val="none"/>
                <w:u w:val="none" w:color="auto"/>
                <w:lang w:eastAsia="zh-CN"/>
              </w:rPr>
              <w:t>、</w:t>
            </w:r>
            <w:r>
              <w:rPr>
                <w:rFonts w:hint="eastAsia"/>
                <w:b w:val="0"/>
                <w:bCs w:val="0"/>
                <w:color w:val="auto"/>
                <w:sz w:val="24"/>
                <w:highlight w:val="none"/>
                <w:u w:val="none" w:color="auto"/>
              </w:rPr>
              <w:t>焊锡废气</w:t>
            </w:r>
            <w:r>
              <w:rPr>
                <w:rFonts w:hint="eastAsia"/>
                <w:b w:val="0"/>
                <w:bCs w:val="0"/>
                <w:color w:val="auto"/>
                <w:sz w:val="24"/>
                <w:highlight w:val="none"/>
                <w:u w:val="none" w:color="auto"/>
                <w:lang w:val="en-US" w:eastAsia="zh-CN"/>
              </w:rPr>
              <w:t>和异味</w:t>
            </w:r>
            <w:r>
              <w:rPr>
                <w:rFonts w:hint="eastAsia"/>
                <w:b w:val="0"/>
                <w:bCs w:val="0"/>
                <w:color w:val="auto"/>
                <w:sz w:val="24"/>
                <w:highlight w:val="none"/>
                <w:u w:val="none" w:color="auto"/>
                <w:lang w:eastAsia="zh-CN"/>
              </w:rPr>
              <w:t>。</w:t>
            </w:r>
          </w:p>
          <w:p>
            <w:pPr>
              <w:pStyle w:val="37"/>
              <w:rPr>
                <w:rFonts w:hAnsi="宋体"/>
                <w:bCs/>
                <w:color w:val="auto"/>
                <w:spacing w:val="-10"/>
                <w:sz w:val="21"/>
                <w:szCs w:val="21"/>
                <w:highlight w:val="none"/>
                <w:u w:val="none" w:color="auto"/>
              </w:rPr>
            </w:pPr>
            <w:r>
              <w:rPr>
                <w:rFonts w:hint="eastAsia" w:hAnsi="宋体"/>
                <w:bCs/>
                <w:color w:val="auto"/>
                <w:spacing w:val="-10"/>
                <w:sz w:val="21"/>
                <w:szCs w:val="21"/>
                <w:highlight w:val="none"/>
                <w:u w:val="none" w:color="auto"/>
              </w:rPr>
              <w:t xml:space="preserve">表4-1   </w:t>
            </w:r>
            <w:r>
              <w:rPr>
                <w:rFonts w:hint="eastAsia"/>
                <w:color w:val="auto"/>
                <w:sz w:val="21"/>
                <w:szCs w:val="21"/>
                <w:highlight w:val="none"/>
                <w:u w:val="none" w:color="auto"/>
              </w:rPr>
              <w:t>废气污染物排放源汇总一览表</w:t>
            </w:r>
          </w:p>
          <w:tbl>
            <w:tblPr>
              <w:tblStyle w:val="26"/>
              <w:tblW w:w="50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40"/>
              <w:gridCol w:w="518"/>
              <w:gridCol w:w="687"/>
              <w:gridCol w:w="346"/>
              <w:gridCol w:w="450"/>
              <w:gridCol w:w="302"/>
              <w:gridCol w:w="299"/>
              <w:gridCol w:w="298"/>
              <w:gridCol w:w="311"/>
              <w:gridCol w:w="334"/>
              <w:gridCol w:w="256"/>
              <w:gridCol w:w="410"/>
              <w:gridCol w:w="422"/>
              <w:gridCol w:w="351"/>
              <w:gridCol w:w="239"/>
              <w:gridCol w:w="268"/>
              <w:gridCol w:w="239"/>
              <w:gridCol w:w="327"/>
              <w:gridCol w:w="403"/>
              <w:gridCol w:w="419"/>
              <w:gridCol w:w="507"/>
              <w:gridCol w:w="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8"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序号</w:t>
                  </w:r>
                </w:p>
              </w:tc>
              <w:tc>
                <w:tcPr>
                  <w:tcW w:w="321"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产排污环节</w:t>
                  </w:r>
                </w:p>
              </w:tc>
              <w:tc>
                <w:tcPr>
                  <w:tcW w:w="426"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污染物种类</w:t>
                  </w:r>
                </w:p>
              </w:tc>
              <w:tc>
                <w:tcPr>
                  <w:tcW w:w="494" w:type="pct"/>
                  <w:gridSpan w:val="2"/>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污染物产生情况</w:t>
                  </w:r>
                </w:p>
              </w:tc>
              <w:tc>
                <w:tcPr>
                  <w:tcW w:w="187"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排放形式</w:t>
                  </w:r>
                </w:p>
              </w:tc>
              <w:tc>
                <w:tcPr>
                  <w:tcW w:w="929" w:type="pct"/>
                  <w:gridSpan w:val="5"/>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治理设施情况</w:t>
                  </w:r>
                </w:p>
              </w:tc>
              <w:tc>
                <w:tcPr>
                  <w:tcW w:w="734" w:type="pct"/>
                  <w:gridSpan w:val="3"/>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污染物排放情况</w:t>
                  </w:r>
                </w:p>
              </w:tc>
              <w:tc>
                <w:tcPr>
                  <w:tcW w:w="1490" w:type="pct"/>
                  <w:gridSpan w:val="7"/>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排放口基本情况</w:t>
                  </w:r>
                </w:p>
              </w:tc>
              <w:tc>
                <w:tcPr>
                  <w:tcW w:w="266" w:type="pc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48" w:type="pct"/>
                  <w:vMerge w:val="continue"/>
                  <w:tcBorders>
                    <w:tl2br w:val="nil"/>
                    <w:tr2bl w:val="nil"/>
                  </w:tcBorders>
                  <w:noWrap/>
                  <w:vAlign w:val="center"/>
                </w:tcPr>
                <w:p>
                  <w:pPr>
                    <w:pStyle w:val="38"/>
                    <w:rPr>
                      <w:color w:val="auto"/>
                      <w:sz w:val="16"/>
                      <w:szCs w:val="16"/>
                      <w:highlight w:val="none"/>
                      <w:u w:val="none" w:color="auto"/>
                    </w:rPr>
                  </w:pPr>
                </w:p>
              </w:tc>
              <w:tc>
                <w:tcPr>
                  <w:tcW w:w="321" w:type="pct"/>
                  <w:vMerge w:val="continue"/>
                  <w:tcBorders>
                    <w:tl2br w:val="nil"/>
                    <w:tr2bl w:val="nil"/>
                  </w:tcBorders>
                  <w:noWrap/>
                  <w:vAlign w:val="center"/>
                </w:tcPr>
                <w:p>
                  <w:pPr>
                    <w:pStyle w:val="38"/>
                    <w:rPr>
                      <w:color w:val="auto"/>
                      <w:sz w:val="16"/>
                      <w:szCs w:val="16"/>
                      <w:highlight w:val="none"/>
                      <w:u w:val="none" w:color="auto"/>
                    </w:rPr>
                  </w:pPr>
                </w:p>
              </w:tc>
              <w:tc>
                <w:tcPr>
                  <w:tcW w:w="426" w:type="pct"/>
                  <w:vMerge w:val="continue"/>
                  <w:tcBorders>
                    <w:tl2br w:val="nil"/>
                    <w:tr2bl w:val="nil"/>
                  </w:tcBorders>
                  <w:noWrap/>
                  <w:vAlign w:val="center"/>
                </w:tcPr>
                <w:p>
                  <w:pPr>
                    <w:pStyle w:val="38"/>
                    <w:rPr>
                      <w:color w:val="auto"/>
                      <w:sz w:val="16"/>
                      <w:szCs w:val="16"/>
                      <w:highlight w:val="none"/>
                      <w:u w:val="none" w:color="auto"/>
                    </w:rPr>
                  </w:pPr>
                </w:p>
              </w:tc>
              <w:tc>
                <w:tcPr>
                  <w:tcW w:w="214"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产生量t/a</w:t>
                  </w:r>
                </w:p>
              </w:tc>
              <w:tc>
                <w:tcPr>
                  <w:tcW w:w="279"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产生浓度mg/m</w:t>
                  </w:r>
                  <w:r>
                    <w:rPr>
                      <w:rFonts w:hint="eastAsia"/>
                      <w:color w:val="auto"/>
                      <w:sz w:val="16"/>
                      <w:szCs w:val="16"/>
                      <w:highlight w:val="none"/>
                      <w:u w:val="none" w:color="auto"/>
                      <w:vertAlign w:val="superscript"/>
                    </w:rPr>
                    <w:t>3</w:t>
                  </w:r>
                </w:p>
              </w:tc>
              <w:tc>
                <w:tcPr>
                  <w:tcW w:w="187" w:type="pct"/>
                  <w:vMerge w:val="continue"/>
                  <w:tcBorders>
                    <w:tl2br w:val="nil"/>
                    <w:tr2bl w:val="nil"/>
                  </w:tcBorders>
                  <w:vAlign w:val="center"/>
                </w:tcPr>
                <w:p>
                  <w:pPr>
                    <w:pStyle w:val="38"/>
                    <w:rPr>
                      <w:color w:val="auto"/>
                      <w:sz w:val="16"/>
                      <w:szCs w:val="16"/>
                      <w:highlight w:val="none"/>
                      <w:u w:val="none" w:color="auto"/>
                    </w:rPr>
                  </w:pPr>
                </w:p>
              </w:tc>
              <w:tc>
                <w:tcPr>
                  <w:tcW w:w="185"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治理设施</w:t>
                  </w:r>
                </w:p>
              </w:tc>
              <w:tc>
                <w:tcPr>
                  <w:tcW w:w="184"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处理能力</w:t>
                  </w:r>
                  <w:r>
                    <w:rPr>
                      <w:color w:val="auto"/>
                      <w:sz w:val="16"/>
                      <w:szCs w:val="16"/>
                      <w:highlight w:val="none"/>
                      <w:u w:val="none" w:color="auto"/>
                    </w:rPr>
                    <w:t>m</w:t>
                  </w:r>
                  <w:r>
                    <w:rPr>
                      <w:color w:val="auto"/>
                      <w:sz w:val="16"/>
                      <w:szCs w:val="16"/>
                      <w:highlight w:val="none"/>
                      <w:u w:val="none" w:color="auto"/>
                      <w:vertAlign w:val="superscript"/>
                    </w:rPr>
                    <w:t>3</w:t>
                  </w:r>
                  <w:r>
                    <w:rPr>
                      <w:color w:val="auto"/>
                      <w:sz w:val="16"/>
                      <w:szCs w:val="16"/>
                      <w:highlight w:val="none"/>
                      <w:u w:val="none" w:color="auto"/>
                    </w:rPr>
                    <w:t>/h</w:t>
                  </w:r>
                </w:p>
              </w:tc>
              <w:tc>
                <w:tcPr>
                  <w:tcW w:w="193"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收集效率</w:t>
                  </w:r>
                </w:p>
              </w:tc>
              <w:tc>
                <w:tcPr>
                  <w:tcW w:w="207"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治理工艺去除率</w:t>
                  </w:r>
                </w:p>
              </w:tc>
              <w:tc>
                <w:tcPr>
                  <w:tcW w:w="158"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是否为可行技术</w:t>
                  </w:r>
                </w:p>
              </w:tc>
              <w:tc>
                <w:tcPr>
                  <w:tcW w:w="254"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排放量t/a</w:t>
                  </w:r>
                </w:p>
              </w:tc>
              <w:tc>
                <w:tcPr>
                  <w:tcW w:w="261"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排放速率kg/h</w:t>
                  </w:r>
                </w:p>
              </w:tc>
              <w:tc>
                <w:tcPr>
                  <w:tcW w:w="217"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排放浓度mg/m</w:t>
                  </w:r>
                  <w:r>
                    <w:rPr>
                      <w:rFonts w:hint="eastAsia"/>
                      <w:color w:val="auto"/>
                      <w:sz w:val="16"/>
                      <w:szCs w:val="16"/>
                      <w:highlight w:val="none"/>
                      <w:u w:val="none" w:color="auto"/>
                      <w:vertAlign w:val="superscript"/>
                    </w:rPr>
                    <w:t>3</w:t>
                  </w:r>
                </w:p>
              </w:tc>
              <w:tc>
                <w:tcPr>
                  <w:tcW w:w="148"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高度m</w:t>
                  </w:r>
                </w:p>
              </w:tc>
              <w:tc>
                <w:tcPr>
                  <w:tcW w:w="166"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内径m</w:t>
                  </w:r>
                </w:p>
              </w:tc>
              <w:tc>
                <w:tcPr>
                  <w:tcW w:w="148"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温度</w:t>
                  </w:r>
                </w:p>
              </w:tc>
              <w:tc>
                <w:tcPr>
                  <w:tcW w:w="202"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排放口编号</w:t>
                  </w:r>
                </w:p>
              </w:tc>
              <w:tc>
                <w:tcPr>
                  <w:tcW w:w="250"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类型</w:t>
                  </w:r>
                </w:p>
              </w:tc>
              <w:tc>
                <w:tcPr>
                  <w:tcW w:w="574" w:type="pct"/>
                  <w:gridSpan w:val="2"/>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坐标</w:t>
                  </w:r>
                </w:p>
              </w:tc>
              <w:tc>
                <w:tcPr>
                  <w:tcW w:w="266"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排放浓度mg/m</w:t>
                  </w:r>
                  <w:r>
                    <w:rPr>
                      <w:rFonts w:hint="eastAsia"/>
                      <w:color w:val="auto"/>
                      <w:sz w:val="16"/>
                      <w:szCs w:val="16"/>
                      <w:highlight w:val="none"/>
                      <w:u w:val="none" w:color="auto"/>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18" w:hRule="atLeast"/>
                <w:jc w:val="center"/>
              </w:trPr>
              <w:tc>
                <w:tcPr>
                  <w:tcW w:w="148" w:type="pct"/>
                  <w:vMerge w:val="continue"/>
                  <w:tcBorders>
                    <w:tl2br w:val="nil"/>
                    <w:tr2bl w:val="nil"/>
                  </w:tcBorders>
                  <w:noWrap/>
                  <w:vAlign w:val="center"/>
                </w:tcPr>
                <w:p>
                  <w:pPr>
                    <w:pStyle w:val="38"/>
                    <w:jc w:val="both"/>
                    <w:rPr>
                      <w:color w:val="auto"/>
                      <w:sz w:val="16"/>
                      <w:szCs w:val="16"/>
                      <w:highlight w:val="none"/>
                      <w:u w:val="none" w:color="auto"/>
                    </w:rPr>
                  </w:pPr>
                </w:p>
              </w:tc>
              <w:tc>
                <w:tcPr>
                  <w:tcW w:w="321" w:type="pct"/>
                  <w:vMerge w:val="continue"/>
                  <w:tcBorders>
                    <w:tl2br w:val="nil"/>
                    <w:tr2bl w:val="nil"/>
                  </w:tcBorders>
                  <w:noWrap/>
                  <w:vAlign w:val="center"/>
                </w:tcPr>
                <w:p>
                  <w:pPr>
                    <w:pStyle w:val="38"/>
                    <w:jc w:val="both"/>
                    <w:rPr>
                      <w:color w:val="auto"/>
                      <w:sz w:val="16"/>
                      <w:szCs w:val="16"/>
                      <w:highlight w:val="none"/>
                      <w:u w:val="none" w:color="auto"/>
                    </w:rPr>
                  </w:pPr>
                </w:p>
              </w:tc>
              <w:tc>
                <w:tcPr>
                  <w:tcW w:w="426" w:type="pct"/>
                  <w:vMerge w:val="continue"/>
                  <w:tcBorders>
                    <w:tl2br w:val="nil"/>
                    <w:tr2bl w:val="nil"/>
                  </w:tcBorders>
                  <w:noWrap/>
                  <w:vAlign w:val="center"/>
                </w:tcPr>
                <w:p>
                  <w:pPr>
                    <w:pStyle w:val="38"/>
                    <w:jc w:val="both"/>
                    <w:rPr>
                      <w:color w:val="auto"/>
                      <w:sz w:val="16"/>
                      <w:szCs w:val="16"/>
                      <w:highlight w:val="none"/>
                      <w:u w:val="none" w:color="auto"/>
                    </w:rPr>
                  </w:pPr>
                </w:p>
              </w:tc>
              <w:tc>
                <w:tcPr>
                  <w:tcW w:w="214" w:type="pct"/>
                  <w:vMerge w:val="continue"/>
                  <w:tcBorders>
                    <w:tl2br w:val="nil"/>
                    <w:tr2bl w:val="nil"/>
                  </w:tcBorders>
                  <w:noWrap/>
                  <w:vAlign w:val="center"/>
                </w:tcPr>
                <w:p>
                  <w:pPr>
                    <w:pStyle w:val="38"/>
                    <w:jc w:val="both"/>
                    <w:rPr>
                      <w:color w:val="auto"/>
                      <w:sz w:val="16"/>
                      <w:szCs w:val="16"/>
                      <w:highlight w:val="none"/>
                      <w:u w:val="none" w:color="auto"/>
                    </w:rPr>
                  </w:pPr>
                </w:p>
              </w:tc>
              <w:tc>
                <w:tcPr>
                  <w:tcW w:w="279" w:type="pct"/>
                  <w:vMerge w:val="continue"/>
                  <w:tcBorders>
                    <w:tl2br w:val="nil"/>
                    <w:tr2bl w:val="nil"/>
                  </w:tcBorders>
                  <w:vAlign w:val="center"/>
                </w:tcPr>
                <w:p>
                  <w:pPr>
                    <w:pStyle w:val="38"/>
                    <w:jc w:val="both"/>
                    <w:rPr>
                      <w:color w:val="auto"/>
                      <w:sz w:val="16"/>
                      <w:szCs w:val="16"/>
                      <w:highlight w:val="none"/>
                      <w:u w:val="none" w:color="auto"/>
                    </w:rPr>
                  </w:pPr>
                </w:p>
              </w:tc>
              <w:tc>
                <w:tcPr>
                  <w:tcW w:w="187" w:type="pct"/>
                  <w:vMerge w:val="continue"/>
                  <w:tcBorders>
                    <w:tl2br w:val="nil"/>
                    <w:tr2bl w:val="nil"/>
                  </w:tcBorders>
                  <w:vAlign w:val="center"/>
                </w:tcPr>
                <w:p>
                  <w:pPr>
                    <w:pStyle w:val="38"/>
                    <w:jc w:val="both"/>
                    <w:rPr>
                      <w:color w:val="auto"/>
                      <w:sz w:val="16"/>
                      <w:szCs w:val="16"/>
                      <w:highlight w:val="none"/>
                      <w:u w:val="none" w:color="auto"/>
                    </w:rPr>
                  </w:pPr>
                </w:p>
              </w:tc>
              <w:tc>
                <w:tcPr>
                  <w:tcW w:w="185" w:type="pct"/>
                  <w:vMerge w:val="continue"/>
                  <w:tcBorders>
                    <w:tl2br w:val="nil"/>
                    <w:tr2bl w:val="nil"/>
                  </w:tcBorders>
                  <w:vAlign w:val="center"/>
                </w:tcPr>
                <w:p>
                  <w:pPr>
                    <w:pStyle w:val="38"/>
                    <w:jc w:val="both"/>
                    <w:rPr>
                      <w:color w:val="auto"/>
                      <w:sz w:val="16"/>
                      <w:szCs w:val="16"/>
                      <w:highlight w:val="none"/>
                      <w:u w:val="none" w:color="auto"/>
                    </w:rPr>
                  </w:pPr>
                </w:p>
              </w:tc>
              <w:tc>
                <w:tcPr>
                  <w:tcW w:w="184" w:type="pct"/>
                  <w:vMerge w:val="continue"/>
                  <w:tcBorders>
                    <w:tl2br w:val="nil"/>
                    <w:tr2bl w:val="nil"/>
                  </w:tcBorders>
                  <w:vAlign w:val="center"/>
                </w:tcPr>
                <w:p>
                  <w:pPr>
                    <w:pStyle w:val="38"/>
                    <w:jc w:val="both"/>
                    <w:rPr>
                      <w:color w:val="auto"/>
                      <w:sz w:val="16"/>
                      <w:szCs w:val="16"/>
                      <w:highlight w:val="none"/>
                      <w:u w:val="none" w:color="auto"/>
                    </w:rPr>
                  </w:pPr>
                </w:p>
              </w:tc>
              <w:tc>
                <w:tcPr>
                  <w:tcW w:w="193" w:type="pct"/>
                  <w:vMerge w:val="continue"/>
                  <w:tcBorders>
                    <w:tl2br w:val="nil"/>
                    <w:tr2bl w:val="nil"/>
                  </w:tcBorders>
                  <w:vAlign w:val="center"/>
                </w:tcPr>
                <w:p>
                  <w:pPr>
                    <w:pStyle w:val="38"/>
                    <w:jc w:val="both"/>
                    <w:rPr>
                      <w:color w:val="auto"/>
                      <w:sz w:val="16"/>
                      <w:szCs w:val="16"/>
                      <w:highlight w:val="none"/>
                      <w:u w:val="none" w:color="auto"/>
                    </w:rPr>
                  </w:pPr>
                </w:p>
              </w:tc>
              <w:tc>
                <w:tcPr>
                  <w:tcW w:w="207" w:type="pct"/>
                  <w:vMerge w:val="continue"/>
                  <w:tcBorders>
                    <w:tl2br w:val="nil"/>
                    <w:tr2bl w:val="nil"/>
                  </w:tcBorders>
                  <w:vAlign w:val="center"/>
                </w:tcPr>
                <w:p>
                  <w:pPr>
                    <w:pStyle w:val="38"/>
                    <w:jc w:val="both"/>
                    <w:rPr>
                      <w:color w:val="auto"/>
                      <w:sz w:val="16"/>
                      <w:szCs w:val="16"/>
                      <w:highlight w:val="none"/>
                      <w:u w:val="none" w:color="auto"/>
                    </w:rPr>
                  </w:pPr>
                </w:p>
              </w:tc>
              <w:tc>
                <w:tcPr>
                  <w:tcW w:w="158" w:type="pct"/>
                  <w:vMerge w:val="continue"/>
                  <w:tcBorders>
                    <w:tl2br w:val="nil"/>
                    <w:tr2bl w:val="nil"/>
                  </w:tcBorders>
                  <w:vAlign w:val="center"/>
                </w:tcPr>
                <w:p>
                  <w:pPr>
                    <w:pStyle w:val="38"/>
                    <w:jc w:val="both"/>
                    <w:rPr>
                      <w:color w:val="auto"/>
                      <w:sz w:val="16"/>
                      <w:szCs w:val="16"/>
                      <w:highlight w:val="none"/>
                      <w:u w:val="none" w:color="auto"/>
                    </w:rPr>
                  </w:pPr>
                </w:p>
              </w:tc>
              <w:tc>
                <w:tcPr>
                  <w:tcW w:w="254" w:type="pct"/>
                  <w:vMerge w:val="continue"/>
                  <w:tcBorders>
                    <w:tl2br w:val="nil"/>
                    <w:tr2bl w:val="nil"/>
                  </w:tcBorders>
                  <w:vAlign w:val="center"/>
                </w:tcPr>
                <w:p>
                  <w:pPr>
                    <w:pStyle w:val="38"/>
                    <w:jc w:val="both"/>
                    <w:rPr>
                      <w:color w:val="auto"/>
                      <w:sz w:val="16"/>
                      <w:szCs w:val="16"/>
                      <w:highlight w:val="none"/>
                      <w:u w:val="none" w:color="auto"/>
                    </w:rPr>
                  </w:pPr>
                </w:p>
              </w:tc>
              <w:tc>
                <w:tcPr>
                  <w:tcW w:w="261" w:type="pct"/>
                  <w:vMerge w:val="continue"/>
                  <w:tcBorders>
                    <w:tl2br w:val="nil"/>
                    <w:tr2bl w:val="nil"/>
                  </w:tcBorders>
                  <w:vAlign w:val="center"/>
                </w:tcPr>
                <w:p>
                  <w:pPr>
                    <w:pStyle w:val="38"/>
                    <w:jc w:val="both"/>
                    <w:rPr>
                      <w:color w:val="auto"/>
                      <w:sz w:val="16"/>
                      <w:szCs w:val="16"/>
                      <w:highlight w:val="none"/>
                      <w:u w:val="none" w:color="auto"/>
                    </w:rPr>
                  </w:pPr>
                </w:p>
              </w:tc>
              <w:tc>
                <w:tcPr>
                  <w:tcW w:w="217" w:type="pct"/>
                  <w:vMerge w:val="continue"/>
                  <w:tcBorders>
                    <w:tl2br w:val="nil"/>
                    <w:tr2bl w:val="nil"/>
                  </w:tcBorders>
                  <w:vAlign w:val="center"/>
                </w:tcPr>
                <w:p>
                  <w:pPr>
                    <w:pStyle w:val="38"/>
                    <w:jc w:val="both"/>
                    <w:rPr>
                      <w:color w:val="auto"/>
                      <w:sz w:val="16"/>
                      <w:szCs w:val="16"/>
                      <w:highlight w:val="none"/>
                      <w:u w:val="none" w:color="auto"/>
                    </w:rPr>
                  </w:pPr>
                </w:p>
              </w:tc>
              <w:tc>
                <w:tcPr>
                  <w:tcW w:w="148" w:type="pct"/>
                  <w:vMerge w:val="continue"/>
                  <w:tcBorders>
                    <w:tl2br w:val="nil"/>
                    <w:tr2bl w:val="nil"/>
                  </w:tcBorders>
                  <w:vAlign w:val="center"/>
                </w:tcPr>
                <w:p>
                  <w:pPr>
                    <w:pStyle w:val="38"/>
                    <w:jc w:val="both"/>
                    <w:rPr>
                      <w:color w:val="auto"/>
                      <w:sz w:val="16"/>
                      <w:szCs w:val="16"/>
                      <w:highlight w:val="none"/>
                      <w:u w:val="none" w:color="auto"/>
                    </w:rPr>
                  </w:pPr>
                </w:p>
              </w:tc>
              <w:tc>
                <w:tcPr>
                  <w:tcW w:w="166" w:type="pct"/>
                  <w:vMerge w:val="continue"/>
                  <w:tcBorders>
                    <w:tl2br w:val="nil"/>
                    <w:tr2bl w:val="nil"/>
                  </w:tcBorders>
                  <w:vAlign w:val="center"/>
                </w:tcPr>
                <w:p>
                  <w:pPr>
                    <w:pStyle w:val="38"/>
                    <w:jc w:val="both"/>
                    <w:rPr>
                      <w:color w:val="auto"/>
                      <w:sz w:val="16"/>
                      <w:szCs w:val="16"/>
                      <w:highlight w:val="none"/>
                      <w:u w:val="none" w:color="auto"/>
                    </w:rPr>
                  </w:pPr>
                </w:p>
              </w:tc>
              <w:tc>
                <w:tcPr>
                  <w:tcW w:w="148" w:type="pct"/>
                  <w:vMerge w:val="continue"/>
                  <w:tcBorders>
                    <w:tl2br w:val="nil"/>
                    <w:tr2bl w:val="nil"/>
                  </w:tcBorders>
                  <w:vAlign w:val="center"/>
                </w:tcPr>
                <w:p>
                  <w:pPr>
                    <w:pStyle w:val="38"/>
                    <w:jc w:val="both"/>
                    <w:rPr>
                      <w:color w:val="auto"/>
                      <w:sz w:val="16"/>
                      <w:szCs w:val="16"/>
                      <w:highlight w:val="none"/>
                      <w:u w:val="none" w:color="auto"/>
                    </w:rPr>
                  </w:pPr>
                </w:p>
              </w:tc>
              <w:tc>
                <w:tcPr>
                  <w:tcW w:w="202" w:type="pct"/>
                  <w:vMerge w:val="continue"/>
                  <w:tcBorders>
                    <w:tl2br w:val="nil"/>
                    <w:tr2bl w:val="nil"/>
                  </w:tcBorders>
                  <w:vAlign w:val="center"/>
                </w:tcPr>
                <w:p>
                  <w:pPr>
                    <w:pStyle w:val="38"/>
                    <w:jc w:val="both"/>
                    <w:rPr>
                      <w:color w:val="auto"/>
                      <w:sz w:val="16"/>
                      <w:szCs w:val="16"/>
                      <w:highlight w:val="none"/>
                      <w:u w:val="none" w:color="auto"/>
                    </w:rPr>
                  </w:pPr>
                </w:p>
              </w:tc>
              <w:tc>
                <w:tcPr>
                  <w:tcW w:w="250" w:type="pct"/>
                  <w:vMerge w:val="continue"/>
                  <w:tcBorders>
                    <w:tl2br w:val="nil"/>
                    <w:tr2bl w:val="nil"/>
                  </w:tcBorders>
                  <w:vAlign w:val="center"/>
                </w:tcPr>
                <w:p>
                  <w:pPr>
                    <w:pStyle w:val="38"/>
                    <w:jc w:val="both"/>
                    <w:rPr>
                      <w:color w:val="auto"/>
                      <w:sz w:val="16"/>
                      <w:szCs w:val="16"/>
                      <w:highlight w:val="none"/>
                      <w:u w:val="none" w:color="auto"/>
                    </w:rPr>
                  </w:pPr>
                </w:p>
              </w:tc>
              <w:tc>
                <w:tcPr>
                  <w:tcW w:w="260" w:type="pc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东经</w:t>
                  </w:r>
                </w:p>
              </w:tc>
              <w:tc>
                <w:tcPr>
                  <w:tcW w:w="314" w:type="pc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北纬</w:t>
                  </w:r>
                </w:p>
              </w:tc>
              <w:tc>
                <w:tcPr>
                  <w:tcW w:w="266" w:type="pct"/>
                  <w:vMerge w:val="continue"/>
                  <w:tcBorders>
                    <w:tl2br w:val="nil"/>
                    <w:tr2bl w:val="nil"/>
                  </w:tcBorders>
                  <w:vAlign w:val="center"/>
                </w:tcPr>
                <w:p>
                  <w:pPr>
                    <w:pStyle w:val="38"/>
                    <w:jc w:val="both"/>
                    <w:rPr>
                      <w:color w:val="auto"/>
                      <w:sz w:val="16"/>
                      <w:szCs w:val="16"/>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48" w:type="pc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1</w:t>
                  </w:r>
                </w:p>
              </w:tc>
              <w:tc>
                <w:tcPr>
                  <w:tcW w:w="321"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点胶</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工序</w:t>
                  </w:r>
                </w:p>
              </w:tc>
              <w:tc>
                <w:tcPr>
                  <w:tcW w:w="426"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非甲烷</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总烃</w:t>
                  </w:r>
                </w:p>
              </w:tc>
              <w:tc>
                <w:tcPr>
                  <w:tcW w:w="214" w:type="pct"/>
                  <w:tcBorders>
                    <w:tl2br w:val="nil"/>
                    <w:tr2bl w:val="nil"/>
                  </w:tcBorders>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0.1</w:t>
                  </w:r>
                </w:p>
              </w:tc>
              <w:tc>
                <w:tcPr>
                  <w:tcW w:w="279" w:type="pct"/>
                  <w:tcBorders>
                    <w:tl2br w:val="nil"/>
                    <w:tr2bl w:val="nil"/>
                  </w:tcBorders>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11.11</w:t>
                  </w:r>
                </w:p>
              </w:tc>
              <w:tc>
                <w:tcPr>
                  <w:tcW w:w="187"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有组织</w:t>
                  </w:r>
                </w:p>
              </w:tc>
              <w:tc>
                <w:tcPr>
                  <w:tcW w:w="185"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lang w:val="en-US" w:eastAsia="zh-CN"/>
                    </w:rPr>
                    <w:t>二级</w:t>
                  </w:r>
                  <w:r>
                    <w:rPr>
                      <w:rFonts w:hint="eastAsia"/>
                      <w:color w:val="auto"/>
                      <w:sz w:val="16"/>
                      <w:szCs w:val="16"/>
                      <w:highlight w:val="none"/>
                      <w:u w:val="none" w:color="auto"/>
                    </w:rPr>
                    <w:t>活性炭吸附</w:t>
                  </w:r>
                </w:p>
              </w:tc>
              <w:tc>
                <w:tcPr>
                  <w:tcW w:w="184"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lang w:val="en-US" w:eastAsia="zh-CN"/>
                    </w:rPr>
                    <w:t>3</w:t>
                  </w:r>
                  <w:r>
                    <w:rPr>
                      <w:rFonts w:hint="eastAsia"/>
                      <w:color w:val="auto"/>
                      <w:sz w:val="16"/>
                      <w:szCs w:val="16"/>
                      <w:highlight w:val="none"/>
                      <w:u w:val="none" w:color="auto"/>
                    </w:rPr>
                    <w:t>000</w:t>
                  </w:r>
                </w:p>
              </w:tc>
              <w:tc>
                <w:tcPr>
                  <w:tcW w:w="193"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90%</w:t>
                  </w:r>
                </w:p>
              </w:tc>
              <w:tc>
                <w:tcPr>
                  <w:tcW w:w="207"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lang w:val="en-US" w:eastAsia="zh-CN"/>
                    </w:rPr>
                    <w:t>85</w:t>
                  </w:r>
                  <w:r>
                    <w:rPr>
                      <w:rFonts w:hint="eastAsia"/>
                      <w:color w:val="auto"/>
                      <w:sz w:val="16"/>
                      <w:szCs w:val="16"/>
                      <w:highlight w:val="none"/>
                      <w:u w:val="none" w:color="auto"/>
                    </w:rPr>
                    <w:t>%</w:t>
                  </w:r>
                </w:p>
              </w:tc>
              <w:tc>
                <w:tcPr>
                  <w:tcW w:w="158"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是</w:t>
                  </w:r>
                </w:p>
              </w:tc>
              <w:tc>
                <w:tcPr>
                  <w:tcW w:w="254" w:type="pct"/>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0.001</w:t>
                  </w:r>
                </w:p>
              </w:tc>
              <w:tc>
                <w:tcPr>
                  <w:tcW w:w="261" w:type="pct"/>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0.0003</w:t>
                  </w:r>
                </w:p>
              </w:tc>
              <w:tc>
                <w:tcPr>
                  <w:tcW w:w="217" w:type="pct"/>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0.11</w:t>
                  </w:r>
                </w:p>
              </w:tc>
              <w:tc>
                <w:tcPr>
                  <w:tcW w:w="148" w:type="pct"/>
                  <w:vMerge w:val="restart"/>
                  <w:tcBorders>
                    <w:tl2br w:val="nil"/>
                    <w:tr2bl w:val="nil"/>
                  </w:tcBorders>
                  <w:noWrap/>
                  <w:vAlign w:val="center"/>
                </w:tcPr>
                <w:p>
                  <w:pPr>
                    <w:pStyle w:val="38"/>
                    <w:rPr>
                      <w:rFonts w:hint="default"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26</w:t>
                  </w:r>
                </w:p>
              </w:tc>
              <w:tc>
                <w:tcPr>
                  <w:tcW w:w="166"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0.2</w:t>
                  </w:r>
                </w:p>
              </w:tc>
              <w:tc>
                <w:tcPr>
                  <w:tcW w:w="148"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23</w:t>
                  </w:r>
                </w:p>
              </w:tc>
              <w:tc>
                <w:tcPr>
                  <w:tcW w:w="202"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DA001</w:t>
                  </w:r>
                </w:p>
              </w:tc>
              <w:tc>
                <w:tcPr>
                  <w:tcW w:w="250" w:type="pct"/>
                  <w:vMerge w:val="restart"/>
                  <w:tcBorders>
                    <w:tl2br w:val="nil"/>
                    <w:tr2bl w:val="nil"/>
                  </w:tcBorders>
                  <w:noWrap/>
                  <w:vAlign w:val="center"/>
                </w:tcPr>
                <w:p>
                  <w:pPr>
                    <w:pStyle w:val="38"/>
                    <w:rPr>
                      <w:color w:val="auto"/>
                      <w:sz w:val="16"/>
                      <w:szCs w:val="16"/>
                      <w:highlight w:val="none"/>
                      <w:u w:val="none" w:color="auto"/>
                    </w:rPr>
                  </w:pPr>
                  <w:r>
                    <w:rPr>
                      <w:rFonts w:hint="eastAsia"/>
                      <w:color w:val="auto"/>
                      <w:sz w:val="16"/>
                      <w:szCs w:val="16"/>
                      <w:highlight w:val="none"/>
                      <w:u w:val="none" w:color="auto"/>
                    </w:rPr>
                    <w:t>一般排放口</w:t>
                  </w:r>
                </w:p>
              </w:tc>
              <w:tc>
                <w:tcPr>
                  <w:tcW w:w="260" w:type="pct"/>
                  <w:vMerge w:val="restart"/>
                  <w:tcBorders>
                    <w:tl2br w:val="nil"/>
                    <w:tr2bl w:val="nil"/>
                  </w:tcBorders>
                  <w:noWrap/>
                  <w:vAlign w:val="center"/>
                </w:tcPr>
                <w:p>
                  <w:pPr>
                    <w:pStyle w:val="38"/>
                    <w:rPr>
                      <w:rFonts w:hint="default"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111.578962</w:t>
                  </w:r>
                </w:p>
              </w:tc>
              <w:tc>
                <w:tcPr>
                  <w:tcW w:w="314" w:type="pct"/>
                  <w:vMerge w:val="restart"/>
                  <w:tcBorders>
                    <w:tl2br w:val="nil"/>
                    <w:tr2bl w:val="nil"/>
                  </w:tcBorders>
                  <w:noWrap/>
                  <w:vAlign w:val="center"/>
                </w:tcPr>
                <w:p>
                  <w:pPr>
                    <w:pStyle w:val="38"/>
                    <w:rPr>
                      <w:rFonts w:hint="default"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26.397159</w:t>
                  </w:r>
                </w:p>
              </w:tc>
              <w:tc>
                <w:tcPr>
                  <w:tcW w:w="266" w:type="pct"/>
                  <w:tcBorders>
                    <w:tl2br w:val="nil"/>
                    <w:tr2bl w:val="nil"/>
                  </w:tcBorders>
                  <w:noWrap/>
                  <w:vAlign w:val="center"/>
                </w:tcPr>
                <w:p>
                  <w:pPr>
                    <w:pStyle w:val="38"/>
                    <w:rPr>
                      <w:rFonts w:hint="default"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48" w:type="pct"/>
                  <w:vMerge w:val="restart"/>
                  <w:tcBorders>
                    <w:tl2br w:val="nil"/>
                    <w:tr2bl w:val="nil"/>
                  </w:tcBorders>
                  <w:noWrap/>
                  <w:vAlign w:val="center"/>
                </w:tcPr>
                <w:p>
                  <w:pPr>
                    <w:pStyle w:val="38"/>
                    <w:rPr>
                      <w:rFonts w:hint="eastAsia"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2</w:t>
                  </w:r>
                </w:p>
              </w:tc>
              <w:tc>
                <w:tcPr>
                  <w:tcW w:w="321" w:type="pct"/>
                  <w:vMerge w:val="restar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含浸烘</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干工序</w:t>
                  </w:r>
                </w:p>
              </w:tc>
              <w:tc>
                <w:tcPr>
                  <w:tcW w:w="426"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二甲苯</w:t>
                  </w:r>
                </w:p>
              </w:tc>
              <w:tc>
                <w:tcPr>
                  <w:tcW w:w="346" w:type="dxa"/>
                  <w:tcBorders>
                    <w:tl2br w:val="nil"/>
                    <w:tr2bl w:val="nil"/>
                  </w:tcBorders>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0.48</w:t>
                  </w:r>
                </w:p>
              </w:tc>
              <w:tc>
                <w:tcPr>
                  <w:tcW w:w="450" w:type="dxa"/>
                  <w:tcBorders>
                    <w:tl2br w:val="nil"/>
                    <w:tr2bl w:val="nil"/>
                  </w:tcBorders>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53.33</w:t>
                  </w:r>
                </w:p>
              </w:tc>
              <w:tc>
                <w:tcPr>
                  <w:tcW w:w="187"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85"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84"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93"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07"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58"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410" w:type="dxa"/>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0.06</w:t>
                  </w:r>
                </w:p>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48</w:t>
                  </w:r>
                </w:p>
              </w:tc>
              <w:tc>
                <w:tcPr>
                  <w:tcW w:w="422" w:type="dxa"/>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0.02</w:t>
                  </w:r>
                </w:p>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16</w:t>
                  </w:r>
                </w:p>
              </w:tc>
              <w:tc>
                <w:tcPr>
                  <w:tcW w:w="351" w:type="dxa"/>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7.2</w:t>
                  </w:r>
                </w:p>
              </w:tc>
              <w:tc>
                <w:tcPr>
                  <w:tcW w:w="148" w:type="pct"/>
                  <w:vMerge w:val="continue"/>
                  <w:tcBorders>
                    <w:tl2br w:val="nil"/>
                    <w:tr2bl w:val="nil"/>
                  </w:tcBorders>
                  <w:noWrap/>
                  <w:vAlign w:val="center"/>
                </w:tcPr>
                <w:p>
                  <w:pPr>
                    <w:pStyle w:val="38"/>
                    <w:rPr>
                      <w:rFonts w:hint="eastAsia"/>
                      <w:color w:val="auto"/>
                      <w:sz w:val="16"/>
                      <w:szCs w:val="16"/>
                      <w:highlight w:val="none"/>
                      <w:u w:val="none" w:color="auto"/>
                      <w:lang w:val="en-US" w:eastAsia="zh-CN"/>
                    </w:rPr>
                  </w:pPr>
                </w:p>
              </w:tc>
              <w:tc>
                <w:tcPr>
                  <w:tcW w:w="166"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48"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02"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50"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60"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314"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66" w:type="pct"/>
                  <w:tcBorders>
                    <w:tl2br w:val="nil"/>
                    <w:tr2bl w:val="nil"/>
                  </w:tcBorders>
                  <w:noWrap/>
                  <w:vAlign w:val="center"/>
                </w:tcPr>
                <w:p>
                  <w:pPr>
                    <w:pStyle w:val="38"/>
                    <w:rPr>
                      <w:rFonts w:hint="default"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48"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321" w:type="pct"/>
                  <w:vMerge w:val="continue"/>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p>
              </w:tc>
              <w:tc>
                <w:tcPr>
                  <w:tcW w:w="426"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非甲烷</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总烃</w:t>
                  </w:r>
                </w:p>
              </w:tc>
              <w:tc>
                <w:tcPr>
                  <w:tcW w:w="346" w:type="dxa"/>
                  <w:tcBorders>
                    <w:tl2br w:val="nil"/>
                    <w:tr2bl w:val="nil"/>
                  </w:tcBorders>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0.18</w:t>
                  </w:r>
                </w:p>
              </w:tc>
              <w:tc>
                <w:tcPr>
                  <w:tcW w:w="450" w:type="dxa"/>
                  <w:tcBorders>
                    <w:tl2br w:val="nil"/>
                    <w:tr2bl w:val="nil"/>
                  </w:tcBorders>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20</w:t>
                  </w:r>
                </w:p>
              </w:tc>
              <w:tc>
                <w:tcPr>
                  <w:tcW w:w="187"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85"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84"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93"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07"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58"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410" w:type="dxa"/>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0.02</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43</w:t>
                  </w:r>
                </w:p>
              </w:tc>
              <w:tc>
                <w:tcPr>
                  <w:tcW w:w="422" w:type="dxa"/>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0.00</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81</w:t>
                  </w:r>
                </w:p>
              </w:tc>
              <w:tc>
                <w:tcPr>
                  <w:tcW w:w="351" w:type="dxa"/>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2.7</w:t>
                  </w:r>
                </w:p>
              </w:tc>
              <w:tc>
                <w:tcPr>
                  <w:tcW w:w="148" w:type="pct"/>
                  <w:vMerge w:val="continue"/>
                  <w:tcBorders>
                    <w:tl2br w:val="nil"/>
                    <w:tr2bl w:val="nil"/>
                  </w:tcBorders>
                  <w:noWrap/>
                  <w:vAlign w:val="center"/>
                </w:tcPr>
                <w:p>
                  <w:pPr>
                    <w:pStyle w:val="38"/>
                    <w:rPr>
                      <w:rFonts w:hint="eastAsia"/>
                      <w:color w:val="auto"/>
                      <w:sz w:val="16"/>
                      <w:szCs w:val="16"/>
                      <w:highlight w:val="none"/>
                      <w:u w:val="none" w:color="auto"/>
                      <w:lang w:val="en-US" w:eastAsia="zh-CN"/>
                    </w:rPr>
                  </w:pPr>
                </w:p>
              </w:tc>
              <w:tc>
                <w:tcPr>
                  <w:tcW w:w="166"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48"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02"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50"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60"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314"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66" w:type="pct"/>
                  <w:tcBorders>
                    <w:tl2br w:val="nil"/>
                    <w:tr2bl w:val="nil"/>
                  </w:tcBorders>
                  <w:noWrap/>
                  <w:vAlign w:val="center"/>
                </w:tcPr>
                <w:p>
                  <w:pPr>
                    <w:pStyle w:val="38"/>
                    <w:rPr>
                      <w:rFonts w:hint="default"/>
                      <w:color w:val="auto"/>
                      <w:sz w:val="16"/>
                      <w:szCs w:val="16"/>
                      <w:highlight w:val="none"/>
                      <w:u w:val="none" w:color="auto"/>
                      <w:lang w:val="en-US" w:eastAsia="zh-CN"/>
                    </w:rPr>
                  </w:pPr>
                  <w:r>
                    <w:rPr>
                      <w:rFonts w:hint="eastAsia"/>
                      <w:color w:val="auto"/>
                      <w:sz w:val="16"/>
                      <w:szCs w:val="16"/>
                      <w:highlight w:val="none"/>
                      <w:u w:val="none" w:color="auto"/>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148" w:type="pct"/>
                  <w:tcBorders>
                    <w:tl2br w:val="nil"/>
                    <w:tr2bl w:val="nil"/>
                  </w:tcBorders>
                  <w:noWrap/>
                  <w:vAlign w:val="center"/>
                </w:tcPr>
                <w:p>
                  <w:pPr>
                    <w:pStyle w:val="38"/>
                    <w:rPr>
                      <w:rFonts w:hint="eastAsia"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3</w:t>
                  </w:r>
                </w:p>
              </w:tc>
              <w:tc>
                <w:tcPr>
                  <w:tcW w:w="321"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焊锡</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废气</w:t>
                  </w:r>
                </w:p>
              </w:tc>
              <w:tc>
                <w:tcPr>
                  <w:tcW w:w="426"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颗粒物（</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锡及其化</w:t>
                  </w:r>
                </w:p>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合物）</w:t>
                  </w:r>
                </w:p>
              </w:tc>
              <w:tc>
                <w:tcPr>
                  <w:tcW w:w="214" w:type="pct"/>
                  <w:tcBorders>
                    <w:tl2br w:val="nil"/>
                    <w:tr2bl w:val="nil"/>
                  </w:tcBorders>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0.201</w:t>
                  </w:r>
                </w:p>
              </w:tc>
              <w:tc>
                <w:tcPr>
                  <w:tcW w:w="279" w:type="pct"/>
                  <w:tcBorders>
                    <w:tl2br w:val="nil"/>
                    <w:tr2bl w:val="nil"/>
                  </w:tcBorders>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23.33</w:t>
                  </w:r>
                </w:p>
              </w:tc>
              <w:tc>
                <w:tcPr>
                  <w:tcW w:w="187"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85"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84"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93"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07"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58"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54" w:type="pct"/>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0.03</w:t>
                  </w:r>
                </w:p>
              </w:tc>
              <w:tc>
                <w:tcPr>
                  <w:tcW w:w="261" w:type="pct"/>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0.1</w:t>
                  </w:r>
                </w:p>
              </w:tc>
              <w:tc>
                <w:tcPr>
                  <w:tcW w:w="217" w:type="pct"/>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ascii="Times New Roman" w:hAnsi="Times New Roman" w:eastAsia="宋体" w:cs="Times New Roman"/>
                      <w:color w:val="auto"/>
                      <w:kern w:val="0"/>
                      <w:sz w:val="16"/>
                      <w:szCs w:val="16"/>
                      <w:highlight w:val="none"/>
                      <w:u w:val="none" w:color="auto"/>
                      <w:lang w:val="en-US" w:eastAsia="zh-CN" w:bidi="ar-SA"/>
                    </w:rPr>
                    <w:t>3.33</w:t>
                  </w:r>
                </w:p>
              </w:tc>
              <w:tc>
                <w:tcPr>
                  <w:tcW w:w="148" w:type="pct"/>
                  <w:vMerge w:val="continue"/>
                  <w:tcBorders>
                    <w:tl2br w:val="nil"/>
                    <w:tr2bl w:val="nil"/>
                  </w:tcBorders>
                  <w:noWrap/>
                  <w:vAlign w:val="center"/>
                </w:tcPr>
                <w:p>
                  <w:pPr>
                    <w:pStyle w:val="38"/>
                    <w:rPr>
                      <w:rFonts w:hint="eastAsia"/>
                      <w:color w:val="auto"/>
                      <w:sz w:val="16"/>
                      <w:szCs w:val="16"/>
                      <w:highlight w:val="none"/>
                      <w:u w:val="none" w:color="auto"/>
                      <w:lang w:val="en-US" w:eastAsia="zh-CN"/>
                    </w:rPr>
                  </w:pPr>
                </w:p>
              </w:tc>
              <w:tc>
                <w:tcPr>
                  <w:tcW w:w="166"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148"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02"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50"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60"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314" w:type="pct"/>
                  <w:vMerge w:val="continue"/>
                  <w:tcBorders>
                    <w:tl2br w:val="nil"/>
                    <w:tr2bl w:val="nil"/>
                  </w:tcBorders>
                  <w:noWrap/>
                  <w:vAlign w:val="center"/>
                </w:tcPr>
                <w:p>
                  <w:pPr>
                    <w:pStyle w:val="38"/>
                    <w:rPr>
                      <w:rFonts w:hint="eastAsia"/>
                      <w:color w:val="auto"/>
                      <w:sz w:val="16"/>
                      <w:szCs w:val="16"/>
                      <w:highlight w:val="none"/>
                      <w:u w:val="none" w:color="auto"/>
                    </w:rPr>
                  </w:pPr>
                </w:p>
              </w:tc>
              <w:tc>
                <w:tcPr>
                  <w:tcW w:w="266" w:type="pct"/>
                  <w:tcBorders>
                    <w:tl2br w:val="nil"/>
                    <w:tr2bl w:val="nil"/>
                  </w:tcBorders>
                  <w:noWrap/>
                  <w:vAlign w:val="center"/>
                </w:tcPr>
                <w:p>
                  <w:pPr>
                    <w:pStyle w:val="38"/>
                    <w:rPr>
                      <w:rFonts w:hint="default"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148" w:type="pct"/>
                  <w:tcBorders>
                    <w:tl2br w:val="nil"/>
                    <w:tr2bl w:val="nil"/>
                  </w:tcBorders>
                  <w:noWrap/>
                  <w:vAlign w:val="center"/>
                </w:tcPr>
                <w:p>
                  <w:pPr>
                    <w:pStyle w:val="38"/>
                    <w:rPr>
                      <w:rFonts w:hint="eastAsia"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4</w:t>
                  </w:r>
                </w:p>
              </w:tc>
              <w:tc>
                <w:tcPr>
                  <w:tcW w:w="321" w:type="pct"/>
                  <w:tcBorders>
                    <w:tl2br w:val="nil"/>
                    <w:tr2bl w:val="nil"/>
                  </w:tcBorders>
                  <w:noWrap/>
                  <w:vAlign w:val="center"/>
                </w:tcPr>
                <w:p>
                  <w:pPr>
                    <w:ind w:left="-105" w:leftChars="-50" w:right="-105" w:rightChars="-50"/>
                    <w:jc w:val="center"/>
                    <w:rPr>
                      <w:rFonts w:hint="eastAsia"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生产</w:t>
                  </w:r>
                </w:p>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工序</w:t>
                  </w:r>
                </w:p>
              </w:tc>
              <w:tc>
                <w:tcPr>
                  <w:tcW w:w="426" w:type="pct"/>
                  <w:tcBorders>
                    <w:tl2br w:val="nil"/>
                    <w:tr2bl w:val="nil"/>
                  </w:tcBorders>
                  <w:noWrap/>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臭气浓度</w:t>
                  </w:r>
                </w:p>
              </w:tc>
              <w:tc>
                <w:tcPr>
                  <w:tcW w:w="214" w:type="pct"/>
                  <w:tcBorders>
                    <w:tl2br w:val="nil"/>
                    <w:tr2bl w:val="nil"/>
                  </w:tcBorders>
                  <w:vAlign w:val="center"/>
                </w:tcPr>
                <w:p>
                  <w:pPr>
                    <w:ind w:left="-105" w:leftChars="-50" w:right="-105" w:rightChars="-50"/>
                    <w:jc w:val="center"/>
                    <w:rPr>
                      <w:rFonts w:hint="default" w:ascii="Times New Roman" w:hAnsi="Times New Roman" w:eastAsia="宋体"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少量</w:t>
                  </w:r>
                </w:p>
              </w:tc>
              <w:tc>
                <w:tcPr>
                  <w:tcW w:w="279" w:type="pct"/>
                  <w:tcBorders>
                    <w:tl2br w:val="nil"/>
                    <w:tr2bl w:val="nil"/>
                  </w:tcBorders>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少量</w:t>
                  </w:r>
                </w:p>
              </w:tc>
              <w:tc>
                <w:tcPr>
                  <w:tcW w:w="187" w:type="pct"/>
                  <w:tcBorders>
                    <w:tl2br w:val="nil"/>
                    <w:tr2bl w:val="nil"/>
                  </w:tcBorders>
                  <w:noWrap/>
                  <w:vAlign w:val="center"/>
                </w:tcPr>
                <w:p>
                  <w:pPr>
                    <w:pStyle w:val="38"/>
                    <w:rPr>
                      <w:rFonts w:hint="eastAsia"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无组织</w:t>
                  </w:r>
                </w:p>
              </w:tc>
              <w:tc>
                <w:tcPr>
                  <w:tcW w:w="185" w:type="pct"/>
                  <w:tcBorders>
                    <w:tl2br w:val="nil"/>
                    <w:tr2bl w:val="nil"/>
                  </w:tcBorders>
                  <w:noWrap/>
                  <w:vAlign w:val="center"/>
                </w:tcPr>
                <w:p>
                  <w:pPr>
                    <w:pStyle w:val="38"/>
                    <w:jc w:val="center"/>
                    <w:rPr>
                      <w:rFonts w:hint="eastAsia" w:eastAsia="宋体"/>
                      <w:color w:val="auto"/>
                      <w:sz w:val="16"/>
                      <w:szCs w:val="16"/>
                      <w:highlight w:val="none"/>
                      <w:u w:val="none" w:color="auto"/>
                      <w:lang w:val="en-US" w:eastAsia="zh-CN"/>
                    </w:rPr>
                  </w:pPr>
                  <w:r>
                    <w:rPr>
                      <w:rFonts w:hint="eastAsia"/>
                      <w:color w:val="auto"/>
                      <w:sz w:val="16"/>
                      <w:szCs w:val="16"/>
                      <w:highlight w:val="none"/>
                      <w:u w:val="none" w:color="auto"/>
                      <w:lang w:val="en-US" w:eastAsia="zh-CN"/>
                    </w:rPr>
                    <w:t>/</w:t>
                  </w:r>
                </w:p>
              </w:tc>
              <w:tc>
                <w:tcPr>
                  <w:tcW w:w="184"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193"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207"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158"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254"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少量</w:t>
                  </w:r>
                </w:p>
              </w:tc>
              <w:tc>
                <w:tcPr>
                  <w:tcW w:w="261"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少量</w:t>
                  </w:r>
                </w:p>
              </w:tc>
              <w:tc>
                <w:tcPr>
                  <w:tcW w:w="217" w:type="pct"/>
                  <w:tcBorders>
                    <w:tl2br w:val="nil"/>
                    <w:tr2bl w:val="nil"/>
                  </w:tcBorders>
                  <w:noWrap/>
                  <w:vAlign w:val="center"/>
                </w:tcPr>
                <w:p>
                  <w:pPr>
                    <w:ind w:left="-105" w:leftChars="-50" w:right="-105" w:rightChars="-50"/>
                    <w:jc w:val="center"/>
                    <w:rPr>
                      <w:rFonts w:hint="eastAsia" w:ascii="Times New Roman" w:hAnsi="Times New Roman" w:eastAsia="宋体" w:cs="Times New Roman"/>
                      <w:color w:val="auto"/>
                      <w:kern w:val="0"/>
                      <w:sz w:val="16"/>
                      <w:szCs w:val="16"/>
                      <w:highlight w:val="none"/>
                      <w:u w:val="none" w:color="auto"/>
                      <w:lang w:val="en-US" w:eastAsia="zh-CN" w:bidi="ar-SA"/>
                    </w:rPr>
                  </w:pPr>
                  <w:r>
                    <w:rPr>
                      <w:rFonts w:hint="eastAsia" w:cs="Times New Roman"/>
                      <w:color w:val="auto"/>
                      <w:kern w:val="0"/>
                      <w:sz w:val="16"/>
                      <w:szCs w:val="16"/>
                      <w:highlight w:val="none"/>
                      <w:u w:val="none" w:color="auto"/>
                      <w:lang w:val="en-US" w:eastAsia="zh-CN" w:bidi="ar-SA"/>
                    </w:rPr>
                    <w:t>少量</w:t>
                  </w:r>
                </w:p>
              </w:tc>
              <w:tc>
                <w:tcPr>
                  <w:tcW w:w="148" w:type="pct"/>
                  <w:tcBorders>
                    <w:tl2br w:val="nil"/>
                    <w:tr2bl w:val="nil"/>
                  </w:tcBorders>
                  <w:noWrap/>
                  <w:vAlign w:val="center"/>
                </w:tcPr>
                <w:p>
                  <w:pPr>
                    <w:jc w:val="center"/>
                    <w:rPr>
                      <w:rFonts w:hint="eastAsia"/>
                      <w:color w:val="auto"/>
                      <w:sz w:val="16"/>
                      <w:szCs w:val="16"/>
                      <w:highlight w:val="none"/>
                      <w:u w:val="none" w:color="auto"/>
                      <w:lang w:val="en-US" w:eastAsia="zh-CN"/>
                    </w:rPr>
                  </w:pPr>
                  <w:r>
                    <w:rPr>
                      <w:rFonts w:hint="eastAsia"/>
                      <w:color w:val="auto"/>
                      <w:sz w:val="16"/>
                      <w:szCs w:val="16"/>
                      <w:highlight w:val="none"/>
                      <w:u w:val="none" w:color="auto"/>
                      <w:lang w:val="en-US" w:eastAsia="zh-CN"/>
                    </w:rPr>
                    <w:t>/</w:t>
                  </w:r>
                </w:p>
              </w:tc>
              <w:tc>
                <w:tcPr>
                  <w:tcW w:w="166"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148"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202"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250"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260"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314" w:type="pct"/>
                  <w:tcBorders>
                    <w:tl2br w:val="nil"/>
                    <w:tr2bl w:val="nil"/>
                  </w:tcBorders>
                  <w:noWrap/>
                  <w:vAlign w:val="center"/>
                </w:tcPr>
                <w:p>
                  <w:pPr>
                    <w:jc w:val="center"/>
                    <w:rPr>
                      <w:rFonts w:hint="eastAsia"/>
                      <w:color w:val="auto"/>
                      <w:sz w:val="16"/>
                      <w:szCs w:val="16"/>
                      <w:highlight w:val="none"/>
                      <w:u w:val="none" w:color="auto"/>
                    </w:rPr>
                  </w:pPr>
                  <w:r>
                    <w:rPr>
                      <w:rFonts w:hint="eastAsia"/>
                      <w:color w:val="auto"/>
                      <w:sz w:val="16"/>
                      <w:szCs w:val="16"/>
                      <w:highlight w:val="none"/>
                      <w:u w:val="none" w:color="auto"/>
                      <w:lang w:val="en-US" w:eastAsia="zh-CN"/>
                    </w:rPr>
                    <w:t>/</w:t>
                  </w:r>
                </w:p>
              </w:tc>
              <w:tc>
                <w:tcPr>
                  <w:tcW w:w="266" w:type="pct"/>
                  <w:tcBorders>
                    <w:tl2br w:val="nil"/>
                    <w:tr2bl w:val="nil"/>
                  </w:tcBorders>
                  <w:noWrap/>
                  <w:vAlign w:val="center"/>
                </w:tcPr>
                <w:p>
                  <w:pPr>
                    <w:pStyle w:val="38"/>
                    <w:rPr>
                      <w:rFonts w:hint="default"/>
                      <w:color w:val="auto"/>
                      <w:sz w:val="16"/>
                      <w:szCs w:val="16"/>
                      <w:highlight w:val="none"/>
                      <w:u w:val="none" w:color="auto"/>
                      <w:lang w:val="en-US" w:eastAsia="zh-CN"/>
                    </w:rPr>
                  </w:pPr>
                  <w:r>
                    <w:rPr>
                      <w:rFonts w:hint="eastAsia"/>
                      <w:color w:val="auto"/>
                      <w:sz w:val="16"/>
                      <w:szCs w:val="16"/>
                      <w:highlight w:val="none"/>
                      <w:u w:val="none" w:color="auto"/>
                      <w:lang w:val="en-US" w:eastAsia="zh-CN"/>
                    </w:rPr>
                    <w:t>20</w:t>
                  </w:r>
                </w:p>
              </w:tc>
            </w:tr>
          </w:tbl>
          <w:p>
            <w:pPr>
              <w:widowControl/>
              <w:spacing w:line="360" w:lineRule="auto"/>
              <w:ind w:firstLine="422" w:firstLineChars="200"/>
              <w:jc w:val="left"/>
              <w:rPr>
                <w:rFonts w:ascii="宋体" w:hAnsi="宋体" w:cs="宋体"/>
                <w:b/>
                <w:color w:val="auto"/>
                <w:kern w:val="0"/>
                <w:highlight w:val="none"/>
                <w:u w:val="none" w:color="auto"/>
                <w:lang w:bidi="ar"/>
              </w:rPr>
            </w:pPr>
            <w:r>
              <w:rPr>
                <w:rFonts w:hint="eastAsia" w:ascii="宋体" w:hAnsi="宋体" w:cs="宋体"/>
                <w:b/>
                <w:color w:val="auto"/>
                <w:kern w:val="0"/>
                <w:highlight w:val="none"/>
                <w:u w:val="none" w:color="auto"/>
                <w:lang w:bidi="ar"/>
              </w:rPr>
              <w:t>备注：本项目为</w:t>
            </w:r>
            <w:r>
              <w:rPr>
                <w:rFonts w:hint="eastAsia" w:ascii="宋体" w:hAnsi="宋体" w:cs="宋体"/>
                <w:b/>
                <w:color w:val="auto"/>
                <w:kern w:val="0"/>
                <w:highlight w:val="none"/>
                <w:u w:val="none" w:color="auto"/>
                <w:lang w:val="en-US" w:eastAsia="zh-CN" w:bidi="ar"/>
              </w:rPr>
              <w:t>电感</w:t>
            </w:r>
            <w:r>
              <w:rPr>
                <w:rFonts w:hint="eastAsia" w:ascii="宋体" w:hAnsi="宋体" w:cs="宋体"/>
                <w:b/>
                <w:color w:val="auto"/>
                <w:kern w:val="0"/>
                <w:highlight w:val="none"/>
                <w:u w:val="none" w:color="auto"/>
                <w:lang w:bidi="ar"/>
              </w:rPr>
              <w:t>生产项目，暂无相关行业的</w:t>
            </w:r>
            <w:r>
              <w:rPr>
                <w:b/>
                <w:color w:val="auto"/>
                <w:highlight w:val="none"/>
                <w:u w:val="none" w:color="auto"/>
              </w:rPr>
              <w:t>污染防治可行性技术指南</w:t>
            </w:r>
            <w:r>
              <w:rPr>
                <w:rFonts w:hint="eastAsia"/>
                <w:b/>
                <w:color w:val="auto"/>
                <w:highlight w:val="none"/>
                <w:u w:val="none" w:color="auto"/>
              </w:rPr>
              <w:t>，因此</w:t>
            </w:r>
            <w:r>
              <w:rPr>
                <w:rFonts w:hint="eastAsia" w:ascii="宋体" w:hAnsi="宋体" w:cs="宋体"/>
                <w:b/>
                <w:color w:val="auto"/>
                <w:kern w:val="0"/>
                <w:highlight w:val="none"/>
                <w:u w:val="none" w:color="auto"/>
                <w:lang w:bidi="ar"/>
              </w:rPr>
              <w:t>本项目治理设施为可行技术的依据是</w:t>
            </w:r>
            <w:r>
              <w:rPr>
                <w:rFonts w:hint="eastAsia"/>
                <w:b/>
                <w:color w:val="auto"/>
                <w:highlight w:val="none"/>
                <w:u w:val="none" w:color="auto"/>
              </w:rPr>
              <w:t>《排污许可证申请与核发技术规范  电子工业》（HJ1031-2019）中表B.1电子工业排污单位废气防治可行技术参考表。建设单位在实际运用过程中，应按照《排污许可证申请与核发技术规范  总则(HJ942-2018)》、《排污许可证申请与核发技术规范  电子工业》（HJ1031-2019）中的环保治理措施来进行生产运营。</w:t>
            </w:r>
          </w:p>
          <w:p>
            <w:pPr>
              <w:widowControl/>
              <w:spacing w:line="360" w:lineRule="auto"/>
              <w:ind w:firstLine="482" w:firstLineChars="200"/>
              <w:jc w:val="left"/>
              <w:rPr>
                <w:rFonts w:ascii="宋体" w:hAnsi="宋体" w:cs="宋体"/>
                <w:b/>
                <w:color w:val="auto"/>
                <w:kern w:val="0"/>
                <w:sz w:val="24"/>
                <w:highlight w:val="none"/>
                <w:u w:val="none" w:color="auto"/>
                <w:lang w:bidi="ar"/>
              </w:rPr>
            </w:pPr>
            <w:r>
              <w:rPr>
                <w:rFonts w:hint="eastAsia" w:ascii="宋体" w:hAnsi="宋体" w:cs="宋体"/>
                <w:b/>
                <w:color w:val="auto"/>
                <w:kern w:val="0"/>
                <w:sz w:val="24"/>
                <w:highlight w:val="none"/>
                <w:u w:val="none" w:color="auto"/>
                <w:lang w:bidi="ar"/>
              </w:rPr>
              <w:t>（</w:t>
            </w:r>
            <w:r>
              <w:rPr>
                <w:rFonts w:hint="eastAsia"/>
                <w:b/>
                <w:color w:val="auto"/>
                <w:kern w:val="0"/>
                <w:sz w:val="24"/>
                <w:highlight w:val="none"/>
                <w:u w:val="none" w:color="auto"/>
                <w:lang w:bidi="ar"/>
              </w:rPr>
              <w:t>2</w:t>
            </w:r>
            <w:r>
              <w:rPr>
                <w:rFonts w:hint="eastAsia" w:ascii="宋体" w:hAnsi="宋体" w:cs="宋体"/>
                <w:b/>
                <w:color w:val="auto"/>
                <w:kern w:val="0"/>
                <w:sz w:val="24"/>
                <w:highlight w:val="none"/>
                <w:u w:val="none" w:color="auto"/>
                <w:lang w:bidi="ar"/>
              </w:rPr>
              <w:t>）源强核算</w:t>
            </w:r>
          </w:p>
          <w:p>
            <w:pPr>
              <w:spacing w:line="360" w:lineRule="auto"/>
              <w:ind w:firstLine="480" w:firstLineChars="200"/>
              <w:jc w:val="left"/>
              <w:rPr>
                <w:rFonts w:hint="eastAsia"/>
                <w:b w:val="0"/>
                <w:bCs w:val="0"/>
                <w:color w:val="auto"/>
                <w:sz w:val="24"/>
                <w:highlight w:val="none"/>
                <w:u w:val="none" w:color="auto"/>
              </w:rPr>
            </w:pPr>
            <w:r>
              <w:rPr>
                <w:rFonts w:hint="eastAsia"/>
                <w:b w:val="0"/>
                <w:bCs w:val="0"/>
                <w:color w:val="auto"/>
                <w:sz w:val="24"/>
                <w:highlight w:val="none"/>
                <w:u w:val="none" w:color="auto"/>
              </w:rPr>
              <w:t>1）点胶工序废气</w:t>
            </w:r>
          </w:p>
          <w:p>
            <w:pPr>
              <w:spacing w:line="360" w:lineRule="auto"/>
              <w:ind w:firstLine="480" w:firstLineChars="200"/>
              <w:jc w:val="left"/>
              <w:rPr>
                <w:rFonts w:hint="eastAsia"/>
                <w:b w:val="0"/>
                <w:bCs w:val="0"/>
                <w:color w:val="auto"/>
                <w:sz w:val="24"/>
                <w:highlight w:val="none"/>
                <w:u w:val="none" w:color="auto"/>
              </w:rPr>
            </w:pPr>
            <w:r>
              <w:rPr>
                <w:rFonts w:hint="eastAsia"/>
                <w:b w:val="0"/>
                <w:bCs w:val="0"/>
                <w:color w:val="auto"/>
                <w:sz w:val="24"/>
                <w:highlight w:val="none"/>
                <w:u w:val="none" w:color="auto"/>
              </w:rPr>
              <w:t>该工序采用环氧树脂粘接剂，其主要成分为环氧树脂、添加剂、固化剂填充剂，其挥发性成分主要为固化剂，占比10%，项目使用的环氧树脂粘接剂用量为</w:t>
            </w:r>
            <w:r>
              <w:rPr>
                <w:rFonts w:hint="eastAsia"/>
                <w:b w:val="0"/>
                <w:bCs w:val="0"/>
                <w:color w:val="auto"/>
                <w:sz w:val="24"/>
                <w:highlight w:val="none"/>
                <w:u w:val="none" w:color="auto"/>
                <w:lang w:val="en-US" w:eastAsia="zh-CN"/>
              </w:rPr>
              <w:t>1</w:t>
            </w:r>
            <w:r>
              <w:rPr>
                <w:rFonts w:hint="eastAsia"/>
                <w:b w:val="0"/>
                <w:bCs w:val="0"/>
                <w:color w:val="auto"/>
                <w:sz w:val="24"/>
                <w:highlight w:val="none"/>
                <w:u w:val="none" w:color="auto"/>
              </w:rPr>
              <w:t>t/a，按挥发性成分全部挥发计，以</w:t>
            </w:r>
            <w:r>
              <w:rPr>
                <w:rFonts w:hint="eastAsia"/>
                <w:b w:val="0"/>
                <w:bCs w:val="0"/>
                <w:color w:val="auto"/>
                <w:sz w:val="24"/>
                <w:highlight w:val="none"/>
                <w:u w:val="none" w:color="auto"/>
                <w:lang w:val="en-US" w:eastAsia="zh-CN"/>
              </w:rPr>
              <w:t>非甲烷总烃</w:t>
            </w:r>
            <w:r>
              <w:rPr>
                <w:rFonts w:hint="eastAsia"/>
                <w:b w:val="0"/>
                <w:bCs w:val="0"/>
                <w:color w:val="auto"/>
                <w:sz w:val="24"/>
                <w:highlight w:val="none"/>
                <w:u w:val="none" w:color="auto"/>
              </w:rPr>
              <w:t>表征，产生量为</w:t>
            </w:r>
            <w:r>
              <w:rPr>
                <w:rFonts w:hint="eastAsia"/>
                <w:b w:val="0"/>
                <w:bCs w:val="0"/>
                <w:color w:val="auto"/>
                <w:sz w:val="24"/>
                <w:highlight w:val="none"/>
                <w:u w:val="none" w:color="auto"/>
                <w:lang w:val="en-US" w:eastAsia="zh-CN"/>
              </w:rPr>
              <w:t>0.1</w:t>
            </w:r>
            <w:r>
              <w:rPr>
                <w:rFonts w:hint="eastAsia"/>
                <w:b w:val="0"/>
                <w:bCs w:val="0"/>
                <w:color w:val="auto"/>
                <w:sz w:val="24"/>
                <w:highlight w:val="none"/>
                <w:u w:val="none" w:color="auto"/>
              </w:rPr>
              <w:t>t/a。在点胶工序上方设计集尘罩，设计风量为</w:t>
            </w:r>
            <w:r>
              <w:rPr>
                <w:rFonts w:hint="eastAsia"/>
                <w:b w:val="0"/>
                <w:bCs w:val="0"/>
                <w:color w:val="auto"/>
                <w:sz w:val="24"/>
                <w:highlight w:val="none"/>
                <w:u w:val="none" w:color="auto"/>
                <w:lang w:val="en-US" w:eastAsia="zh-CN"/>
              </w:rPr>
              <w:t>10</w:t>
            </w:r>
            <w:r>
              <w:rPr>
                <w:rFonts w:hint="eastAsia"/>
                <w:b w:val="0"/>
                <w:bCs w:val="0"/>
                <w:color w:val="auto"/>
                <w:sz w:val="24"/>
                <w:highlight w:val="none"/>
                <w:u w:val="none" w:color="auto"/>
              </w:rPr>
              <w:t>00m</w:t>
            </w:r>
            <w:r>
              <w:rPr>
                <w:rFonts w:hint="eastAsia"/>
                <w:b w:val="0"/>
                <w:bCs w:val="0"/>
                <w:color w:val="auto"/>
                <w:sz w:val="24"/>
                <w:highlight w:val="none"/>
                <w:u w:val="none" w:color="auto"/>
                <w:vertAlign w:val="superscript"/>
              </w:rPr>
              <w:t>3</w:t>
            </w:r>
            <w:r>
              <w:rPr>
                <w:rFonts w:hint="eastAsia"/>
                <w:b w:val="0"/>
                <w:bCs w:val="0"/>
                <w:color w:val="auto"/>
                <w:sz w:val="24"/>
                <w:highlight w:val="none"/>
                <w:u w:val="none" w:color="auto"/>
              </w:rPr>
              <w:t>/h。</w:t>
            </w:r>
          </w:p>
          <w:p>
            <w:pPr>
              <w:spacing w:line="360" w:lineRule="auto"/>
              <w:ind w:firstLine="480" w:firstLineChars="200"/>
              <w:jc w:val="left"/>
              <w:rPr>
                <w:rFonts w:hint="eastAsia"/>
                <w:b w:val="0"/>
                <w:bCs w:val="0"/>
                <w:color w:val="auto"/>
                <w:sz w:val="24"/>
                <w:highlight w:val="none"/>
                <w:u w:val="none" w:color="auto"/>
              </w:rPr>
            </w:pPr>
            <w:r>
              <w:rPr>
                <w:rFonts w:hint="eastAsia"/>
                <w:b w:val="0"/>
                <w:bCs w:val="0"/>
                <w:color w:val="auto"/>
                <w:sz w:val="24"/>
                <w:highlight w:val="none"/>
                <w:u w:val="none" w:color="auto"/>
              </w:rPr>
              <w:t>2）含浸烘干工序废气</w:t>
            </w:r>
          </w:p>
          <w:p>
            <w:pPr>
              <w:spacing w:line="360" w:lineRule="auto"/>
              <w:ind w:firstLine="480" w:firstLineChars="200"/>
              <w:jc w:val="left"/>
              <w:rPr>
                <w:rFonts w:hint="eastAsia" w:hAnsi="宋体"/>
                <w:b/>
                <w:bCs w:val="0"/>
                <w:color w:val="auto"/>
                <w:spacing w:val="-10"/>
                <w:sz w:val="21"/>
                <w:szCs w:val="21"/>
                <w:highlight w:val="none"/>
                <w:u w:val="none" w:color="auto"/>
              </w:rPr>
            </w:pPr>
            <w:r>
              <w:rPr>
                <w:rFonts w:hint="eastAsia"/>
                <w:b w:val="0"/>
                <w:bCs w:val="0"/>
                <w:color w:val="auto"/>
                <w:sz w:val="24"/>
                <w:highlight w:val="none"/>
                <w:u w:val="none" w:color="auto"/>
                <w:lang w:val="en-US" w:eastAsia="zh-CN"/>
              </w:rPr>
              <w:t>项目含浸烘干工序使用绝缘油和稀释剂，根据企业提供资料，绝缘油和稀释剂组分如下表所示：</w:t>
            </w:r>
          </w:p>
          <w:p>
            <w:pPr>
              <w:spacing w:line="360" w:lineRule="auto"/>
              <w:ind w:firstLine="382" w:firstLineChars="200"/>
              <w:jc w:val="center"/>
              <w:rPr>
                <w:rFonts w:hint="eastAsia"/>
                <w:b/>
                <w:bCs w:val="0"/>
                <w:color w:val="auto"/>
                <w:sz w:val="24"/>
                <w:highlight w:val="none"/>
                <w:u w:val="none" w:color="auto"/>
                <w:vertAlign w:val="baseline"/>
              </w:rPr>
            </w:pPr>
            <w:r>
              <w:rPr>
                <w:rFonts w:hint="eastAsia" w:hAnsi="宋体"/>
                <w:b/>
                <w:bCs w:val="0"/>
                <w:color w:val="auto"/>
                <w:spacing w:val="-10"/>
                <w:sz w:val="21"/>
                <w:szCs w:val="21"/>
                <w:highlight w:val="none"/>
                <w:u w:val="none" w:color="auto"/>
              </w:rPr>
              <w:t>表4-</w:t>
            </w:r>
            <w:r>
              <w:rPr>
                <w:rFonts w:hint="eastAsia" w:hAnsi="宋体"/>
                <w:b/>
                <w:bCs w:val="0"/>
                <w:color w:val="auto"/>
                <w:spacing w:val="-10"/>
                <w:sz w:val="21"/>
                <w:szCs w:val="21"/>
                <w:highlight w:val="none"/>
                <w:u w:val="none" w:color="auto"/>
                <w:lang w:val="en-US" w:eastAsia="zh-CN"/>
              </w:rPr>
              <w:t>2 绝缘油和稀释剂组分</w:t>
            </w:r>
            <w:r>
              <w:rPr>
                <w:rFonts w:hint="eastAsia"/>
                <w:b/>
                <w:bCs w:val="0"/>
                <w:color w:val="auto"/>
                <w:sz w:val="21"/>
                <w:szCs w:val="21"/>
                <w:highlight w:val="none"/>
                <w:u w:val="none" w:color="auto"/>
              </w:rPr>
              <w:t>汇总一览表</w:t>
            </w:r>
          </w:p>
          <w:tbl>
            <w:tblPr>
              <w:tblStyle w:val="27"/>
              <w:tblW w:w="81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755"/>
              <w:gridCol w:w="1500"/>
              <w:gridCol w:w="1875"/>
              <w:gridCol w:w="1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58" w:type="dxa"/>
                  <w:vMerge w:val="restart"/>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原料名称</w:t>
                  </w:r>
                </w:p>
              </w:tc>
              <w:tc>
                <w:tcPr>
                  <w:tcW w:w="6981" w:type="dxa"/>
                  <w:gridSpan w:val="4"/>
                  <w:tcBorders>
                    <w:tl2br w:val="nil"/>
                    <w:tr2bl w:val="nil"/>
                  </w:tcBorders>
                  <w:vAlign w:val="center"/>
                </w:tcPr>
                <w:p>
                  <w:pPr>
                    <w:spacing w:line="360" w:lineRule="auto"/>
                    <w:jc w:val="center"/>
                    <w:rPr>
                      <w:rFonts w:hint="eastAsia"/>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58" w:type="dxa"/>
                  <w:vMerge w:val="continue"/>
                  <w:tcBorders>
                    <w:tl2br w:val="nil"/>
                    <w:tr2bl w:val="nil"/>
                  </w:tcBorders>
                  <w:vAlign w:val="center"/>
                </w:tcPr>
                <w:p>
                  <w:pPr>
                    <w:spacing w:line="360" w:lineRule="auto"/>
                    <w:jc w:val="center"/>
                    <w:rPr>
                      <w:rFonts w:hint="eastAsia"/>
                      <w:b w:val="0"/>
                      <w:bCs/>
                      <w:color w:val="auto"/>
                      <w:sz w:val="21"/>
                      <w:szCs w:val="21"/>
                      <w:highlight w:val="none"/>
                      <w:u w:val="none" w:color="auto"/>
                      <w:vertAlign w:val="baseline"/>
                    </w:rPr>
                  </w:pPr>
                </w:p>
              </w:tc>
              <w:tc>
                <w:tcPr>
                  <w:tcW w:w="1755"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聚酯树脂</w:t>
                  </w:r>
                </w:p>
              </w:tc>
              <w:tc>
                <w:tcPr>
                  <w:tcW w:w="1500"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氨基树脂</w:t>
                  </w:r>
                </w:p>
              </w:tc>
              <w:tc>
                <w:tcPr>
                  <w:tcW w:w="1875"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二甲苯</w:t>
                  </w:r>
                </w:p>
              </w:tc>
              <w:tc>
                <w:tcPr>
                  <w:tcW w:w="1851" w:type="dxa"/>
                  <w:tcBorders>
                    <w:tl2br w:val="nil"/>
                    <w:tr2bl w:val="nil"/>
                  </w:tcBorders>
                  <w:vAlign w:val="center"/>
                </w:tcPr>
                <w:p>
                  <w:pPr>
                    <w:spacing w:line="360" w:lineRule="auto"/>
                    <w:jc w:val="center"/>
                    <w:rPr>
                      <w:rFonts w:hint="default"/>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脱芳烃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58"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绝缘油</w:t>
                  </w:r>
                </w:p>
              </w:tc>
              <w:tc>
                <w:tcPr>
                  <w:tcW w:w="1755"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50%</w:t>
                  </w:r>
                </w:p>
              </w:tc>
              <w:tc>
                <w:tcPr>
                  <w:tcW w:w="1500"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20%</w:t>
                  </w:r>
                </w:p>
              </w:tc>
              <w:tc>
                <w:tcPr>
                  <w:tcW w:w="1875"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20%</w:t>
                  </w:r>
                </w:p>
              </w:tc>
              <w:tc>
                <w:tcPr>
                  <w:tcW w:w="1851" w:type="dxa"/>
                  <w:tcBorders>
                    <w:tl2br w:val="nil"/>
                    <w:tr2bl w:val="nil"/>
                  </w:tcBorders>
                  <w:vAlign w:val="center"/>
                </w:tcPr>
                <w:p>
                  <w:pPr>
                    <w:spacing w:line="360" w:lineRule="auto"/>
                    <w:jc w:val="center"/>
                    <w:rPr>
                      <w:rFonts w:hint="default"/>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58"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稀释剂</w:t>
                  </w:r>
                </w:p>
              </w:tc>
              <w:tc>
                <w:tcPr>
                  <w:tcW w:w="1755"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w:t>
                  </w:r>
                </w:p>
              </w:tc>
              <w:tc>
                <w:tcPr>
                  <w:tcW w:w="1500" w:type="dxa"/>
                  <w:tcBorders>
                    <w:tl2br w:val="nil"/>
                    <w:tr2bl w:val="nil"/>
                  </w:tcBorders>
                  <w:vAlign w:val="center"/>
                </w:tcPr>
                <w:p>
                  <w:pPr>
                    <w:spacing w:line="360" w:lineRule="auto"/>
                    <w:jc w:val="center"/>
                    <w:rPr>
                      <w:rFonts w:hint="eastAsia"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w:t>
                  </w:r>
                </w:p>
              </w:tc>
              <w:tc>
                <w:tcPr>
                  <w:tcW w:w="1875"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80%</w:t>
                  </w:r>
                </w:p>
              </w:tc>
              <w:tc>
                <w:tcPr>
                  <w:tcW w:w="1851" w:type="dxa"/>
                  <w:tcBorders>
                    <w:tl2br w:val="nil"/>
                    <w:tr2bl w:val="nil"/>
                  </w:tcBorders>
                  <w:vAlign w:val="center"/>
                </w:tcPr>
                <w:p>
                  <w:pPr>
                    <w:spacing w:line="360" w:lineRule="auto"/>
                    <w:jc w:val="center"/>
                    <w:rPr>
                      <w:rFonts w:hint="default" w:eastAsia="宋体"/>
                      <w:b w:val="0"/>
                      <w:bCs/>
                      <w:color w:val="auto"/>
                      <w:sz w:val="21"/>
                      <w:szCs w:val="21"/>
                      <w:highlight w:val="none"/>
                      <w:u w:val="none" w:color="auto"/>
                      <w:vertAlign w:val="baseline"/>
                      <w:lang w:val="en-US" w:eastAsia="zh-CN"/>
                    </w:rPr>
                  </w:pPr>
                  <w:r>
                    <w:rPr>
                      <w:rFonts w:hint="eastAsia"/>
                      <w:b w:val="0"/>
                      <w:bCs/>
                      <w:color w:val="auto"/>
                      <w:sz w:val="21"/>
                      <w:szCs w:val="21"/>
                      <w:highlight w:val="none"/>
                      <w:u w:val="none" w:color="auto"/>
                      <w:vertAlign w:val="baseline"/>
                      <w:lang w:val="en-US" w:eastAsia="zh-CN"/>
                    </w:rPr>
                    <w:t>20%</w:t>
                  </w:r>
                </w:p>
              </w:tc>
            </w:tr>
          </w:tbl>
          <w:p>
            <w:pPr>
              <w:spacing w:line="360" w:lineRule="auto"/>
              <w:ind w:firstLine="480" w:firstLineChars="200"/>
              <w:jc w:val="both"/>
              <w:rPr>
                <w:rFonts w:hint="eastAsia"/>
                <w:b w:val="0"/>
                <w:bCs w:val="0"/>
                <w:color w:val="auto"/>
                <w:sz w:val="24"/>
                <w:highlight w:val="none"/>
                <w:u w:val="none" w:color="auto"/>
              </w:rPr>
            </w:pPr>
            <w:r>
              <w:rPr>
                <w:rFonts w:hint="eastAsia"/>
                <w:b w:val="0"/>
                <w:bCs/>
                <w:color w:val="auto"/>
                <w:sz w:val="24"/>
                <w:highlight w:val="none"/>
                <w:u w:val="none" w:color="auto"/>
                <w:lang w:val="en-US" w:eastAsia="zh-CN"/>
              </w:rPr>
              <w:t>项目使用绝缘油1.2t/a，稀释剂0.3t/a，绝缘油与稀释剂中二甲苯产生量为0.48t/a，绝缘油与稀释剂中非甲烷总烃产生量为0.18t/a，</w:t>
            </w:r>
            <w:r>
              <w:rPr>
                <w:rFonts w:hint="eastAsia"/>
                <w:b w:val="0"/>
                <w:bCs w:val="0"/>
                <w:color w:val="auto"/>
                <w:sz w:val="24"/>
                <w:highlight w:val="none"/>
                <w:u w:val="none" w:color="auto"/>
              </w:rPr>
              <w:t>在含浸工序上方设计集尘罩，隧道炉产生的烘干废气采用设备排口直连收集</w:t>
            </w:r>
            <w:r>
              <w:rPr>
                <w:rFonts w:hint="eastAsia"/>
                <w:b w:val="0"/>
                <w:bCs w:val="0"/>
                <w:color w:val="auto"/>
                <w:sz w:val="24"/>
                <w:highlight w:val="none"/>
                <w:u w:val="none" w:color="auto"/>
                <w:lang w:eastAsia="zh-CN"/>
              </w:rPr>
              <w:t>，</w:t>
            </w:r>
            <w:r>
              <w:rPr>
                <w:rFonts w:hint="eastAsia"/>
                <w:b w:val="0"/>
                <w:bCs w:val="0"/>
                <w:color w:val="auto"/>
                <w:sz w:val="24"/>
                <w:highlight w:val="none"/>
                <w:u w:val="none" w:color="auto"/>
              </w:rPr>
              <w:t>设计风量为</w:t>
            </w:r>
            <w:r>
              <w:rPr>
                <w:rFonts w:hint="eastAsia"/>
                <w:b w:val="0"/>
                <w:bCs w:val="0"/>
                <w:color w:val="auto"/>
                <w:sz w:val="24"/>
                <w:highlight w:val="none"/>
                <w:u w:val="none" w:color="auto"/>
                <w:lang w:val="en-US" w:eastAsia="zh-CN"/>
              </w:rPr>
              <w:t>10</w:t>
            </w:r>
            <w:r>
              <w:rPr>
                <w:rFonts w:hint="eastAsia"/>
                <w:b w:val="0"/>
                <w:bCs w:val="0"/>
                <w:color w:val="auto"/>
                <w:sz w:val="24"/>
                <w:highlight w:val="none"/>
                <w:u w:val="none" w:color="auto"/>
              </w:rPr>
              <w:t>0</w:t>
            </w:r>
            <w:r>
              <w:rPr>
                <w:rFonts w:hint="eastAsia"/>
                <w:b w:val="0"/>
                <w:bCs w:val="0"/>
                <w:color w:val="auto"/>
                <w:sz w:val="24"/>
                <w:highlight w:val="none"/>
                <w:u w:val="none" w:color="auto"/>
                <w:lang w:val="en-US" w:eastAsia="zh-CN"/>
              </w:rPr>
              <w:t>0</w:t>
            </w:r>
            <w:r>
              <w:rPr>
                <w:rFonts w:hint="eastAsia"/>
                <w:b w:val="0"/>
                <w:bCs w:val="0"/>
                <w:color w:val="auto"/>
                <w:sz w:val="24"/>
                <w:highlight w:val="none"/>
                <w:u w:val="none" w:color="auto"/>
              </w:rPr>
              <w:t>m</w:t>
            </w:r>
            <w:r>
              <w:rPr>
                <w:rFonts w:hint="eastAsia"/>
                <w:b w:val="0"/>
                <w:bCs w:val="0"/>
                <w:color w:val="auto"/>
                <w:sz w:val="24"/>
                <w:highlight w:val="none"/>
                <w:u w:val="none" w:color="auto"/>
                <w:vertAlign w:val="superscript"/>
              </w:rPr>
              <w:t>3</w:t>
            </w:r>
            <w:r>
              <w:rPr>
                <w:rFonts w:hint="eastAsia"/>
                <w:b w:val="0"/>
                <w:bCs w:val="0"/>
                <w:color w:val="auto"/>
                <w:sz w:val="24"/>
                <w:highlight w:val="none"/>
                <w:u w:val="none" w:color="auto"/>
              </w:rPr>
              <w:t>/h。</w:t>
            </w:r>
          </w:p>
          <w:p>
            <w:pPr>
              <w:spacing w:line="360" w:lineRule="auto"/>
              <w:ind w:firstLine="480" w:firstLineChars="200"/>
              <w:jc w:val="left"/>
              <w:rPr>
                <w:rFonts w:hint="default" w:eastAsia="宋体"/>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3</w:t>
            </w:r>
            <w:r>
              <w:rPr>
                <w:rFonts w:hint="eastAsia"/>
                <w:b w:val="0"/>
                <w:bCs w:val="0"/>
                <w:color w:val="auto"/>
                <w:sz w:val="24"/>
                <w:highlight w:val="none"/>
                <w:u w:val="none" w:color="auto"/>
              </w:rPr>
              <w:t>）</w:t>
            </w:r>
            <w:r>
              <w:rPr>
                <w:rFonts w:hint="eastAsia"/>
                <w:b w:val="0"/>
                <w:bCs w:val="0"/>
                <w:color w:val="auto"/>
                <w:sz w:val="24"/>
                <w:highlight w:val="none"/>
                <w:u w:val="none" w:color="auto"/>
                <w:lang w:val="en-US" w:eastAsia="zh-CN"/>
              </w:rPr>
              <w:t>焊锡废气</w:t>
            </w:r>
          </w:p>
          <w:p>
            <w:pPr>
              <w:widowControl/>
              <w:spacing w:line="360" w:lineRule="auto"/>
              <w:ind w:firstLine="480" w:firstLineChars="200"/>
              <w:rPr>
                <w:rFonts w:hint="eastAsia"/>
                <w:b w:val="0"/>
                <w:bCs w:val="0"/>
                <w:color w:val="auto"/>
                <w:sz w:val="24"/>
                <w:highlight w:val="none"/>
                <w:u w:val="none" w:color="auto"/>
              </w:rPr>
            </w:pPr>
            <w:r>
              <w:rPr>
                <w:rFonts w:hint="eastAsia"/>
                <w:b w:val="0"/>
                <w:bCs w:val="0"/>
                <w:color w:val="auto"/>
                <w:sz w:val="24"/>
                <w:highlight w:val="none"/>
                <w:u w:val="none" w:color="auto"/>
              </w:rPr>
              <w:t>项目焊锡工序使用到的焊料为无铅锡条，产生的焊接烟尘主要污染物为锡及其化合物，焊锡过程会使用到助焊剂。根据《排放源统计调查产排污核算方法和系数手册》中《电力电气行业系数手册》中焊接（原料为焊丝等，含助焊剂）手工焊系数，工业废气量产生系数为419.1Nm</w:t>
            </w:r>
            <w:r>
              <w:rPr>
                <w:rFonts w:hint="eastAsia"/>
                <w:b w:val="0"/>
                <w:bCs w:val="0"/>
                <w:color w:val="auto"/>
                <w:sz w:val="24"/>
                <w:highlight w:val="none"/>
                <w:u w:val="none" w:color="auto"/>
                <w:vertAlign w:val="superscript"/>
              </w:rPr>
              <w:t>3</w:t>
            </w:r>
            <w:r>
              <w:rPr>
                <w:rFonts w:hint="eastAsia"/>
                <w:b w:val="0"/>
                <w:bCs w:val="0"/>
                <w:color w:val="auto"/>
                <w:sz w:val="24"/>
                <w:highlight w:val="none"/>
                <w:u w:val="none" w:color="auto"/>
              </w:rPr>
              <w:t>/千件-产品、颗粒物产生系数为0.4023g/kg-焊料，项目使用</w:t>
            </w:r>
            <w:r>
              <w:rPr>
                <w:rFonts w:hint="eastAsia"/>
                <w:b w:val="0"/>
                <w:bCs w:val="0"/>
                <w:color w:val="auto"/>
                <w:sz w:val="24"/>
                <w:highlight w:val="none"/>
                <w:u w:val="none" w:color="auto"/>
                <w:lang w:val="en-US" w:eastAsia="zh-CN"/>
              </w:rPr>
              <w:t>无铅锡条</w:t>
            </w:r>
            <w:r>
              <w:rPr>
                <w:rFonts w:hint="eastAsia"/>
                <w:b w:val="0"/>
                <w:bCs w:val="0"/>
                <w:color w:val="auto"/>
                <w:sz w:val="24"/>
                <w:highlight w:val="none"/>
                <w:u w:val="none" w:color="auto"/>
              </w:rPr>
              <w:t>共</w:t>
            </w:r>
            <w:r>
              <w:rPr>
                <w:rFonts w:hint="eastAsia"/>
                <w:b w:val="0"/>
                <w:bCs w:val="0"/>
                <w:color w:val="auto"/>
                <w:sz w:val="24"/>
                <w:highlight w:val="none"/>
                <w:u w:val="none" w:color="auto"/>
                <w:lang w:val="en-US" w:eastAsia="zh-CN"/>
              </w:rPr>
              <w:t>0.5</w:t>
            </w:r>
            <w:r>
              <w:rPr>
                <w:rFonts w:hint="eastAsia"/>
                <w:b w:val="0"/>
                <w:bCs w:val="0"/>
                <w:color w:val="auto"/>
                <w:sz w:val="24"/>
                <w:highlight w:val="none"/>
                <w:u w:val="none" w:color="auto"/>
              </w:rPr>
              <w:t>t/a，产品为</w:t>
            </w:r>
            <w:r>
              <w:rPr>
                <w:rFonts w:hint="eastAsia" w:ascii="宋体" w:hAnsi="宋体" w:cs="宋体"/>
                <w:color w:val="auto"/>
                <w:sz w:val="24"/>
                <w:szCs w:val="24"/>
                <w:highlight w:val="none"/>
                <w:u w:val="none" w:color="auto"/>
                <w:lang w:val="en-US" w:eastAsia="zh-CN"/>
              </w:rPr>
              <w:t>2000</w:t>
            </w:r>
            <w:r>
              <w:rPr>
                <w:rFonts w:hint="eastAsia"/>
                <w:b w:val="0"/>
                <w:bCs w:val="0"/>
                <w:color w:val="auto"/>
                <w:sz w:val="24"/>
                <w:highlight w:val="none"/>
                <w:u w:val="none" w:color="auto"/>
              </w:rPr>
              <w:t>万件，则焊锡工序产生的焊锡烟气量为</w:t>
            </w:r>
            <w:r>
              <w:rPr>
                <w:rFonts w:hint="eastAsia"/>
                <w:b w:val="0"/>
                <w:bCs w:val="0"/>
                <w:color w:val="auto"/>
                <w:sz w:val="24"/>
                <w:highlight w:val="none"/>
                <w:u w:val="none" w:color="auto"/>
                <w:lang w:val="en-US" w:eastAsia="zh-CN"/>
              </w:rPr>
              <w:t>838.2</w:t>
            </w:r>
            <w:r>
              <w:rPr>
                <w:rFonts w:hint="eastAsia"/>
                <w:b w:val="0"/>
                <w:bCs w:val="0"/>
                <w:color w:val="auto"/>
                <w:sz w:val="24"/>
                <w:highlight w:val="none"/>
                <w:u w:val="none" w:color="auto"/>
              </w:rPr>
              <w:t>万Nm</w:t>
            </w:r>
            <w:r>
              <w:rPr>
                <w:rFonts w:hint="eastAsia"/>
                <w:b w:val="0"/>
                <w:bCs w:val="0"/>
                <w:color w:val="auto"/>
                <w:sz w:val="24"/>
                <w:highlight w:val="none"/>
                <w:u w:val="none" w:color="auto"/>
                <w:vertAlign w:val="superscript"/>
              </w:rPr>
              <w:t>3</w:t>
            </w:r>
            <w:r>
              <w:rPr>
                <w:rFonts w:hint="eastAsia"/>
                <w:b w:val="0"/>
                <w:bCs w:val="0"/>
                <w:color w:val="auto"/>
                <w:sz w:val="24"/>
                <w:highlight w:val="none"/>
                <w:u w:val="none" w:color="auto"/>
              </w:rPr>
              <w:t>/a、</w:t>
            </w:r>
            <w:r>
              <w:rPr>
                <w:rFonts w:hint="eastAsia"/>
                <w:color w:val="auto"/>
                <w:sz w:val="24"/>
                <w:highlight w:val="none"/>
                <w:u w:val="none" w:color="auto"/>
              </w:rPr>
              <w:t>颗粒物（锡及其化合物）</w:t>
            </w:r>
            <w:r>
              <w:rPr>
                <w:rFonts w:hint="eastAsia"/>
                <w:b w:val="0"/>
                <w:bCs w:val="0"/>
                <w:color w:val="auto"/>
                <w:sz w:val="24"/>
                <w:highlight w:val="none"/>
                <w:u w:val="none" w:color="auto"/>
              </w:rPr>
              <w:t>为</w:t>
            </w:r>
            <w:r>
              <w:rPr>
                <w:rFonts w:hint="eastAsia"/>
                <w:b w:val="0"/>
                <w:bCs w:val="0"/>
                <w:color w:val="auto"/>
                <w:sz w:val="24"/>
                <w:highlight w:val="none"/>
                <w:u w:val="none" w:color="auto"/>
                <w:lang w:val="en-US" w:eastAsia="zh-CN"/>
              </w:rPr>
              <w:t>0.201</w:t>
            </w:r>
            <w:r>
              <w:rPr>
                <w:rFonts w:hint="eastAsia"/>
                <w:b w:val="0"/>
                <w:bCs w:val="0"/>
                <w:color w:val="auto"/>
                <w:sz w:val="24"/>
                <w:highlight w:val="none"/>
                <w:u w:val="none" w:color="auto"/>
              </w:rPr>
              <w:t>t/a，在焊锡工序上方设计集尘罩，设计风量为</w:t>
            </w:r>
            <w:r>
              <w:rPr>
                <w:rFonts w:hint="eastAsia"/>
                <w:b w:val="0"/>
                <w:bCs w:val="0"/>
                <w:color w:val="auto"/>
                <w:sz w:val="24"/>
                <w:highlight w:val="none"/>
                <w:u w:val="none" w:color="auto"/>
                <w:lang w:val="en-US" w:eastAsia="zh-CN"/>
              </w:rPr>
              <w:t>10</w:t>
            </w:r>
            <w:r>
              <w:rPr>
                <w:rFonts w:hint="eastAsia"/>
                <w:b w:val="0"/>
                <w:bCs w:val="0"/>
                <w:color w:val="auto"/>
                <w:sz w:val="24"/>
                <w:highlight w:val="none"/>
                <w:u w:val="none" w:color="auto"/>
              </w:rPr>
              <w:t>00m</w:t>
            </w:r>
            <w:r>
              <w:rPr>
                <w:rFonts w:hint="eastAsia"/>
                <w:b w:val="0"/>
                <w:bCs w:val="0"/>
                <w:color w:val="auto"/>
                <w:sz w:val="24"/>
                <w:highlight w:val="none"/>
                <w:u w:val="none" w:color="auto"/>
                <w:vertAlign w:val="superscript"/>
              </w:rPr>
              <w:t>3</w:t>
            </w:r>
            <w:r>
              <w:rPr>
                <w:rFonts w:hint="eastAsia"/>
                <w:b w:val="0"/>
                <w:bCs w:val="0"/>
                <w:color w:val="auto"/>
                <w:sz w:val="24"/>
                <w:highlight w:val="none"/>
                <w:u w:val="none" w:color="auto"/>
              </w:rPr>
              <w:t>/h。</w:t>
            </w:r>
          </w:p>
          <w:p>
            <w:pPr>
              <w:widowControl/>
              <w:spacing w:line="360" w:lineRule="auto"/>
              <w:ind w:firstLine="480" w:firstLineChars="200"/>
              <w:rPr>
                <w:rFonts w:hint="eastAsia"/>
                <w:b w:val="0"/>
                <w:bCs w:val="0"/>
                <w:color w:val="auto"/>
                <w:sz w:val="24"/>
                <w:highlight w:val="none"/>
                <w:u w:val="none" w:color="auto"/>
              </w:rPr>
            </w:pPr>
            <w:r>
              <w:rPr>
                <w:rFonts w:hint="eastAsia"/>
                <w:b w:val="0"/>
                <w:bCs w:val="0"/>
                <w:color w:val="auto"/>
                <w:sz w:val="24"/>
                <w:highlight w:val="none"/>
                <w:u w:val="none" w:color="auto"/>
              </w:rPr>
              <w:t>因此，为降低工艺废气对外环境的影响，点胶废气、含浸废气及焊锡废气采用集气罩收集，隧道炉产生的烘干废气采用设备排口直连收集，上述废气一同汇入一套二级活性炭吸附装置+楼顶高空排气筒排放。集气罩集气效率不低于90%，去除率为</w:t>
            </w:r>
            <w:r>
              <w:rPr>
                <w:rFonts w:hint="eastAsia"/>
                <w:b w:val="0"/>
                <w:bCs w:val="0"/>
                <w:color w:val="auto"/>
                <w:sz w:val="24"/>
                <w:highlight w:val="none"/>
                <w:u w:val="none" w:color="auto"/>
                <w:lang w:val="en-US" w:eastAsia="zh-CN"/>
              </w:rPr>
              <w:t>85</w:t>
            </w:r>
            <w:r>
              <w:rPr>
                <w:rFonts w:hint="eastAsia"/>
                <w:b w:val="0"/>
                <w:bCs w:val="0"/>
                <w:color w:val="auto"/>
                <w:sz w:val="24"/>
                <w:highlight w:val="none"/>
                <w:u w:val="none" w:color="auto"/>
              </w:rPr>
              <w:t>%，则本项目有机废气产排情况详见表4-</w:t>
            </w:r>
            <w:r>
              <w:rPr>
                <w:rFonts w:hint="eastAsia"/>
                <w:b w:val="0"/>
                <w:bCs w:val="0"/>
                <w:color w:val="auto"/>
                <w:sz w:val="24"/>
                <w:highlight w:val="none"/>
                <w:u w:val="none" w:color="auto"/>
                <w:lang w:val="en-US" w:eastAsia="zh-CN"/>
              </w:rPr>
              <w:t>3</w:t>
            </w:r>
            <w:r>
              <w:rPr>
                <w:rFonts w:hint="eastAsia"/>
                <w:b w:val="0"/>
                <w:bCs w:val="0"/>
                <w:color w:val="auto"/>
                <w:sz w:val="24"/>
                <w:highlight w:val="none"/>
                <w:u w:val="none" w:color="auto"/>
              </w:rPr>
              <w:t>。</w:t>
            </w:r>
          </w:p>
          <w:p>
            <w:pPr>
              <w:widowControl/>
              <w:spacing w:line="360" w:lineRule="auto"/>
              <w:jc w:val="center"/>
              <w:rPr>
                <w:rFonts w:hint="default" w:eastAsia="宋体"/>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表4-3 本项目废气产排情况一览表</w:t>
            </w:r>
          </w:p>
          <w:tbl>
            <w:tblPr>
              <w:tblStyle w:val="26"/>
              <w:tblW w:w="80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582"/>
              <w:gridCol w:w="658"/>
              <w:gridCol w:w="580"/>
              <w:gridCol w:w="883"/>
              <w:gridCol w:w="976"/>
              <w:gridCol w:w="1501"/>
              <w:gridCol w:w="731"/>
              <w:gridCol w:w="641"/>
              <w:gridCol w:w="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641" w:type="dxa"/>
                  <w:vMerge w:val="restart"/>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污染源</w:t>
                  </w:r>
                </w:p>
              </w:tc>
              <w:tc>
                <w:tcPr>
                  <w:tcW w:w="582" w:type="dxa"/>
                  <w:vMerge w:val="restart"/>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污染物</w:t>
                  </w:r>
                </w:p>
              </w:tc>
              <w:tc>
                <w:tcPr>
                  <w:tcW w:w="658" w:type="dxa"/>
                  <w:vMerge w:val="restart"/>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排气量</w:t>
                  </w:r>
                </w:p>
                <w:p>
                  <w:pPr>
                    <w:ind w:left="-105" w:leftChars="-50" w:right="-105" w:rightChars="-50"/>
                    <w:jc w:val="center"/>
                    <w:rPr>
                      <w:color w:val="auto"/>
                      <w:highlight w:val="none"/>
                      <w:u w:val="none" w:color="auto"/>
                    </w:rPr>
                  </w:pPr>
                  <w:r>
                    <w:rPr>
                      <w:color w:val="auto"/>
                      <w:kern w:val="0"/>
                      <w:highlight w:val="none"/>
                      <w:u w:val="none" w:color="auto"/>
                    </w:rPr>
                    <w:t>(Nm</w:t>
                  </w:r>
                  <w:r>
                    <w:rPr>
                      <w:color w:val="auto"/>
                      <w:kern w:val="0"/>
                      <w:highlight w:val="none"/>
                      <w:u w:val="none" w:color="auto"/>
                      <w:vertAlign w:val="superscript"/>
                    </w:rPr>
                    <w:t>3</w:t>
                  </w:r>
                  <w:r>
                    <w:rPr>
                      <w:color w:val="auto"/>
                      <w:kern w:val="0"/>
                      <w:highlight w:val="none"/>
                      <w:u w:val="none" w:color="auto"/>
                    </w:rPr>
                    <w:t>/h</w:t>
                  </w:r>
                  <w:r>
                    <w:rPr>
                      <w:color w:val="auto"/>
                      <w:highlight w:val="none"/>
                      <w:u w:val="none" w:color="auto"/>
                    </w:rPr>
                    <w:t>)</w:t>
                  </w:r>
                </w:p>
              </w:tc>
              <w:tc>
                <w:tcPr>
                  <w:tcW w:w="2439" w:type="dxa"/>
                  <w:gridSpan w:val="3"/>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处理前</w:t>
                  </w:r>
                </w:p>
              </w:tc>
              <w:tc>
                <w:tcPr>
                  <w:tcW w:w="1501" w:type="dxa"/>
                  <w:vMerge w:val="restart"/>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处理</w:t>
                  </w:r>
                </w:p>
                <w:p>
                  <w:pPr>
                    <w:ind w:left="-105" w:leftChars="-50" w:right="-105" w:rightChars="-50"/>
                    <w:jc w:val="center"/>
                    <w:rPr>
                      <w:color w:val="auto"/>
                      <w:highlight w:val="none"/>
                      <w:u w:val="none" w:color="auto"/>
                    </w:rPr>
                  </w:pPr>
                  <w:r>
                    <w:rPr>
                      <w:color w:val="auto"/>
                      <w:highlight w:val="none"/>
                      <w:u w:val="none" w:color="auto"/>
                    </w:rPr>
                    <w:t>措施</w:t>
                  </w:r>
                </w:p>
              </w:tc>
              <w:tc>
                <w:tcPr>
                  <w:tcW w:w="2215" w:type="dxa"/>
                  <w:gridSpan w:val="3"/>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处理后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641" w:type="dxa"/>
                  <w:vMerge w:val="continue"/>
                  <w:shd w:val="clear" w:color="auto" w:fill="auto"/>
                  <w:vAlign w:val="center"/>
                </w:tcPr>
                <w:p>
                  <w:pPr>
                    <w:ind w:left="-105" w:leftChars="-50" w:right="-105" w:rightChars="-50"/>
                    <w:jc w:val="center"/>
                    <w:rPr>
                      <w:color w:val="auto"/>
                      <w:highlight w:val="none"/>
                      <w:u w:val="none" w:color="auto"/>
                    </w:rPr>
                  </w:pPr>
                </w:p>
              </w:tc>
              <w:tc>
                <w:tcPr>
                  <w:tcW w:w="582" w:type="dxa"/>
                  <w:vMerge w:val="continue"/>
                  <w:shd w:val="clear" w:color="auto" w:fill="auto"/>
                  <w:vAlign w:val="center"/>
                </w:tcPr>
                <w:p>
                  <w:pPr>
                    <w:ind w:left="-105" w:leftChars="-50" w:right="-105" w:rightChars="-50"/>
                    <w:jc w:val="center"/>
                    <w:rPr>
                      <w:color w:val="auto"/>
                      <w:highlight w:val="none"/>
                      <w:u w:val="none" w:color="auto"/>
                    </w:rPr>
                  </w:pPr>
                </w:p>
              </w:tc>
              <w:tc>
                <w:tcPr>
                  <w:tcW w:w="658" w:type="dxa"/>
                  <w:vMerge w:val="continue"/>
                  <w:shd w:val="clear" w:color="auto" w:fill="auto"/>
                  <w:vAlign w:val="center"/>
                </w:tcPr>
                <w:p>
                  <w:pPr>
                    <w:ind w:left="-105" w:leftChars="-50" w:right="-105" w:rightChars="-50"/>
                    <w:jc w:val="center"/>
                    <w:rPr>
                      <w:color w:val="auto"/>
                      <w:highlight w:val="none"/>
                      <w:u w:val="none" w:color="auto"/>
                    </w:rPr>
                  </w:pPr>
                </w:p>
              </w:tc>
              <w:tc>
                <w:tcPr>
                  <w:tcW w:w="580" w:type="dxa"/>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产生量</w:t>
                  </w:r>
                </w:p>
                <w:p>
                  <w:pPr>
                    <w:ind w:left="-105" w:leftChars="-50" w:right="-105" w:rightChars="-50"/>
                    <w:jc w:val="center"/>
                    <w:rPr>
                      <w:color w:val="auto"/>
                      <w:highlight w:val="none"/>
                      <w:u w:val="none" w:color="auto"/>
                    </w:rPr>
                  </w:pPr>
                  <w:r>
                    <w:rPr>
                      <w:color w:val="auto"/>
                      <w:highlight w:val="none"/>
                      <w:u w:val="none" w:color="auto"/>
                    </w:rPr>
                    <w:t>(t/a)</w:t>
                  </w:r>
                </w:p>
              </w:tc>
              <w:tc>
                <w:tcPr>
                  <w:tcW w:w="883" w:type="dxa"/>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排放速率</w:t>
                  </w:r>
                </w:p>
                <w:p>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kg/h</w:t>
                  </w:r>
                  <w:r>
                    <w:rPr>
                      <w:color w:val="auto"/>
                      <w:highlight w:val="none"/>
                      <w:u w:val="none" w:color="auto"/>
                    </w:rPr>
                    <w:t>)</w:t>
                  </w:r>
                </w:p>
              </w:tc>
              <w:tc>
                <w:tcPr>
                  <w:tcW w:w="976" w:type="dxa"/>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产生浓度</w:t>
                  </w:r>
                </w:p>
                <w:p>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mg/m</w:t>
                  </w:r>
                  <w:r>
                    <w:rPr>
                      <w:color w:val="auto"/>
                      <w:kern w:val="0"/>
                      <w:highlight w:val="none"/>
                      <w:u w:val="none" w:color="auto"/>
                      <w:vertAlign w:val="superscript"/>
                    </w:rPr>
                    <w:t>3</w:t>
                  </w:r>
                  <w:r>
                    <w:rPr>
                      <w:color w:val="auto"/>
                      <w:highlight w:val="none"/>
                      <w:u w:val="none" w:color="auto"/>
                    </w:rPr>
                    <w:t>)</w:t>
                  </w:r>
                </w:p>
              </w:tc>
              <w:tc>
                <w:tcPr>
                  <w:tcW w:w="1501" w:type="dxa"/>
                  <w:vMerge w:val="continue"/>
                  <w:shd w:val="clear" w:color="auto" w:fill="auto"/>
                  <w:vAlign w:val="center"/>
                </w:tcPr>
                <w:p>
                  <w:pPr>
                    <w:ind w:left="-105" w:leftChars="-50" w:right="-105" w:rightChars="-50"/>
                    <w:jc w:val="center"/>
                    <w:rPr>
                      <w:color w:val="auto"/>
                      <w:highlight w:val="none"/>
                      <w:u w:val="none" w:color="auto"/>
                    </w:rPr>
                  </w:pPr>
                </w:p>
              </w:tc>
              <w:tc>
                <w:tcPr>
                  <w:tcW w:w="731" w:type="dxa"/>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排放量</w:t>
                  </w:r>
                </w:p>
                <w:p>
                  <w:pPr>
                    <w:ind w:left="-105" w:leftChars="-50" w:right="-105" w:rightChars="-50"/>
                    <w:jc w:val="center"/>
                    <w:rPr>
                      <w:color w:val="auto"/>
                      <w:highlight w:val="none"/>
                      <w:u w:val="none" w:color="auto"/>
                    </w:rPr>
                  </w:pPr>
                  <w:r>
                    <w:rPr>
                      <w:color w:val="auto"/>
                      <w:highlight w:val="none"/>
                      <w:u w:val="none" w:color="auto"/>
                    </w:rPr>
                    <w:t>(t/a)</w:t>
                  </w:r>
                </w:p>
              </w:tc>
              <w:tc>
                <w:tcPr>
                  <w:tcW w:w="641" w:type="dxa"/>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排放</w:t>
                  </w:r>
                </w:p>
                <w:p>
                  <w:pPr>
                    <w:ind w:left="-105" w:leftChars="-50" w:right="-105" w:rightChars="-50"/>
                    <w:jc w:val="center"/>
                    <w:rPr>
                      <w:color w:val="auto"/>
                      <w:highlight w:val="none"/>
                      <w:u w:val="none" w:color="auto"/>
                    </w:rPr>
                  </w:pPr>
                  <w:r>
                    <w:rPr>
                      <w:color w:val="auto"/>
                      <w:highlight w:val="none"/>
                      <w:u w:val="none" w:color="auto"/>
                    </w:rPr>
                    <w:t>速率</w:t>
                  </w:r>
                </w:p>
                <w:p>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kg/h</w:t>
                  </w:r>
                  <w:r>
                    <w:rPr>
                      <w:color w:val="auto"/>
                      <w:highlight w:val="none"/>
                      <w:u w:val="none" w:color="auto"/>
                    </w:rPr>
                    <w:t>)</w:t>
                  </w:r>
                </w:p>
              </w:tc>
              <w:tc>
                <w:tcPr>
                  <w:tcW w:w="843" w:type="dxa"/>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排放浓度</w:t>
                  </w:r>
                </w:p>
                <w:p>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mg/m</w:t>
                  </w:r>
                  <w:r>
                    <w:rPr>
                      <w:color w:val="auto"/>
                      <w:kern w:val="0"/>
                      <w:highlight w:val="none"/>
                      <w:u w:val="none" w:color="auto"/>
                      <w:vertAlign w:val="superscript"/>
                    </w:rPr>
                    <w:t>3</w:t>
                  </w:r>
                  <w:r>
                    <w:rPr>
                      <w:color w:val="auto"/>
                      <w:highlight w:val="none"/>
                      <w:u w:val="non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641" w:type="dxa"/>
                  <w:shd w:val="clear" w:color="auto" w:fill="auto"/>
                  <w:vAlign w:val="center"/>
                </w:tcPr>
                <w:p>
                  <w:pPr>
                    <w:ind w:left="-105" w:leftChars="-50" w:right="-105" w:rightChars="-50"/>
                    <w:jc w:val="center"/>
                    <w:rPr>
                      <w:color w:val="auto"/>
                      <w:sz w:val="21"/>
                      <w:szCs w:val="21"/>
                      <w:highlight w:val="none"/>
                      <w:u w:val="none" w:color="auto"/>
                    </w:rPr>
                  </w:pPr>
                  <w:r>
                    <w:rPr>
                      <w:rFonts w:hint="eastAsia"/>
                      <w:color w:val="auto"/>
                      <w:sz w:val="21"/>
                      <w:szCs w:val="21"/>
                      <w:highlight w:val="none"/>
                      <w:u w:val="none" w:color="auto"/>
                    </w:rPr>
                    <w:t>点胶工序</w:t>
                  </w:r>
                </w:p>
              </w:tc>
              <w:tc>
                <w:tcPr>
                  <w:tcW w:w="582" w:type="dxa"/>
                  <w:shd w:val="clear" w:color="auto" w:fill="auto"/>
                  <w:vAlign w:val="center"/>
                </w:tcPr>
                <w:p>
                  <w:pPr>
                    <w:ind w:left="-105" w:leftChars="-50" w:right="-105" w:rightChars="-50"/>
                    <w:jc w:val="center"/>
                    <w:rPr>
                      <w:color w:val="auto"/>
                      <w:sz w:val="21"/>
                      <w:szCs w:val="21"/>
                      <w:highlight w:val="none"/>
                      <w:u w:val="none" w:color="auto"/>
                    </w:rPr>
                  </w:pPr>
                  <w:r>
                    <w:rPr>
                      <w:rFonts w:hint="eastAsia"/>
                      <w:b w:val="0"/>
                      <w:bCs w:val="0"/>
                      <w:color w:val="auto"/>
                      <w:sz w:val="21"/>
                      <w:szCs w:val="21"/>
                      <w:highlight w:val="none"/>
                      <w:u w:val="none" w:color="auto"/>
                      <w:lang w:val="en-US" w:eastAsia="zh-CN"/>
                    </w:rPr>
                    <w:t>非甲烷总烃</w:t>
                  </w:r>
                </w:p>
              </w:tc>
              <w:tc>
                <w:tcPr>
                  <w:tcW w:w="658" w:type="dxa"/>
                  <w:vMerge w:val="restart"/>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3000</w:t>
                  </w: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0.1</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0.033</w:t>
                  </w:r>
                </w:p>
              </w:tc>
              <w:tc>
                <w:tcPr>
                  <w:tcW w:w="976"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11.11</w:t>
                  </w:r>
                </w:p>
              </w:tc>
              <w:tc>
                <w:tcPr>
                  <w:tcW w:w="1501" w:type="dxa"/>
                  <w:vMerge w:val="restart"/>
                  <w:shd w:val="clear" w:color="auto" w:fill="auto"/>
                  <w:vAlign w:val="center"/>
                </w:tcPr>
                <w:p>
                  <w:pPr>
                    <w:ind w:left="-105" w:leftChars="-50" w:right="-105" w:rightChars="-50"/>
                    <w:jc w:val="center"/>
                    <w:rPr>
                      <w:color w:val="auto"/>
                      <w:highlight w:val="none"/>
                      <w:u w:val="none" w:color="auto"/>
                    </w:rPr>
                  </w:pPr>
                  <w:r>
                    <w:rPr>
                      <w:color w:val="auto"/>
                      <w:highlight w:val="none"/>
                      <w:u w:val="none" w:color="auto"/>
                    </w:rPr>
                    <w:t>收集（90%）</w:t>
                  </w:r>
                  <w:r>
                    <w:rPr>
                      <w:rFonts w:hint="eastAsia"/>
                      <w:color w:val="auto"/>
                      <w:highlight w:val="none"/>
                      <w:u w:val="none" w:color="auto"/>
                    </w:rPr>
                    <w:t>+</w:t>
                  </w:r>
                  <w:r>
                    <w:rPr>
                      <w:rFonts w:hint="eastAsia"/>
                      <w:color w:val="auto"/>
                      <w:highlight w:val="none"/>
                      <w:u w:val="none" w:color="auto"/>
                      <w:lang w:val="en-US" w:eastAsia="zh-CN"/>
                    </w:rPr>
                    <w:t>二级</w:t>
                  </w:r>
                  <w:r>
                    <w:rPr>
                      <w:rFonts w:hint="eastAsia"/>
                      <w:color w:val="auto"/>
                      <w:highlight w:val="none"/>
                      <w:u w:val="none" w:color="auto"/>
                    </w:rPr>
                    <w:t>活性炭吸附装置（</w:t>
                  </w:r>
                  <w:r>
                    <w:rPr>
                      <w:rFonts w:hint="eastAsia"/>
                      <w:color w:val="auto"/>
                      <w:highlight w:val="none"/>
                      <w:u w:val="none" w:color="auto"/>
                      <w:lang w:val="en-US" w:eastAsia="zh-CN"/>
                    </w:rPr>
                    <w:t>85</w:t>
                  </w:r>
                  <w:r>
                    <w:rPr>
                      <w:rFonts w:hint="eastAsia"/>
                      <w:color w:val="auto"/>
                      <w:highlight w:val="none"/>
                      <w:u w:val="none" w:color="auto"/>
                    </w:rPr>
                    <w:t>%）</w:t>
                  </w:r>
                  <w:r>
                    <w:rPr>
                      <w:color w:val="auto"/>
                      <w:highlight w:val="none"/>
                      <w:u w:val="none" w:color="auto"/>
                    </w:rPr>
                    <w:t>+</w:t>
                  </w:r>
                  <w:r>
                    <w:rPr>
                      <w:rFonts w:hint="eastAsia"/>
                      <w:color w:val="auto"/>
                      <w:highlight w:val="none"/>
                      <w:u w:val="none" w:color="auto"/>
                    </w:rPr>
                    <w:t>2</w:t>
                  </w:r>
                  <w:r>
                    <w:rPr>
                      <w:rFonts w:hint="eastAsia"/>
                      <w:color w:val="auto"/>
                      <w:highlight w:val="none"/>
                      <w:u w:val="none" w:color="auto"/>
                      <w:lang w:val="en-US" w:eastAsia="zh-CN"/>
                    </w:rPr>
                    <w:t>6</w:t>
                  </w:r>
                  <w:r>
                    <w:rPr>
                      <w:color w:val="auto"/>
                      <w:highlight w:val="none"/>
                      <w:u w:val="none" w:color="auto"/>
                    </w:rPr>
                    <w:t>米高排气筒排放</w:t>
                  </w:r>
                </w:p>
              </w:tc>
              <w:tc>
                <w:tcPr>
                  <w:tcW w:w="73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0.001</w:t>
                  </w:r>
                </w:p>
              </w:tc>
              <w:tc>
                <w:tcPr>
                  <w:tcW w:w="64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0.0003</w:t>
                  </w:r>
                </w:p>
              </w:tc>
              <w:tc>
                <w:tcPr>
                  <w:tcW w:w="84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641" w:type="dxa"/>
                  <w:vMerge w:val="restart"/>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rPr>
                    <w:t>含浸烘干</w:t>
                  </w:r>
                  <w:r>
                    <w:rPr>
                      <w:rFonts w:hint="eastAsia"/>
                      <w:color w:val="auto"/>
                      <w:highlight w:val="none"/>
                      <w:u w:val="none" w:color="auto"/>
                      <w:lang w:val="en-US" w:eastAsia="zh-CN"/>
                    </w:rPr>
                    <w:t>工序</w:t>
                  </w:r>
                </w:p>
              </w:tc>
              <w:tc>
                <w:tcPr>
                  <w:tcW w:w="582"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二甲苯</w:t>
                  </w:r>
                </w:p>
              </w:tc>
              <w:tc>
                <w:tcPr>
                  <w:tcW w:w="658"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0.48</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0.16</w:t>
                  </w:r>
                </w:p>
              </w:tc>
              <w:tc>
                <w:tcPr>
                  <w:tcW w:w="976"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53.33</w:t>
                  </w:r>
                </w:p>
              </w:tc>
              <w:tc>
                <w:tcPr>
                  <w:tcW w:w="1501" w:type="dxa"/>
                  <w:vMerge w:val="continue"/>
                  <w:shd w:val="clear" w:color="auto" w:fill="auto"/>
                  <w:vAlign w:val="center"/>
                </w:tcPr>
                <w:p>
                  <w:pPr>
                    <w:ind w:left="-105" w:leftChars="-50" w:right="-105" w:rightChars="-50"/>
                    <w:jc w:val="center"/>
                    <w:rPr>
                      <w:color w:val="auto"/>
                      <w:highlight w:val="none"/>
                      <w:u w:val="none" w:color="auto"/>
                    </w:rPr>
                  </w:pPr>
                </w:p>
              </w:tc>
              <w:tc>
                <w:tcPr>
                  <w:tcW w:w="73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0.0648</w:t>
                  </w:r>
                </w:p>
              </w:tc>
              <w:tc>
                <w:tcPr>
                  <w:tcW w:w="64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0.0216</w:t>
                  </w:r>
                </w:p>
              </w:tc>
              <w:tc>
                <w:tcPr>
                  <w:tcW w:w="84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641"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2"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b w:val="0"/>
                      <w:bCs w:val="0"/>
                      <w:color w:val="auto"/>
                      <w:sz w:val="21"/>
                      <w:szCs w:val="21"/>
                      <w:highlight w:val="none"/>
                      <w:u w:val="none" w:color="auto"/>
                      <w:lang w:val="en-US" w:eastAsia="zh-CN"/>
                    </w:rPr>
                    <w:t>非甲烷总烃</w:t>
                  </w:r>
                </w:p>
              </w:tc>
              <w:tc>
                <w:tcPr>
                  <w:tcW w:w="658"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0.18</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0.06</w:t>
                  </w:r>
                </w:p>
              </w:tc>
              <w:tc>
                <w:tcPr>
                  <w:tcW w:w="976"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20</w:t>
                  </w:r>
                </w:p>
              </w:tc>
              <w:tc>
                <w:tcPr>
                  <w:tcW w:w="1501" w:type="dxa"/>
                  <w:vMerge w:val="continue"/>
                  <w:shd w:val="clear" w:color="auto" w:fill="auto"/>
                  <w:vAlign w:val="center"/>
                </w:tcPr>
                <w:p>
                  <w:pPr>
                    <w:ind w:left="-105" w:leftChars="-50" w:right="-105" w:rightChars="-50"/>
                    <w:jc w:val="center"/>
                    <w:rPr>
                      <w:color w:val="auto"/>
                      <w:highlight w:val="none"/>
                      <w:u w:val="none" w:color="auto"/>
                    </w:rPr>
                  </w:pPr>
                </w:p>
              </w:tc>
              <w:tc>
                <w:tcPr>
                  <w:tcW w:w="73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0.0243</w:t>
                  </w:r>
                </w:p>
              </w:tc>
              <w:tc>
                <w:tcPr>
                  <w:tcW w:w="64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0.0081</w:t>
                  </w:r>
                </w:p>
              </w:tc>
              <w:tc>
                <w:tcPr>
                  <w:tcW w:w="84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641" w:type="dxa"/>
                  <w:shd w:val="clear" w:color="auto" w:fill="auto"/>
                  <w:vAlign w:val="center"/>
                </w:tcPr>
                <w:p>
                  <w:pPr>
                    <w:ind w:left="-105" w:leftChars="-50" w:right="-105" w:rightChars="-50"/>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焊锡废气</w:t>
                  </w:r>
                </w:p>
              </w:tc>
              <w:tc>
                <w:tcPr>
                  <w:tcW w:w="582" w:type="dxa"/>
                  <w:shd w:val="clear" w:color="auto" w:fill="auto"/>
                  <w:vAlign w:val="center"/>
                </w:tcPr>
                <w:p>
                  <w:pPr>
                    <w:ind w:left="-105" w:leftChars="-50" w:right="-105" w:rightChars="-50"/>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颗粒物（锡及其化合物）</w:t>
                  </w:r>
                </w:p>
              </w:tc>
              <w:tc>
                <w:tcPr>
                  <w:tcW w:w="658"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0.201</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0.067</w:t>
                  </w:r>
                </w:p>
              </w:tc>
              <w:tc>
                <w:tcPr>
                  <w:tcW w:w="976"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23.33</w:t>
                  </w:r>
                </w:p>
              </w:tc>
              <w:tc>
                <w:tcPr>
                  <w:tcW w:w="1501" w:type="dxa"/>
                  <w:vMerge w:val="continue"/>
                  <w:shd w:val="clear" w:color="auto" w:fill="auto"/>
                  <w:vAlign w:val="center"/>
                </w:tcPr>
                <w:p>
                  <w:pPr>
                    <w:ind w:left="-105" w:leftChars="-50" w:right="-105" w:rightChars="-50"/>
                    <w:jc w:val="center"/>
                    <w:rPr>
                      <w:color w:val="auto"/>
                      <w:highlight w:val="none"/>
                      <w:u w:val="none" w:color="auto"/>
                    </w:rPr>
                  </w:pPr>
                </w:p>
              </w:tc>
              <w:tc>
                <w:tcPr>
                  <w:tcW w:w="73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0.03</w:t>
                  </w:r>
                </w:p>
              </w:tc>
              <w:tc>
                <w:tcPr>
                  <w:tcW w:w="641"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0.1</w:t>
                  </w:r>
                </w:p>
              </w:tc>
              <w:tc>
                <w:tcPr>
                  <w:tcW w:w="84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036" w:type="dxa"/>
                  <w:gridSpan w:val="10"/>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b/>
                      <w:bCs/>
                      <w:color w:val="auto"/>
                      <w:highlight w:val="none"/>
                      <w:u w:val="none" w:color="auto"/>
                      <w:lang w:val="en-US" w:eastAsia="zh-CN"/>
                    </w:rPr>
                    <w:t>无组织排放废气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64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rPr>
                    <w:t>点胶工序</w:t>
                  </w:r>
                </w:p>
              </w:tc>
              <w:tc>
                <w:tcPr>
                  <w:tcW w:w="582"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b w:val="0"/>
                      <w:bCs w:val="0"/>
                      <w:color w:val="auto"/>
                      <w:sz w:val="21"/>
                      <w:szCs w:val="21"/>
                      <w:highlight w:val="none"/>
                      <w:u w:val="none" w:color="auto"/>
                      <w:lang w:val="en-US" w:eastAsia="zh-CN"/>
                    </w:rPr>
                    <w:t>非甲烷总烃</w:t>
                  </w:r>
                </w:p>
              </w:tc>
              <w:tc>
                <w:tcPr>
                  <w:tcW w:w="658" w:type="dxa"/>
                  <w:vMerge w:val="restart"/>
                  <w:shd w:val="clear" w:color="auto" w:fill="auto"/>
                  <w:vAlign w:val="center"/>
                </w:tcPr>
                <w:p>
                  <w:pPr>
                    <w:ind w:left="-105" w:leftChars="-50" w:right="-105" w:rightChars="-50"/>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w:t>
                  </w: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0.01</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0.003</w:t>
                  </w:r>
                </w:p>
              </w:tc>
              <w:tc>
                <w:tcPr>
                  <w:tcW w:w="976"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1501" w:type="dxa"/>
                  <w:shd w:val="clear" w:color="auto" w:fill="auto"/>
                  <w:vAlign w:val="center"/>
                </w:tcPr>
                <w:p>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加强通风</w:t>
                  </w:r>
                </w:p>
              </w:tc>
              <w:tc>
                <w:tcPr>
                  <w:tcW w:w="73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0.01</w:t>
                  </w:r>
                </w:p>
              </w:tc>
              <w:tc>
                <w:tcPr>
                  <w:tcW w:w="64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0.003</w:t>
                  </w:r>
                </w:p>
              </w:tc>
              <w:tc>
                <w:tcPr>
                  <w:tcW w:w="843"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641" w:type="dxa"/>
                  <w:vMerge w:val="restart"/>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rPr>
                    <w:t>含浸烘干</w:t>
                  </w:r>
                  <w:r>
                    <w:rPr>
                      <w:rFonts w:hint="eastAsia"/>
                      <w:color w:val="auto"/>
                      <w:highlight w:val="none"/>
                      <w:u w:val="none" w:color="auto"/>
                      <w:lang w:val="en-US" w:eastAsia="zh-CN"/>
                    </w:rPr>
                    <w:t>工序</w:t>
                  </w:r>
                </w:p>
              </w:tc>
              <w:tc>
                <w:tcPr>
                  <w:tcW w:w="582"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二甲苯</w:t>
                  </w:r>
                </w:p>
              </w:tc>
              <w:tc>
                <w:tcPr>
                  <w:tcW w:w="658"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0.048</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0.016</w:t>
                  </w:r>
                </w:p>
              </w:tc>
              <w:tc>
                <w:tcPr>
                  <w:tcW w:w="976"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1501" w:type="dxa"/>
                  <w:vMerge w:val="restart"/>
                  <w:shd w:val="clear" w:color="auto" w:fill="auto"/>
                  <w:vAlign w:val="center"/>
                </w:tcPr>
                <w:p>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加强通风</w:t>
                  </w:r>
                </w:p>
              </w:tc>
              <w:tc>
                <w:tcPr>
                  <w:tcW w:w="73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0.048</w:t>
                  </w:r>
                </w:p>
              </w:tc>
              <w:tc>
                <w:tcPr>
                  <w:tcW w:w="64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0.016</w:t>
                  </w:r>
                </w:p>
              </w:tc>
              <w:tc>
                <w:tcPr>
                  <w:tcW w:w="843"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641"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2"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b w:val="0"/>
                      <w:bCs w:val="0"/>
                      <w:color w:val="auto"/>
                      <w:sz w:val="21"/>
                      <w:szCs w:val="21"/>
                      <w:highlight w:val="none"/>
                      <w:u w:val="none" w:color="auto"/>
                      <w:lang w:val="en-US" w:eastAsia="zh-CN"/>
                    </w:rPr>
                    <w:t>非甲烷总烃</w:t>
                  </w:r>
                </w:p>
              </w:tc>
              <w:tc>
                <w:tcPr>
                  <w:tcW w:w="658"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0.018</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0.006</w:t>
                  </w:r>
                </w:p>
              </w:tc>
              <w:tc>
                <w:tcPr>
                  <w:tcW w:w="976"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w:t>
                  </w:r>
                </w:p>
              </w:tc>
              <w:tc>
                <w:tcPr>
                  <w:tcW w:w="1501" w:type="dxa"/>
                  <w:vMerge w:val="continue"/>
                  <w:shd w:val="clear" w:color="auto" w:fill="auto"/>
                  <w:vAlign w:val="center"/>
                </w:tcPr>
                <w:p>
                  <w:pPr>
                    <w:ind w:left="-105" w:leftChars="-50" w:right="-105" w:rightChars="-50"/>
                    <w:jc w:val="center"/>
                    <w:rPr>
                      <w:rFonts w:hint="eastAsia"/>
                      <w:color w:val="auto"/>
                      <w:highlight w:val="none"/>
                      <w:u w:val="none" w:color="auto"/>
                      <w:lang w:val="en-US" w:eastAsia="zh-CN"/>
                    </w:rPr>
                  </w:pPr>
                </w:p>
              </w:tc>
              <w:tc>
                <w:tcPr>
                  <w:tcW w:w="73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0.018</w:t>
                  </w:r>
                </w:p>
              </w:tc>
              <w:tc>
                <w:tcPr>
                  <w:tcW w:w="64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0.006</w:t>
                  </w:r>
                </w:p>
              </w:tc>
              <w:tc>
                <w:tcPr>
                  <w:tcW w:w="843"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64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焊锡废气</w:t>
                  </w:r>
                </w:p>
              </w:tc>
              <w:tc>
                <w:tcPr>
                  <w:tcW w:w="582"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b w:val="0"/>
                      <w:bCs w:val="0"/>
                      <w:color w:val="auto"/>
                      <w:sz w:val="21"/>
                      <w:szCs w:val="21"/>
                      <w:highlight w:val="none"/>
                      <w:u w:val="none" w:color="auto"/>
                      <w:lang w:val="en-US" w:eastAsia="zh-CN"/>
                    </w:rPr>
                    <w:t>颗粒物（锡及其化合物）</w:t>
                  </w:r>
                </w:p>
              </w:tc>
              <w:tc>
                <w:tcPr>
                  <w:tcW w:w="658" w:type="dxa"/>
                  <w:vMerge w:val="continue"/>
                  <w:shd w:val="clear" w:color="auto" w:fill="auto"/>
                  <w:vAlign w:val="center"/>
                </w:tcPr>
                <w:p>
                  <w:pPr>
                    <w:ind w:left="-105" w:leftChars="-50" w:right="-105" w:rightChars="-50"/>
                    <w:jc w:val="center"/>
                    <w:rPr>
                      <w:rFonts w:hint="eastAsia"/>
                      <w:color w:val="auto"/>
                      <w:highlight w:val="none"/>
                      <w:u w:val="none" w:color="auto"/>
                    </w:rPr>
                  </w:pPr>
                </w:p>
              </w:tc>
              <w:tc>
                <w:tcPr>
                  <w:tcW w:w="580"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0.02</w:t>
                  </w:r>
                </w:p>
              </w:tc>
              <w:tc>
                <w:tcPr>
                  <w:tcW w:w="883"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0.007</w:t>
                  </w:r>
                </w:p>
              </w:tc>
              <w:tc>
                <w:tcPr>
                  <w:tcW w:w="976" w:type="dxa"/>
                  <w:shd w:val="clear" w:color="auto" w:fill="auto"/>
                  <w:vAlign w:val="center"/>
                </w:tcPr>
                <w:p>
                  <w:pPr>
                    <w:ind w:left="-105" w:leftChars="-50" w:right="-105" w:rightChars="-50"/>
                    <w:jc w:val="center"/>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1501" w:type="dxa"/>
                  <w:shd w:val="clear" w:color="auto" w:fill="auto"/>
                  <w:vAlign w:val="center"/>
                </w:tcPr>
                <w:p>
                  <w:pPr>
                    <w:ind w:left="-105" w:leftChars="-50" w:right="-105" w:rightChars="-50"/>
                    <w:jc w:val="center"/>
                    <w:rPr>
                      <w:color w:val="auto"/>
                      <w:highlight w:val="none"/>
                      <w:u w:val="none" w:color="auto"/>
                    </w:rPr>
                  </w:pPr>
                  <w:r>
                    <w:rPr>
                      <w:rFonts w:hint="eastAsia"/>
                      <w:color w:val="auto"/>
                      <w:highlight w:val="none"/>
                      <w:u w:val="none" w:color="auto"/>
                      <w:lang w:val="en-US" w:eastAsia="zh-CN"/>
                    </w:rPr>
                    <w:t>加强通风</w:t>
                  </w:r>
                </w:p>
              </w:tc>
              <w:tc>
                <w:tcPr>
                  <w:tcW w:w="73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0.02</w:t>
                  </w:r>
                </w:p>
              </w:tc>
              <w:tc>
                <w:tcPr>
                  <w:tcW w:w="641"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0.007</w:t>
                  </w:r>
                </w:p>
              </w:tc>
              <w:tc>
                <w:tcPr>
                  <w:tcW w:w="843" w:type="dxa"/>
                  <w:shd w:val="clear" w:color="auto" w:fill="auto"/>
                  <w:vAlign w:val="center"/>
                </w:tcPr>
                <w:p>
                  <w:pPr>
                    <w:ind w:left="-105" w:leftChars="-50" w:right="-105" w:rightChars="-50"/>
                    <w:jc w:val="center"/>
                    <w:rPr>
                      <w:rFonts w:hint="eastAsia"/>
                      <w:color w:val="auto"/>
                      <w:highlight w:val="none"/>
                      <w:u w:val="none" w:color="auto"/>
                      <w:lang w:val="en-US" w:eastAsia="zh-CN"/>
                    </w:rPr>
                  </w:pPr>
                  <w:r>
                    <w:rPr>
                      <w:rFonts w:hint="eastAsia"/>
                      <w:color w:val="auto"/>
                      <w:highlight w:val="none"/>
                      <w:u w:val="none" w:color="auto"/>
                      <w:lang w:val="en-US" w:eastAsia="zh-CN"/>
                    </w:rPr>
                    <w:t>/</w:t>
                  </w:r>
                </w:p>
              </w:tc>
            </w:tr>
          </w:tbl>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u w:val="none" w:color="auto"/>
              </w:rPr>
            </w:pPr>
            <w:r>
              <w:rPr>
                <w:rFonts w:hint="eastAsia"/>
                <w:b/>
                <w:bCs/>
                <w:color w:val="auto"/>
                <w:sz w:val="24"/>
                <w:highlight w:val="none"/>
                <w:u w:val="none" w:color="auto"/>
                <w:lang w:val="en-US" w:eastAsia="zh-CN"/>
              </w:rPr>
              <w:t>4</w:t>
            </w:r>
            <w:r>
              <w:rPr>
                <w:rFonts w:hint="eastAsia"/>
                <w:b/>
                <w:bCs/>
                <w:color w:val="auto"/>
                <w:sz w:val="24"/>
                <w:highlight w:val="none"/>
                <w:u w:val="none" w:color="auto"/>
              </w:rPr>
              <w:t>）臭气（异味）</w:t>
            </w:r>
          </w:p>
          <w:p>
            <w:pPr>
              <w:widowControl/>
              <w:spacing w:line="360" w:lineRule="auto"/>
              <w:ind w:firstLine="480" w:firstLineChars="200"/>
              <w:jc w:val="left"/>
              <w:rPr>
                <w:rFonts w:hint="eastAsia"/>
                <w:color w:val="auto"/>
                <w:sz w:val="24"/>
                <w:highlight w:val="none"/>
                <w:u w:val="none" w:color="auto"/>
              </w:rPr>
            </w:pPr>
            <w:r>
              <w:rPr>
                <w:rFonts w:hint="eastAsia"/>
                <w:color w:val="auto"/>
                <w:sz w:val="24"/>
                <w:highlight w:val="none"/>
                <w:u w:val="none" w:color="auto"/>
              </w:rPr>
              <w:t>在生产过程中会产生异味，有带剌激性气味的恶臭产生，即恶臭污染物，其组成成分多为上述挥发性单体有机气体，产生的臭气浓度＜50（无量纲），建设单位通过加强生产区通风，在厂区内建设绿化带处理后，恶臭污染物达到《恶臭污染物排放标准》（GB14554-93）中二级标准要求。</w:t>
            </w:r>
          </w:p>
          <w:p>
            <w:pPr>
              <w:widowControl/>
              <w:spacing w:line="360" w:lineRule="auto"/>
              <w:ind w:firstLine="482" w:firstLineChars="200"/>
              <w:jc w:val="left"/>
              <w:rPr>
                <w:rFonts w:ascii="宋体" w:hAnsi="宋体" w:cs="宋体"/>
                <w:b/>
                <w:color w:val="auto"/>
                <w:kern w:val="0"/>
                <w:sz w:val="24"/>
                <w:highlight w:val="none"/>
                <w:u w:val="none" w:color="auto"/>
                <w:lang w:bidi="ar"/>
              </w:rPr>
            </w:pPr>
            <w:r>
              <w:rPr>
                <w:rFonts w:hint="eastAsia" w:hAnsi="宋体"/>
                <w:b/>
                <w:bCs/>
                <w:color w:val="auto"/>
                <w:sz w:val="24"/>
                <w:highlight w:val="none"/>
                <w:u w:val="none" w:color="auto"/>
              </w:rPr>
              <w:t>（3）</w:t>
            </w:r>
            <w:r>
              <w:rPr>
                <w:rFonts w:hint="eastAsia"/>
                <w:b/>
                <w:bCs/>
                <w:color w:val="auto"/>
                <w:sz w:val="24"/>
                <w:highlight w:val="none"/>
                <w:u w:val="none" w:color="auto"/>
              </w:rPr>
              <w:t>环境影响、达标排放分析</w:t>
            </w:r>
          </w:p>
          <w:p>
            <w:pPr>
              <w:widowControl/>
              <w:spacing w:line="360" w:lineRule="auto"/>
              <w:ind w:firstLine="480" w:firstLineChars="200"/>
              <w:jc w:val="left"/>
              <w:rPr>
                <w:rFonts w:hint="default" w:eastAsia="宋体"/>
                <w:color w:val="auto"/>
                <w:sz w:val="24"/>
                <w:highlight w:val="none"/>
                <w:u w:val="none" w:color="auto"/>
                <w:lang w:val="en-US" w:eastAsia="zh-CN"/>
              </w:rPr>
            </w:pPr>
            <w:r>
              <w:rPr>
                <w:rFonts w:hint="eastAsia"/>
                <w:color w:val="auto"/>
                <w:sz w:val="24"/>
                <w:highlight w:val="none"/>
                <w:u w:val="none" w:color="auto"/>
              </w:rPr>
              <w:t>1）</w:t>
            </w:r>
            <w:r>
              <w:rPr>
                <w:rFonts w:hint="eastAsia"/>
                <w:color w:val="auto"/>
                <w:sz w:val="24"/>
                <w:highlight w:val="none"/>
                <w:u w:val="none" w:color="auto"/>
                <w:lang w:val="en-US" w:eastAsia="zh-CN"/>
              </w:rPr>
              <w:t>点胶、含浸烘干、焊锡</w:t>
            </w:r>
            <w:r>
              <w:rPr>
                <w:rFonts w:hint="eastAsia"/>
                <w:color w:val="auto"/>
                <w:sz w:val="24"/>
                <w:highlight w:val="none"/>
                <w:u w:val="none" w:color="auto"/>
              </w:rPr>
              <w:t>工序有机废气</w:t>
            </w:r>
            <w:r>
              <w:rPr>
                <w:rFonts w:hint="eastAsia"/>
                <w:color w:val="auto"/>
                <w:sz w:val="24"/>
                <w:highlight w:val="none"/>
                <w:u w:val="none" w:color="auto"/>
                <w:lang w:val="en-US" w:eastAsia="zh-CN"/>
              </w:rPr>
              <w:t>和焊锡烟尘</w:t>
            </w:r>
          </w:p>
          <w:p>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根据</w:t>
            </w:r>
            <w:r>
              <w:rPr>
                <w:rFonts w:hint="eastAsia"/>
                <w:color w:val="auto"/>
                <w:sz w:val="24"/>
                <w:highlight w:val="none"/>
                <w:u w:val="none" w:color="auto"/>
              </w:rPr>
              <w:t>《大气污染物综合排放标准》(GB16297- 1996)</w:t>
            </w:r>
            <w:r>
              <w:rPr>
                <w:rFonts w:hint="eastAsia"/>
                <w:color w:val="auto"/>
                <w:sz w:val="24"/>
                <w:highlight w:val="none"/>
                <w:u w:val="none" w:color="auto"/>
                <w:lang w:val="en-US" w:eastAsia="zh-CN"/>
              </w:rPr>
              <w:t>要求：“排气筒高度除须遵守表列排放速率标准值外,还应高出周围200m半径范围的建筑5m 以上”。经</w:t>
            </w:r>
            <w:r>
              <w:rPr>
                <w:color w:val="auto"/>
                <w:sz w:val="24"/>
                <w:highlight w:val="none"/>
                <w:u w:val="none" w:color="auto"/>
              </w:rPr>
              <w:t>现场踏勘，</w:t>
            </w:r>
            <w:r>
              <w:rPr>
                <w:color w:val="auto"/>
                <w:sz w:val="24"/>
                <w:szCs w:val="24"/>
                <w:highlight w:val="none"/>
                <w:u w:val="none" w:color="auto"/>
              </w:rPr>
              <w:t>本项目周边200m范围内最高建筑物</w:t>
            </w:r>
            <w:r>
              <w:rPr>
                <w:rFonts w:hint="eastAsia"/>
                <w:color w:val="auto"/>
                <w:sz w:val="24"/>
                <w:szCs w:val="24"/>
                <w:highlight w:val="none"/>
                <w:u w:val="none" w:color="auto"/>
                <w:lang w:eastAsia="zh-CN"/>
              </w:rPr>
              <w:t>（厂房）</w:t>
            </w:r>
            <w:r>
              <w:rPr>
                <w:color w:val="auto"/>
                <w:sz w:val="24"/>
                <w:szCs w:val="24"/>
                <w:highlight w:val="none"/>
                <w:u w:val="none" w:color="auto"/>
              </w:rPr>
              <w:t>为</w:t>
            </w:r>
            <w:r>
              <w:rPr>
                <w:rFonts w:hint="eastAsia"/>
                <w:color w:val="auto"/>
                <w:sz w:val="24"/>
                <w:szCs w:val="24"/>
                <w:highlight w:val="none"/>
                <w:u w:val="none" w:color="auto"/>
              </w:rPr>
              <w:t>21</w:t>
            </w:r>
            <w:r>
              <w:rPr>
                <w:color w:val="auto"/>
                <w:sz w:val="24"/>
                <w:szCs w:val="24"/>
                <w:highlight w:val="none"/>
                <w:u w:val="none" w:color="auto"/>
              </w:rPr>
              <w:t>m，</w:t>
            </w:r>
            <w:r>
              <w:rPr>
                <w:rFonts w:hint="eastAsia"/>
                <w:color w:val="auto"/>
                <w:sz w:val="24"/>
                <w:szCs w:val="24"/>
                <w:highlight w:val="none"/>
                <w:u w:val="none" w:color="auto"/>
              </w:rPr>
              <w:t>排气筒高度</w:t>
            </w:r>
            <w:r>
              <w:rPr>
                <w:rFonts w:hint="eastAsia"/>
                <w:color w:val="auto"/>
                <w:sz w:val="24"/>
                <w:szCs w:val="24"/>
                <w:highlight w:val="none"/>
                <w:u w:val="none" w:color="auto"/>
                <w:lang w:val="en-US" w:eastAsia="zh-CN"/>
              </w:rPr>
              <w:t>应从严执行，应</w:t>
            </w:r>
            <w:r>
              <w:rPr>
                <w:rFonts w:hint="eastAsia"/>
                <w:color w:val="auto"/>
                <w:sz w:val="24"/>
                <w:szCs w:val="24"/>
                <w:highlight w:val="none"/>
                <w:u w:val="none" w:color="auto"/>
              </w:rPr>
              <w:t>比厂房高出</w:t>
            </w:r>
            <w:r>
              <w:rPr>
                <w:rFonts w:hint="eastAsia"/>
                <w:color w:val="auto"/>
                <w:sz w:val="24"/>
                <w:szCs w:val="24"/>
                <w:highlight w:val="none"/>
                <w:u w:val="none" w:color="auto"/>
                <w:lang w:val="en-US" w:eastAsia="zh-CN"/>
              </w:rPr>
              <w:t>5</w:t>
            </w:r>
            <w:r>
              <w:rPr>
                <w:rFonts w:hint="eastAsia"/>
                <w:color w:val="auto"/>
                <w:sz w:val="24"/>
                <w:szCs w:val="24"/>
                <w:highlight w:val="none"/>
                <w:u w:val="none" w:color="auto"/>
              </w:rPr>
              <w:t>m。</w:t>
            </w:r>
            <w:r>
              <w:rPr>
                <w:color w:val="auto"/>
                <w:sz w:val="24"/>
                <w:szCs w:val="24"/>
                <w:highlight w:val="none"/>
                <w:u w:val="none" w:color="auto"/>
              </w:rPr>
              <w:t>因此</w:t>
            </w:r>
            <w:r>
              <w:rPr>
                <w:color w:val="auto"/>
                <w:sz w:val="24"/>
                <w:highlight w:val="none"/>
                <w:u w:val="none" w:color="auto"/>
              </w:rPr>
              <w:t>环评要求项目</w:t>
            </w:r>
            <w:r>
              <w:rPr>
                <w:rFonts w:hint="eastAsia"/>
                <w:color w:val="auto"/>
                <w:sz w:val="24"/>
                <w:highlight w:val="none"/>
                <w:u w:val="none" w:color="auto"/>
                <w:lang w:val="en-US" w:eastAsia="zh-CN"/>
              </w:rPr>
              <w:t>二级</w:t>
            </w:r>
            <w:r>
              <w:rPr>
                <w:color w:val="auto"/>
                <w:sz w:val="24"/>
                <w:highlight w:val="none"/>
                <w:u w:val="none" w:color="auto"/>
              </w:rPr>
              <w:t>活性炭吸附装置处理设施排气筒安装不低于</w:t>
            </w:r>
            <w:r>
              <w:rPr>
                <w:rFonts w:hint="eastAsia"/>
                <w:color w:val="auto"/>
                <w:sz w:val="24"/>
                <w:highlight w:val="none"/>
                <w:u w:val="none" w:color="auto"/>
                <w:lang w:val="en-US" w:eastAsia="zh-CN"/>
              </w:rPr>
              <w:t>26</w:t>
            </w:r>
            <w:r>
              <w:rPr>
                <w:color w:val="auto"/>
                <w:sz w:val="24"/>
                <w:highlight w:val="none"/>
                <w:u w:val="none" w:color="auto"/>
              </w:rPr>
              <w:t>m高排气筒</w:t>
            </w:r>
            <w:r>
              <w:rPr>
                <w:rFonts w:hint="eastAsia"/>
                <w:color w:val="auto"/>
                <w:sz w:val="24"/>
                <w:highlight w:val="none"/>
                <w:u w:val="none" w:color="auto"/>
              </w:rPr>
              <w:t>。</w:t>
            </w:r>
          </w:p>
          <w:p>
            <w:pPr>
              <w:spacing w:line="360" w:lineRule="auto"/>
              <w:ind w:firstLine="480" w:firstLineChars="200"/>
              <w:rPr>
                <w:color w:val="auto"/>
                <w:kern w:val="0"/>
                <w:sz w:val="24"/>
                <w:highlight w:val="none"/>
                <w:u w:val="none" w:color="auto"/>
              </w:rPr>
            </w:pPr>
            <w:r>
              <w:rPr>
                <w:rFonts w:hAnsi="宋体"/>
                <w:color w:val="auto"/>
                <w:sz w:val="24"/>
                <w:highlight w:val="none"/>
                <w:u w:val="none" w:color="auto"/>
              </w:rPr>
              <w:t>项目</w:t>
            </w:r>
            <w:r>
              <w:rPr>
                <w:rFonts w:hint="eastAsia"/>
                <w:color w:val="auto"/>
                <w:sz w:val="24"/>
                <w:highlight w:val="none"/>
                <w:u w:val="none" w:color="auto"/>
              </w:rPr>
              <w:t>点胶工</w:t>
            </w:r>
            <w:r>
              <w:rPr>
                <w:rFonts w:hint="eastAsia"/>
                <w:color w:val="auto"/>
                <w:sz w:val="24"/>
                <w:szCs w:val="24"/>
                <w:highlight w:val="none"/>
                <w:u w:val="none" w:color="auto"/>
              </w:rPr>
              <w:t>序</w:t>
            </w:r>
            <w:r>
              <w:rPr>
                <w:rFonts w:hAnsi="宋体"/>
                <w:color w:val="auto"/>
                <w:sz w:val="24"/>
                <w:szCs w:val="24"/>
                <w:highlight w:val="none"/>
                <w:u w:val="none" w:color="auto"/>
              </w:rPr>
              <w:t>产生少量</w:t>
            </w:r>
            <w:r>
              <w:rPr>
                <w:rFonts w:hint="eastAsia" w:hAnsi="宋体"/>
                <w:color w:val="auto"/>
                <w:sz w:val="24"/>
                <w:szCs w:val="24"/>
                <w:highlight w:val="none"/>
                <w:u w:val="none" w:color="auto"/>
              </w:rPr>
              <w:t>有机</w:t>
            </w:r>
            <w:r>
              <w:rPr>
                <w:rFonts w:hAnsi="宋体"/>
                <w:color w:val="auto"/>
                <w:sz w:val="24"/>
                <w:szCs w:val="24"/>
                <w:highlight w:val="none"/>
                <w:u w:val="none" w:color="auto"/>
              </w:rPr>
              <w:t>废气</w:t>
            </w:r>
            <w:r>
              <w:rPr>
                <w:rFonts w:hint="eastAsia" w:hAnsi="宋体"/>
                <w:color w:val="auto"/>
                <w:sz w:val="24"/>
                <w:szCs w:val="24"/>
                <w:highlight w:val="none"/>
                <w:u w:val="none" w:color="auto"/>
                <w:lang w:val="en-US" w:eastAsia="zh-CN"/>
              </w:rPr>
              <w:t>非甲烷总烃</w:t>
            </w:r>
            <w:r>
              <w:rPr>
                <w:rFonts w:hint="eastAsia" w:hAnsi="宋体"/>
                <w:color w:val="auto"/>
                <w:sz w:val="24"/>
                <w:szCs w:val="24"/>
                <w:highlight w:val="none"/>
                <w:u w:val="none" w:color="auto"/>
              </w:rPr>
              <w:t>，</w:t>
            </w:r>
            <w:r>
              <w:rPr>
                <w:rFonts w:hint="eastAsia"/>
                <w:color w:val="auto"/>
                <w:sz w:val="24"/>
                <w:szCs w:val="24"/>
                <w:highlight w:val="none"/>
                <w:u w:val="none" w:color="auto"/>
              </w:rPr>
              <w:t>含浸烘干</w:t>
            </w:r>
            <w:r>
              <w:rPr>
                <w:rFonts w:hint="eastAsia"/>
                <w:color w:val="auto"/>
                <w:sz w:val="24"/>
                <w:szCs w:val="24"/>
                <w:highlight w:val="none"/>
                <w:u w:val="none" w:color="auto"/>
                <w:lang w:val="en-US" w:eastAsia="zh-CN"/>
              </w:rPr>
              <w:t>工序产生少量二甲苯和非甲烷总烃，焊锡工序产生少量颗粒物</w:t>
            </w:r>
            <w:r>
              <w:rPr>
                <w:rFonts w:hint="eastAsia"/>
                <w:color w:val="auto"/>
                <w:sz w:val="24"/>
                <w:highlight w:val="none"/>
                <w:u w:val="none" w:color="auto"/>
              </w:rPr>
              <w:t>（锡及其化合物）</w:t>
            </w:r>
            <w:r>
              <w:rPr>
                <w:rFonts w:hint="eastAsia"/>
                <w:color w:val="auto"/>
                <w:sz w:val="24"/>
                <w:highlight w:val="none"/>
                <w:u w:val="none" w:color="auto"/>
                <w:lang w:eastAsia="zh-CN"/>
              </w:rPr>
              <w:t>，</w:t>
            </w:r>
            <w:r>
              <w:rPr>
                <w:rFonts w:hint="eastAsia"/>
                <w:color w:val="auto"/>
                <w:sz w:val="24"/>
                <w:szCs w:val="24"/>
                <w:highlight w:val="none"/>
                <w:u w:val="none" w:color="auto"/>
                <w:lang w:val="en-US" w:eastAsia="zh-CN"/>
              </w:rPr>
              <w:t>点胶废气、含浸废气及焊锡废气采用集气罩收集，隧道炉产生的烘干废气采用设备排口直连收集，上述废气一同汇入一套二级活性炭吸附装置</w:t>
            </w:r>
            <w:r>
              <w:rPr>
                <w:rFonts w:hint="eastAsia" w:hAnsi="宋体"/>
                <w:color w:val="auto"/>
                <w:sz w:val="24"/>
                <w:highlight w:val="none"/>
                <w:u w:val="none" w:color="auto"/>
              </w:rPr>
              <w:t>处理后经</w:t>
            </w:r>
            <w:r>
              <w:rPr>
                <w:rFonts w:hint="eastAsia" w:hAnsi="宋体"/>
                <w:color w:val="auto"/>
                <w:sz w:val="24"/>
                <w:highlight w:val="none"/>
                <w:u w:val="none" w:color="auto"/>
                <w:lang w:val="en-US" w:eastAsia="zh-CN"/>
              </w:rPr>
              <w:t>26</w:t>
            </w:r>
            <w:r>
              <w:rPr>
                <w:rFonts w:hint="eastAsia" w:hAnsi="宋体"/>
                <w:color w:val="auto"/>
                <w:sz w:val="24"/>
                <w:highlight w:val="none"/>
                <w:u w:val="none" w:color="auto"/>
              </w:rPr>
              <w:t>m排气筒排放。</w:t>
            </w:r>
            <w:r>
              <w:rPr>
                <w:rFonts w:hint="eastAsia"/>
                <w:color w:val="auto"/>
                <w:sz w:val="24"/>
                <w:highlight w:val="none"/>
                <w:u w:val="none" w:color="auto"/>
              </w:rPr>
              <w:t>通过计算可知</w:t>
            </w:r>
            <w:r>
              <w:rPr>
                <w:rFonts w:hint="eastAsia" w:hAnsi="宋体"/>
                <w:color w:val="auto"/>
                <w:sz w:val="24"/>
                <w:szCs w:val="24"/>
                <w:highlight w:val="none"/>
                <w:u w:val="none" w:color="auto"/>
                <w:lang w:val="en-US" w:eastAsia="zh-CN"/>
              </w:rPr>
              <w:t>非甲烷总烃</w:t>
            </w:r>
            <w:r>
              <w:rPr>
                <w:rFonts w:hint="eastAsia"/>
                <w:color w:val="auto"/>
                <w:sz w:val="24"/>
                <w:highlight w:val="none"/>
                <w:u w:val="none" w:color="auto"/>
              </w:rPr>
              <w:t>排放浓度</w:t>
            </w:r>
            <w:r>
              <w:rPr>
                <w:rFonts w:hint="eastAsia"/>
                <w:color w:val="auto"/>
                <w:sz w:val="24"/>
                <w:szCs w:val="24"/>
                <w:highlight w:val="none"/>
                <w:u w:val="none" w:color="auto"/>
                <w:lang w:val="en-US" w:eastAsia="zh-CN"/>
              </w:rPr>
              <w:t>2.81</w:t>
            </w:r>
            <w:r>
              <w:rPr>
                <w:rFonts w:hint="eastAsia"/>
                <w:color w:val="auto"/>
                <w:sz w:val="24"/>
                <w:highlight w:val="none"/>
                <w:u w:val="none" w:color="auto"/>
              </w:rPr>
              <w:t>mg/m</w:t>
            </w:r>
            <w:r>
              <w:rPr>
                <w:rFonts w:hint="eastAsia"/>
                <w:color w:val="auto"/>
                <w:sz w:val="24"/>
                <w:highlight w:val="none"/>
                <w:u w:val="none" w:color="auto"/>
                <w:vertAlign w:val="superscript"/>
              </w:rPr>
              <w:t>3</w:t>
            </w:r>
            <w:r>
              <w:rPr>
                <w:rFonts w:hint="eastAsia"/>
                <w:color w:val="auto"/>
                <w:sz w:val="24"/>
                <w:highlight w:val="none"/>
                <w:u w:val="none" w:color="auto"/>
              </w:rPr>
              <w:t>，排放速率</w:t>
            </w:r>
            <w:r>
              <w:rPr>
                <w:rFonts w:hint="eastAsia"/>
                <w:color w:val="auto"/>
                <w:sz w:val="24"/>
                <w:szCs w:val="24"/>
                <w:highlight w:val="none"/>
                <w:u w:val="none" w:color="auto"/>
                <w:lang w:val="en-US" w:eastAsia="zh-CN"/>
              </w:rPr>
              <w:t>0.0084</w:t>
            </w:r>
            <w:r>
              <w:rPr>
                <w:color w:val="auto"/>
                <w:kern w:val="0"/>
                <w:sz w:val="24"/>
                <w:highlight w:val="none"/>
                <w:u w:val="none" w:color="auto"/>
              </w:rPr>
              <w:t>kg/h</w:t>
            </w:r>
            <w:r>
              <w:rPr>
                <w:rFonts w:hint="eastAsia"/>
                <w:color w:val="auto"/>
                <w:kern w:val="0"/>
                <w:sz w:val="24"/>
                <w:highlight w:val="none"/>
                <w:u w:val="none" w:color="auto"/>
              </w:rPr>
              <w:t>，</w:t>
            </w:r>
            <w:r>
              <w:rPr>
                <w:rFonts w:hint="eastAsia"/>
                <w:color w:val="auto"/>
                <w:kern w:val="0"/>
                <w:sz w:val="24"/>
                <w:highlight w:val="none"/>
                <w:u w:val="none" w:color="auto"/>
                <w:lang w:val="en-US" w:eastAsia="zh-CN"/>
              </w:rPr>
              <w:t>二甲苯</w:t>
            </w:r>
            <w:r>
              <w:rPr>
                <w:rFonts w:hint="eastAsia"/>
                <w:color w:val="auto"/>
                <w:sz w:val="24"/>
                <w:highlight w:val="none"/>
                <w:u w:val="none" w:color="auto"/>
              </w:rPr>
              <w:t>排放浓度</w:t>
            </w:r>
            <w:r>
              <w:rPr>
                <w:rFonts w:hint="eastAsia"/>
                <w:color w:val="auto"/>
                <w:sz w:val="24"/>
                <w:szCs w:val="24"/>
                <w:highlight w:val="none"/>
                <w:u w:val="none" w:color="auto"/>
                <w:lang w:val="en-US" w:eastAsia="zh-CN"/>
              </w:rPr>
              <w:t>7.2</w:t>
            </w:r>
            <w:r>
              <w:rPr>
                <w:rFonts w:hint="eastAsia"/>
                <w:color w:val="auto"/>
                <w:sz w:val="24"/>
                <w:highlight w:val="none"/>
                <w:u w:val="none" w:color="auto"/>
              </w:rPr>
              <w:t>mg/m</w:t>
            </w:r>
            <w:r>
              <w:rPr>
                <w:rFonts w:hint="eastAsia"/>
                <w:color w:val="auto"/>
                <w:sz w:val="24"/>
                <w:highlight w:val="none"/>
                <w:u w:val="none" w:color="auto"/>
                <w:vertAlign w:val="superscript"/>
              </w:rPr>
              <w:t>3</w:t>
            </w:r>
            <w:r>
              <w:rPr>
                <w:rFonts w:hint="eastAsia"/>
                <w:color w:val="auto"/>
                <w:sz w:val="24"/>
                <w:highlight w:val="none"/>
                <w:u w:val="none" w:color="auto"/>
              </w:rPr>
              <w:t>，排放速率</w:t>
            </w:r>
            <w:r>
              <w:rPr>
                <w:rFonts w:hint="eastAsia"/>
                <w:color w:val="auto"/>
                <w:sz w:val="24"/>
                <w:szCs w:val="24"/>
                <w:highlight w:val="none"/>
                <w:u w:val="none" w:color="auto"/>
                <w:lang w:val="en-US" w:eastAsia="zh-CN"/>
              </w:rPr>
              <w:t>0.0216</w:t>
            </w:r>
            <w:r>
              <w:rPr>
                <w:color w:val="auto"/>
                <w:kern w:val="0"/>
                <w:sz w:val="24"/>
                <w:highlight w:val="none"/>
                <w:u w:val="none" w:color="auto"/>
              </w:rPr>
              <w:t>kg/h</w:t>
            </w:r>
            <w:r>
              <w:rPr>
                <w:rFonts w:hint="eastAsia"/>
                <w:color w:val="auto"/>
                <w:kern w:val="0"/>
                <w:sz w:val="24"/>
                <w:highlight w:val="none"/>
                <w:u w:val="none" w:color="auto"/>
              </w:rPr>
              <w:t>，</w:t>
            </w:r>
            <w:r>
              <w:rPr>
                <w:rFonts w:hint="eastAsia"/>
                <w:color w:val="auto"/>
                <w:sz w:val="24"/>
                <w:highlight w:val="none"/>
                <w:u w:val="none" w:color="auto"/>
                <w:lang w:val="en-US" w:eastAsia="zh-CN"/>
              </w:rPr>
              <w:t>颗粒物（锡及其化合物）</w:t>
            </w:r>
            <w:r>
              <w:rPr>
                <w:rFonts w:hint="eastAsia"/>
                <w:color w:val="auto"/>
                <w:sz w:val="24"/>
                <w:highlight w:val="none"/>
                <w:u w:val="none" w:color="auto"/>
              </w:rPr>
              <w:t>排放浓度</w:t>
            </w:r>
            <w:r>
              <w:rPr>
                <w:rFonts w:hint="eastAsia"/>
                <w:color w:val="auto"/>
                <w:sz w:val="24"/>
                <w:szCs w:val="24"/>
                <w:highlight w:val="none"/>
                <w:u w:val="none" w:color="auto"/>
                <w:lang w:val="en-US" w:eastAsia="zh-CN"/>
              </w:rPr>
              <w:t>3.33</w:t>
            </w:r>
            <w:r>
              <w:rPr>
                <w:rFonts w:hint="eastAsia"/>
                <w:color w:val="auto"/>
                <w:sz w:val="24"/>
                <w:highlight w:val="none"/>
                <w:u w:val="none" w:color="auto"/>
              </w:rPr>
              <w:t>mg/m</w:t>
            </w:r>
            <w:r>
              <w:rPr>
                <w:rFonts w:hint="eastAsia"/>
                <w:color w:val="auto"/>
                <w:sz w:val="24"/>
                <w:highlight w:val="none"/>
                <w:u w:val="none" w:color="auto"/>
                <w:vertAlign w:val="superscript"/>
              </w:rPr>
              <w:t>3</w:t>
            </w:r>
            <w:r>
              <w:rPr>
                <w:rFonts w:hint="eastAsia"/>
                <w:color w:val="auto"/>
                <w:sz w:val="24"/>
                <w:highlight w:val="none"/>
                <w:u w:val="none" w:color="auto"/>
              </w:rPr>
              <w:t>，排放速率</w:t>
            </w:r>
            <w:r>
              <w:rPr>
                <w:rFonts w:hint="eastAsia"/>
                <w:color w:val="auto"/>
                <w:sz w:val="24"/>
                <w:szCs w:val="24"/>
                <w:highlight w:val="none"/>
                <w:u w:val="none" w:color="auto"/>
                <w:lang w:val="en-US" w:eastAsia="zh-CN"/>
              </w:rPr>
              <w:t>0.1</w:t>
            </w:r>
            <w:r>
              <w:rPr>
                <w:color w:val="auto"/>
                <w:kern w:val="0"/>
                <w:sz w:val="24"/>
                <w:highlight w:val="none"/>
                <w:u w:val="none" w:color="auto"/>
              </w:rPr>
              <w:t>kg/h</w:t>
            </w:r>
            <w:r>
              <w:rPr>
                <w:rFonts w:hint="eastAsia"/>
                <w:color w:val="auto"/>
                <w:kern w:val="0"/>
                <w:sz w:val="24"/>
                <w:highlight w:val="none"/>
                <w:u w:val="none" w:color="auto"/>
                <w:lang w:eastAsia="zh-CN"/>
              </w:rPr>
              <w:t>。</w:t>
            </w:r>
            <w:r>
              <w:rPr>
                <w:rFonts w:hint="eastAsia"/>
                <w:color w:val="auto"/>
                <w:kern w:val="0"/>
                <w:sz w:val="24"/>
                <w:highlight w:val="none"/>
                <w:u w:val="none" w:color="auto"/>
                <w:lang w:val="en-US" w:eastAsia="zh-CN"/>
              </w:rPr>
              <w:t>均</w:t>
            </w:r>
            <w:r>
              <w:rPr>
                <w:rFonts w:hint="eastAsia"/>
                <w:color w:val="auto"/>
                <w:sz w:val="24"/>
                <w:highlight w:val="none"/>
                <w:u w:val="none" w:color="auto"/>
                <w:lang w:val="en-US" w:eastAsia="zh-CN"/>
              </w:rPr>
              <w:t>满足</w:t>
            </w:r>
            <w:r>
              <w:rPr>
                <w:rFonts w:hint="eastAsia"/>
                <w:color w:val="auto"/>
                <w:sz w:val="24"/>
                <w:highlight w:val="none"/>
                <w:u w:val="none" w:color="auto"/>
              </w:rPr>
              <w:t>《大气污染物综合排放标准》(GB16297- 1996)中</w:t>
            </w:r>
            <w:r>
              <w:rPr>
                <w:color w:val="auto"/>
                <w:sz w:val="24"/>
                <w:highlight w:val="none"/>
                <w:u w:val="none" w:color="auto"/>
              </w:rPr>
              <w:t>表2新污染源大气污染物排放限值要求</w:t>
            </w:r>
            <w:r>
              <w:rPr>
                <w:rFonts w:hint="eastAsia"/>
                <w:color w:val="auto"/>
                <w:sz w:val="24"/>
                <w:highlight w:val="none"/>
                <w:u w:val="none" w:color="auto"/>
                <w:lang w:eastAsia="zh-CN"/>
              </w:rPr>
              <w:t>，</w:t>
            </w:r>
            <w:r>
              <w:rPr>
                <w:rFonts w:hint="eastAsia"/>
                <w:color w:val="auto"/>
                <w:sz w:val="24"/>
                <w:highlight w:val="none"/>
                <w:u w:val="none" w:color="auto"/>
              </w:rPr>
              <w:t>项目所在区域环境空气为达标区。</w:t>
            </w:r>
          </w:p>
          <w:p>
            <w:pPr>
              <w:spacing w:line="360" w:lineRule="auto"/>
              <w:ind w:firstLine="480" w:firstLineChars="200"/>
              <w:rPr>
                <w:color w:val="auto"/>
                <w:sz w:val="24"/>
                <w:highlight w:val="none"/>
                <w:u w:val="none" w:color="auto"/>
              </w:rPr>
            </w:pPr>
            <w:r>
              <w:rPr>
                <w:rFonts w:hint="eastAsia"/>
                <w:color w:val="auto"/>
                <w:sz w:val="24"/>
                <w:highlight w:val="none"/>
                <w:u w:val="none" w:color="auto"/>
              </w:rPr>
              <w:t>对照《排污许可证申请与核发技术规范  电子工业》（HJ1031-2019），项目产生的有机废气使用</w:t>
            </w:r>
            <w:r>
              <w:rPr>
                <w:rFonts w:hint="eastAsia"/>
                <w:color w:val="auto"/>
                <w:sz w:val="24"/>
                <w:highlight w:val="none"/>
                <w:u w:val="none" w:color="auto"/>
                <w:lang w:val="en-US" w:eastAsia="zh-CN"/>
              </w:rPr>
              <w:t>二级</w:t>
            </w:r>
            <w:r>
              <w:rPr>
                <w:rFonts w:hint="eastAsia"/>
                <w:color w:val="auto"/>
                <w:sz w:val="24"/>
                <w:highlight w:val="none"/>
                <w:u w:val="none" w:color="auto"/>
              </w:rPr>
              <w:t>活性炭吸附法</w:t>
            </w:r>
            <w:r>
              <w:rPr>
                <w:rFonts w:hint="eastAsia"/>
                <w:color w:val="auto"/>
                <w:sz w:val="24"/>
                <w:szCs w:val="24"/>
                <w:highlight w:val="none"/>
                <w:u w:val="none" w:color="auto"/>
              </w:rPr>
              <w:t>为规范中措施，技术可行。</w:t>
            </w:r>
          </w:p>
          <w:p>
            <w:pPr>
              <w:autoSpaceDE w:val="0"/>
              <w:autoSpaceDN w:val="0"/>
              <w:spacing w:line="360" w:lineRule="auto"/>
              <w:ind w:firstLine="480" w:firstLineChars="200"/>
              <w:jc w:val="left"/>
              <w:rPr>
                <w:color w:val="auto"/>
                <w:sz w:val="24"/>
                <w:highlight w:val="none"/>
                <w:u w:val="none" w:color="auto"/>
              </w:rPr>
            </w:pPr>
            <w:r>
              <w:rPr>
                <w:color w:val="auto"/>
                <w:sz w:val="24"/>
                <w:highlight w:val="none"/>
                <w:u w:val="none" w:color="auto"/>
              </w:rPr>
              <w:t>综上，项目排放的大气污染物对周边环境可接受。</w:t>
            </w:r>
          </w:p>
          <w:p>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（4）自行监测要求</w:t>
            </w:r>
          </w:p>
          <w:p>
            <w:pPr>
              <w:spacing w:line="360" w:lineRule="auto"/>
              <w:ind w:firstLine="480" w:firstLineChars="200"/>
              <w:rPr>
                <w:color w:val="auto"/>
                <w:sz w:val="24"/>
                <w:highlight w:val="none"/>
                <w:u w:val="none" w:color="auto"/>
              </w:rPr>
            </w:pPr>
            <w:r>
              <w:rPr>
                <w:rFonts w:hint="eastAsia"/>
                <w:color w:val="auto"/>
                <w:sz w:val="24"/>
                <w:highlight w:val="none"/>
                <w:u w:val="none" w:color="auto"/>
              </w:rPr>
              <w:t>建设单位废气污染源应依据《排污单位自行监测技术指南总则》</w:t>
            </w:r>
          </w:p>
          <w:p>
            <w:pPr>
              <w:pStyle w:val="11"/>
              <w:spacing w:line="360" w:lineRule="auto"/>
              <w:ind w:firstLine="480" w:firstLineChars="200"/>
              <w:rPr>
                <w:color w:val="auto"/>
                <w:highlight w:val="none"/>
                <w:u w:val="none" w:color="auto"/>
              </w:rPr>
            </w:pPr>
            <w:r>
              <w:rPr>
                <w:rFonts w:hint="eastAsia"/>
                <w:color w:val="auto"/>
                <w:highlight w:val="none"/>
                <w:u w:val="none" w:color="auto"/>
              </w:rPr>
              <w:t>(HJ819-2017)、《排污许可证申请与核发技术规范  电子工业》（HJ1031-2019）等要求开展自行监测，营运期环境监测计划详见下表。</w:t>
            </w:r>
          </w:p>
          <w:p>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w:t>
            </w:r>
            <w:r>
              <w:rPr>
                <w:rFonts w:hint="eastAsia"/>
                <w:b/>
                <w:bCs/>
                <w:color w:val="auto"/>
                <w:highlight w:val="none"/>
                <w:u w:val="none" w:color="auto"/>
                <w:lang w:val="en-US" w:eastAsia="zh-CN"/>
              </w:rPr>
              <w:t>4</w:t>
            </w:r>
            <w:r>
              <w:rPr>
                <w:rFonts w:hint="eastAsia"/>
                <w:b/>
                <w:bCs/>
                <w:color w:val="auto"/>
                <w:highlight w:val="none"/>
                <w:u w:val="none" w:color="auto"/>
              </w:rPr>
              <w:t xml:space="preserve">   废气监测要求一览表</w:t>
            </w:r>
          </w:p>
          <w:tbl>
            <w:tblPr>
              <w:tblStyle w:val="26"/>
              <w:tblW w:w="80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01"/>
              <w:gridCol w:w="1509"/>
              <w:gridCol w:w="1228"/>
              <w:gridCol w:w="686"/>
              <w:gridCol w:w="32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pPr>
                    <w:jc w:val="center"/>
                    <w:rPr>
                      <w:b/>
                      <w:bCs/>
                      <w:color w:val="auto"/>
                      <w:highlight w:val="none"/>
                      <w:u w:val="none" w:color="auto"/>
                    </w:rPr>
                  </w:pPr>
                  <w:r>
                    <w:rPr>
                      <w:rFonts w:hint="eastAsia"/>
                      <w:b/>
                      <w:bCs/>
                      <w:color w:val="auto"/>
                      <w:highlight w:val="none"/>
                      <w:u w:val="none" w:color="auto"/>
                    </w:rPr>
                    <w:t>监测类别</w:t>
                  </w:r>
                </w:p>
              </w:tc>
              <w:tc>
                <w:tcPr>
                  <w:tcW w:w="701" w:type="dxa"/>
                  <w:vAlign w:val="center"/>
                </w:tcPr>
                <w:p>
                  <w:pPr>
                    <w:jc w:val="center"/>
                    <w:rPr>
                      <w:b/>
                      <w:bCs/>
                      <w:color w:val="auto"/>
                      <w:highlight w:val="none"/>
                      <w:u w:val="none" w:color="auto"/>
                    </w:rPr>
                  </w:pPr>
                  <w:r>
                    <w:rPr>
                      <w:rFonts w:hint="eastAsia"/>
                      <w:b/>
                      <w:bCs/>
                      <w:color w:val="auto"/>
                      <w:highlight w:val="none"/>
                      <w:u w:val="none" w:color="auto"/>
                    </w:rPr>
                    <w:t>监测地点</w:t>
                  </w:r>
                </w:p>
              </w:tc>
              <w:tc>
                <w:tcPr>
                  <w:tcW w:w="1509" w:type="dxa"/>
                  <w:vAlign w:val="center"/>
                </w:tcPr>
                <w:p>
                  <w:pPr>
                    <w:jc w:val="center"/>
                    <w:rPr>
                      <w:b/>
                      <w:bCs/>
                      <w:color w:val="auto"/>
                      <w:highlight w:val="none"/>
                      <w:u w:val="none" w:color="auto"/>
                    </w:rPr>
                  </w:pPr>
                  <w:r>
                    <w:rPr>
                      <w:rFonts w:hint="eastAsia"/>
                      <w:b/>
                      <w:bCs/>
                      <w:color w:val="auto"/>
                      <w:highlight w:val="none"/>
                      <w:u w:val="none" w:color="auto"/>
                    </w:rPr>
                    <w:t>监测点位</w:t>
                  </w:r>
                </w:p>
              </w:tc>
              <w:tc>
                <w:tcPr>
                  <w:tcW w:w="1228" w:type="dxa"/>
                  <w:vAlign w:val="center"/>
                </w:tcPr>
                <w:p>
                  <w:pPr>
                    <w:jc w:val="center"/>
                    <w:rPr>
                      <w:b/>
                      <w:bCs/>
                      <w:color w:val="auto"/>
                      <w:highlight w:val="none"/>
                      <w:u w:val="none" w:color="auto"/>
                    </w:rPr>
                  </w:pPr>
                  <w:r>
                    <w:rPr>
                      <w:rFonts w:hint="eastAsia"/>
                      <w:b/>
                      <w:bCs/>
                      <w:color w:val="auto"/>
                      <w:highlight w:val="none"/>
                      <w:u w:val="none" w:color="auto"/>
                    </w:rPr>
                    <w:t>监测项目</w:t>
                  </w:r>
                </w:p>
              </w:tc>
              <w:tc>
                <w:tcPr>
                  <w:tcW w:w="686" w:type="dxa"/>
                  <w:vAlign w:val="center"/>
                </w:tcPr>
                <w:p>
                  <w:pPr>
                    <w:jc w:val="center"/>
                    <w:rPr>
                      <w:b/>
                      <w:bCs/>
                      <w:color w:val="auto"/>
                      <w:highlight w:val="none"/>
                      <w:u w:val="none" w:color="auto"/>
                    </w:rPr>
                  </w:pPr>
                  <w:r>
                    <w:rPr>
                      <w:rFonts w:hint="eastAsia"/>
                      <w:b/>
                      <w:bCs/>
                      <w:color w:val="auto"/>
                      <w:highlight w:val="none"/>
                      <w:u w:val="none" w:color="auto"/>
                    </w:rPr>
                    <w:t>监测频次</w:t>
                  </w:r>
                </w:p>
              </w:tc>
              <w:tc>
                <w:tcPr>
                  <w:tcW w:w="3213" w:type="dxa"/>
                  <w:vAlign w:val="center"/>
                </w:tcPr>
                <w:p>
                  <w:pPr>
                    <w:jc w:val="center"/>
                    <w:rPr>
                      <w:b/>
                      <w:bCs/>
                      <w:color w:val="auto"/>
                      <w:highlight w:val="none"/>
                      <w:u w:val="none" w:color="auto"/>
                    </w:rPr>
                  </w:pPr>
                  <w:r>
                    <w:rPr>
                      <w:rFonts w:hint="eastAsia"/>
                      <w:b/>
                      <w:bCs/>
                      <w:color w:val="auto"/>
                      <w:highlight w:val="none"/>
                      <w:u w:val="none" w:color="auto"/>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pPr>
                    <w:jc w:val="center"/>
                    <w:rPr>
                      <w:color w:val="auto"/>
                      <w:highlight w:val="none"/>
                      <w:u w:val="none" w:color="auto"/>
                    </w:rPr>
                  </w:pPr>
                  <w:r>
                    <w:rPr>
                      <w:rFonts w:hint="eastAsia"/>
                      <w:color w:val="auto"/>
                      <w:highlight w:val="none"/>
                      <w:u w:val="none" w:color="auto"/>
                    </w:rPr>
                    <w:t>有组织废气</w:t>
                  </w:r>
                </w:p>
              </w:tc>
              <w:tc>
                <w:tcPr>
                  <w:tcW w:w="701" w:type="dxa"/>
                  <w:vAlign w:val="center"/>
                </w:tcPr>
                <w:p>
                  <w:pPr>
                    <w:jc w:val="center"/>
                    <w:rPr>
                      <w:color w:val="auto"/>
                      <w:highlight w:val="none"/>
                      <w:u w:val="none" w:color="auto"/>
                    </w:rPr>
                  </w:pPr>
                  <w:r>
                    <w:rPr>
                      <w:rFonts w:hint="eastAsia"/>
                      <w:color w:val="auto"/>
                      <w:highlight w:val="none"/>
                      <w:u w:val="none" w:color="auto"/>
                    </w:rPr>
                    <w:t>有机废气排气筒</w:t>
                  </w:r>
                </w:p>
              </w:tc>
              <w:tc>
                <w:tcPr>
                  <w:tcW w:w="1509" w:type="dxa"/>
                  <w:vAlign w:val="center"/>
                </w:tcPr>
                <w:p>
                  <w:pPr>
                    <w:jc w:val="center"/>
                    <w:rPr>
                      <w:color w:val="auto"/>
                      <w:highlight w:val="none"/>
                      <w:u w:val="none" w:color="auto"/>
                    </w:rPr>
                  </w:pPr>
                  <w:r>
                    <w:rPr>
                      <w:rFonts w:hint="eastAsia"/>
                      <w:color w:val="auto"/>
                      <w:highlight w:val="none"/>
                      <w:u w:val="none" w:color="auto"/>
                      <w:lang w:val="en-US" w:eastAsia="zh-CN"/>
                    </w:rPr>
                    <w:t>二级</w:t>
                  </w:r>
                  <w:r>
                    <w:rPr>
                      <w:rFonts w:hint="eastAsia"/>
                      <w:color w:val="auto"/>
                      <w:highlight w:val="none"/>
                      <w:u w:val="none" w:color="auto"/>
                    </w:rPr>
                    <w:t>活性炭吸附装置处理前、后采样口</w:t>
                  </w:r>
                </w:p>
              </w:tc>
              <w:tc>
                <w:tcPr>
                  <w:tcW w:w="1228" w:type="dxa"/>
                  <w:vAlign w:val="center"/>
                </w:tcPr>
                <w:p>
                  <w:pPr>
                    <w:jc w:val="center"/>
                    <w:rPr>
                      <w:rFonts w:hint="default" w:eastAsia="宋体"/>
                      <w:color w:val="auto"/>
                      <w:highlight w:val="none"/>
                      <w:u w:val="none" w:color="auto"/>
                      <w:lang w:val="en-US" w:eastAsia="zh-CN"/>
                    </w:rPr>
                  </w:pPr>
                  <w:r>
                    <w:rPr>
                      <w:bCs/>
                      <w:color w:val="auto"/>
                      <w:szCs w:val="21"/>
                      <w:highlight w:val="none"/>
                      <w:u w:val="none" w:color="auto"/>
                    </w:rPr>
                    <w:t>颗粒物</w:t>
                  </w:r>
                  <w:r>
                    <w:rPr>
                      <w:rFonts w:hint="eastAsia"/>
                      <w:bCs/>
                      <w:color w:val="auto"/>
                      <w:szCs w:val="21"/>
                      <w:highlight w:val="none"/>
                      <w:u w:val="none" w:color="auto"/>
                      <w:lang w:eastAsia="zh-CN"/>
                    </w:rPr>
                    <w:t>、</w:t>
                  </w:r>
                  <w:r>
                    <w:rPr>
                      <w:rFonts w:hint="eastAsia"/>
                      <w:bCs/>
                      <w:color w:val="auto"/>
                      <w:szCs w:val="21"/>
                      <w:highlight w:val="none"/>
                      <w:u w:val="none" w:color="auto"/>
                    </w:rPr>
                    <w:t>非甲烷总烃</w:t>
                  </w:r>
                  <w:r>
                    <w:rPr>
                      <w:rFonts w:hint="eastAsia"/>
                      <w:bCs/>
                      <w:color w:val="auto"/>
                      <w:szCs w:val="21"/>
                      <w:highlight w:val="none"/>
                      <w:u w:val="none" w:color="auto"/>
                      <w:lang w:eastAsia="zh-CN"/>
                    </w:rPr>
                    <w:t>、二甲苯</w:t>
                  </w:r>
                </w:p>
              </w:tc>
              <w:tc>
                <w:tcPr>
                  <w:tcW w:w="686" w:type="dxa"/>
                  <w:vAlign w:val="center"/>
                </w:tcPr>
                <w:p>
                  <w:pPr>
                    <w:jc w:val="center"/>
                    <w:rPr>
                      <w:color w:val="auto"/>
                      <w:highlight w:val="none"/>
                      <w:u w:val="none" w:color="auto"/>
                    </w:rPr>
                  </w:pPr>
                  <w:r>
                    <w:rPr>
                      <w:rFonts w:hint="eastAsia"/>
                      <w:color w:val="auto"/>
                      <w:highlight w:val="none"/>
                      <w:u w:val="none" w:color="auto"/>
                    </w:rPr>
                    <w:t>年/次</w:t>
                  </w:r>
                </w:p>
              </w:tc>
              <w:tc>
                <w:tcPr>
                  <w:tcW w:w="3213" w:type="dxa"/>
                  <w:vAlign w:val="center"/>
                </w:tcPr>
                <w:p>
                  <w:pPr>
                    <w:jc w:val="center"/>
                    <w:rPr>
                      <w:color w:val="auto"/>
                      <w:highlight w:val="none"/>
                      <w:u w:val="none" w:color="auto"/>
                    </w:rPr>
                  </w:pPr>
                  <w:r>
                    <w:rPr>
                      <w:rFonts w:hint="eastAsia" w:ascii="Times New Roman" w:hAnsi="Times New Roman" w:eastAsia="宋体" w:cs="Times New Roman"/>
                      <w:color w:val="auto"/>
                      <w:highlight w:val="none"/>
                      <w:u w:val="none" w:color="auto"/>
                    </w:rPr>
                    <w:t>《大气污染物综合排放标准》(GB16297- 1996)中表2新污染源大气污染物排放限值要求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pPr>
                    <w:jc w:val="center"/>
                    <w:rPr>
                      <w:color w:val="auto"/>
                      <w:highlight w:val="none"/>
                      <w:u w:val="none" w:color="auto"/>
                    </w:rPr>
                  </w:pPr>
                  <w:r>
                    <w:rPr>
                      <w:rFonts w:hint="eastAsia"/>
                      <w:color w:val="auto"/>
                      <w:highlight w:val="none"/>
                      <w:u w:val="none" w:color="auto"/>
                    </w:rPr>
                    <w:t>无组织废气</w:t>
                  </w:r>
                </w:p>
              </w:tc>
              <w:tc>
                <w:tcPr>
                  <w:tcW w:w="701" w:type="dxa"/>
                  <w:vAlign w:val="center"/>
                </w:tcPr>
                <w:p>
                  <w:pPr>
                    <w:jc w:val="center"/>
                    <w:rPr>
                      <w:color w:val="auto"/>
                      <w:highlight w:val="none"/>
                      <w:u w:val="none" w:color="auto"/>
                    </w:rPr>
                  </w:pPr>
                  <w:r>
                    <w:rPr>
                      <w:rFonts w:hint="eastAsia"/>
                      <w:color w:val="auto"/>
                      <w:highlight w:val="none"/>
                      <w:u w:val="none" w:color="auto"/>
                    </w:rPr>
                    <w:t>项目厂界</w:t>
                  </w:r>
                </w:p>
              </w:tc>
              <w:tc>
                <w:tcPr>
                  <w:tcW w:w="1509" w:type="dxa"/>
                  <w:vAlign w:val="center"/>
                </w:tcPr>
                <w:p>
                  <w:pPr>
                    <w:jc w:val="center"/>
                    <w:rPr>
                      <w:color w:val="auto"/>
                      <w:highlight w:val="none"/>
                      <w:u w:val="none" w:color="auto"/>
                    </w:rPr>
                  </w:pPr>
                  <w:r>
                    <w:rPr>
                      <w:rFonts w:hint="eastAsia"/>
                      <w:color w:val="auto"/>
                      <w:highlight w:val="none"/>
                      <w:u w:val="none" w:color="auto"/>
                    </w:rPr>
                    <w:t>厂界地上风向合理范围内设1个参照点、下风向合理范围设2个监控点，共设3个监控点</w:t>
                  </w:r>
                </w:p>
              </w:tc>
              <w:tc>
                <w:tcPr>
                  <w:tcW w:w="1228" w:type="dxa"/>
                  <w:vAlign w:val="center"/>
                </w:tcPr>
                <w:p>
                  <w:pPr>
                    <w:jc w:val="center"/>
                    <w:rPr>
                      <w:rFonts w:hint="default" w:ascii="Times New Roman" w:hAnsi="Times New Roman" w:eastAsia="宋体" w:cs="Times New Roman"/>
                      <w:color w:val="auto"/>
                      <w:highlight w:val="none"/>
                      <w:u w:val="none" w:color="auto"/>
                      <w:lang w:val="en-US"/>
                    </w:rPr>
                  </w:pPr>
                  <w:r>
                    <w:rPr>
                      <w:rFonts w:hint="eastAsia" w:ascii="Times New Roman" w:hAnsi="Times New Roman" w:eastAsia="宋体" w:cs="Times New Roman"/>
                      <w:bCs/>
                      <w:color w:val="auto"/>
                      <w:szCs w:val="21"/>
                      <w:highlight w:val="none"/>
                      <w:u w:val="none" w:color="auto"/>
                    </w:rPr>
                    <w:t>颗粒物</w:t>
                  </w:r>
                  <w:r>
                    <w:rPr>
                      <w:rFonts w:hint="eastAsia" w:ascii="Times New Roman" w:hAnsi="Times New Roman" w:eastAsia="宋体" w:cs="Times New Roman"/>
                      <w:bCs/>
                      <w:color w:val="auto"/>
                      <w:szCs w:val="21"/>
                      <w:highlight w:val="none"/>
                      <w:u w:val="none" w:color="auto"/>
                      <w:lang w:eastAsia="zh-CN"/>
                    </w:rPr>
                    <w:t>、</w:t>
                  </w:r>
                  <w:r>
                    <w:rPr>
                      <w:rFonts w:hint="eastAsia" w:ascii="Times New Roman" w:hAnsi="Times New Roman" w:eastAsia="宋体" w:cs="Times New Roman"/>
                      <w:bCs/>
                      <w:color w:val="auto"/>
                      <w:szCs w:val="21"/>
                      <w:highlight w:val="none"/>
                      <w:u w:val="none" w:color="auto"/>
                    </w:rPr>
                    <w:t>非甲烷总烃</w:t>
                  </w:r>
                  <w:r>
                    <w:rPr>
                      <w:rFonts w:hint="eastAsia" w:ascii="Times New Roman" w:hAnsi="Times New Roman" w:eastAsia="宋体" w:cs="Times New Roman"/>
                      <w:bCs/>
                      <w:color w:val="auto"/>
                      <w:szCs w:val="21"/>
                      <w:highlight w:val="none"/>
                      <w:u w:val="none" w:color="auto"/>
                      <w:lang w:eastAsia="zh-CN"/>
                    </w:rPr>
                    <w:t>、二甲苯、</w:t>
                  </w:r>
                  <w:r>
                    <w:rPr>
                      <w:rFonts w:hint="eastAsia" w:ascii="Times New Roman" w:hAnsi="Times New Roman" w:eastAsia="宋体" w:cs="Times New Roman"/>
                      <w:bCs/>
                      <w:color w:val="auto"/>
                      <w:szCs w:val="21"/>
                      <w:highlight w:val="none"/>
                      <w:u w:val="none" w:color="auto"/>
                      <w:lang w:val="en-US" w:eastAsia="zh-CN"/>
                    </w:rPr>
                    <w:t>臭气浓度</w:t>
                  </w:r>
                </w:p>
              </w:tc>
              <w:tc>
                <w:tcPr>
                  <w:tcW w:w="686" w:type="dxa"/>
                  <w:vAlign w:val="center"/>
                </w:tcPr>
                <w:p>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年/次</w:t>
                  </w:r>
                </w:p>
              </w:tc>
              <w:tc>
                <w:tcPr>
                  <w:tcW w:w="3213" w:type="dxa"/>
                  <w:vAlign w:val="center"/>
                </w:tcPr>
                <w:p>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lang w:val="en-US" w:eastAsia="zh-CN"/>
                    </w:rPr>
                    <w:t>非甲烷总烃</w:t>
                  </w:r>
                  <w:r>
                    <w:rPr>
                      <w:rFonts w:hint="eastAsia" w:ascii="Times New Roman" w:hAnsi="Times New Roman" w:eastAsia="宋体" w:cs="Times New Roman"/>
                      <w:color w:val="auto"/>
                      <w:highlight w:val="none"/>
                      <w:u w:val="none" w:color="auto"/>
                      <w:lang w:eastAsia="zh-CN"/>
                    </w:rPr>
                    <w:t>、</w:t>
                  </w:r>
                  <w:r>
                    <w:rPr>
                      <w:rFonts w:hint="eastAsia" w:ascii="Times New Roman" w:hAnsi="Times New Roman" w:eastAsia="宋体" w:cs="Times New Roman"/>
                      <w:color w:val="auto"/>
                      <w:highlight w:val="none"/>
                      <w:u w:val="none" w:color="auto"/>
                      <w:lang w:val="en-US" w:eastAsia="zh-CN"/>
                    </w:rPr>
                    <w:t>二甲苯、颗粒物</w:t>
                  </w:r>
                  <w:r>
                    <w:rPr>
                      <w:rFonts w:hint="eastAsia" w:ascii="Times New Roman" w:hAnsi="Times New Roman" w:eastAsia="宋体" w:cs="Times New Roman"/>
                      <w:color w:val="auto"/>
                      <w:highlight w:val="none"/>
                      <w:u w:val="none" w:color="auto"/>
                    </w:rPr>
                    <w:t>执行</w:t>
                  </w:r>
                  <w:r>
                    <w:rPr>
                      <w:rFonts w:hint="default" w:ascii="Times New Roman" w:hAnsi="Times New Roman" w:eastAsia="宋体" w:cs="Times New Roman"/>
                      <w:color w:val="auto"/>
                      <w:highlight w:val="none"/>
                      <w:u w:val="none" w:color="auto"/>
                    </w:rPr>
                    <w:t>《</w:t>
                  </w:r>
                  <w:r>
                    <w:rPr>
                      <w:rFonts w:hint="default" w:ascii="Times New Roman" w:hAnsi="Times New Roman" w:eastAsia="宋体" w:cs="Times New Roman"/>
                      <w:color w:val="auto"/>
                      <w:highlight w:val="none"/>
                      <w:u w:val="none" w:color="auto"/>
                      <w:lang w:eastAsia="zh-CN"/>
                    </w:rPr>
                    <w:t>大气污染物综合排放标准</w:t>
                  </w:r>
                  <w:r>
                    <w:rPr>
                      <w:rFonts w:hint="default" w:ascii="Times New Roman" w:hAnsi="Times New Roman" w:eastAsia="宋体" w:cs="Times New Roman"/>
                      <w:color w:val="auto"/>
                      <w:highlight w:val="none"/>
                      <w:u w:val="none" w:color="auto"/>
                    </w:rPr>
                    <w:t>》</w:t>
                  </w:r>
                  <w:r>
                    <w:rPr>
                      <w:rFonts w:hint="eastAsia" w:ascii="Times New Roman" w:hAnsi="Times New Roman" w:eastAsia="宋体" w:cs="Times New Roman"/>
                      <w:color w:val="auto"/>
                      <w:highlight w:val="none"/>
                      <w:u w:val="none" w:color="auto"/>
                      <w:lang w:eastAsia="zh-CN"/>
                    </w:rPr>
                    <w:t>（</w:t>
                  </w:r>
                  <w:r>
                    <w:rPr>
                      <w:rFonts w:hint="default" w:ascii="Times New Roman" w:hAnsi="Times New Roman" w:eastAsia="宋体" w:cs="Times New Roman"/>
                      <w:color w:val="auto"/>
                      <w:highlight w:val="none"/>
                      <w:u w:val="none" w:color="auto"/>
                    </w:rPr>
                    <w:t>GB</w:t>
                  </w:r>
                  <w:r>
                    <w:rPr>
                      <w:rFonts w:hint="default" w:ascii="Times New Roman" w:hAnsi="Times New Roman" w:eastAsia="宋体" w:cs="Times New Roman"/>
                      <w:color w:val="auto"/>
                      <w:highlight w:val="none"/>
                      <w:u w:val="none" w:color="auto"/>
                      <w:lang w:val="en-US" w:eastAsia="zh-CN"/>
                    </w:rPr>
                    <w:t>16297-1996</w:t>
                  </w:r>
                  <w:r>
                    <w:rPr>
                      <w:rFonts w:hint="eastAsia" w:ascii="Times New Roman" w:hAnsi="Times New Roman" w:eastAsia="宋体" w:cs="Times New Roman"/>
                      <w:color w:val="auto"/>
                      <w:highlight w:val="none"/>
                      <w:u w:val="none" w:color="auto"/>
                      <w:lang w:eastAsia="zh-CN"/>
                    </w:rPr>
                    <w:t>）</w:t>
                  </w:r>
                  <w:r>
                    <w:rPr>
                      <w:rFonts w:hint="eastAsia" w:ascii="Times New Roman" w:hAnsi="Times New Roman" w:eastAsia="宋体" w:cs="Times New Roman"/>
                      <w:color w:val="auto"/>
                      <w:highlight w:val="none"/>
                      <w:u w:val="none" w:color="auto"/>
                      <w:lang w:val="en-US" w:eastAsia="zh-CN"/>
                    </w:rPr>
                    <w:t>表2无组织排放监控浓度限值，臭气浓度</w:t>
                  </w:r>
                  <w:r>
                    <w:rPr>
                      <w:rFonts w:hint="eastAsia" w:ascii="Times New Roman" w:hAnsi="Times New Roman" w:eastAsia="宋体" w:cs="Times New Roman"/>
                      <w:color w:val="auto"/>
                      <w:highlight w:val="none"/>
                      <w:u w:val="none" w:color="auto"/>
                    </w:rPr>
                    <w:t>执行《恶臭污染物排放标准》（GB14554-93）标准</w:t>
                  </w:r>
                </w:p>
              </w:tc>
            </w:tr>
          </w:tbl>
          <w:p>
            <w:pPr>
              <w:tabs>
                <w:tab w:val="center" w:pos="4758"/>
              </w:tabs>
              <w:spacing w:line="360" w:lineRule="auto"/>
              <w:ind w:firstLine="482" w:firstLineChars="200"/>
              <w:rPr>
                <w:rFonts w:hAnsi="宋体"/>
                <w:b/>
                <w:bCs/>
                <w:color w:val="auto"/>
                <w:sz w:val="24"/>
                <w:highlight w:val="none"/>
                <w:u w:val="none" w:color="auto"/>
              </w:rPr>
            </w:pPr>
            <w:r>
              <w:rPr>
                <w:rFonts w:hint="eastAsia" w:hAnsi="宋体"/>
                <w:b/>
                <w:bCs/>
                <w:color w:val="auto"/>
                <w:sz w:val="24"/>
                <w:highlight w:val="none"/>
                <w:u w:val="none" w:color="auto"/>
              </w:rPr>
              <w:t>2、废水</w:t>
            </w:r>
          </w:p>
          <w:p>
            <w:pPr>
              <w:tabs>
                <w:tab w:val="center" w:pos="4758"/>
              </w:tabs>
              <w:spacing w:line="360" w:lineRule="auto"/>
              <w:ind w:firstLine="482" w:firstLineChars="200"/>
              <w:rPr>
                <w:rFonts w:hAnsi="宋体"/>
                <w:b/>
                <w:bCs/>
                <w:color w:val="auto"/>
                <w:sz w:val="24"/>
                <w:highlight w:val="none"/>
                <w:u w:val="none" w:color="auto"/>
              </w:rPr>
            </w:pPr>
            <w:r>
              <w:rPr>
                <w:rFonts w:hint="eastAsia" w:hAnsi="宋体"/>
                <w:b/>
                <w:bCs/>
                <w:color w:val="auto"/>
                <w:sz w:val="24"/>
                <w:highlight w:val="none"/>
                <w:u w:val="none" w:color="auto"/>
              </w:rPr>
              <w:t>（1）废水源强分析</w:t>
            </w:r>
          </w:p>
          <w:p>
            <w:pPr>
              <w:tabs>
                <w:tab w:val="center" w:pos="4758"/>
              </w:tabs>
              <w:spacing w:line="360" w:lineRule="auto"/>
              <w:ind w:firstLine="480" w:firstLineChars="200"/>
              <w:rPr>
                <w:rFonts w:hAnsi="宋体"/>
                <w:color w:val="auto"/>
                <w:sz w:val="24"/>
                <w:highlight w:val="none"/>
                <w:u w:val="none" w:color="auto"/>
              </w:rPr>
            </w:pPr>
            <w:r>
              <w:rPr>
                <w:rFonts w:hint="eastAsia" w:hAnsi="宋体"/>
                <w:color w:val="auto"/>
                <w:sz w:val="24"/>
                <w:highlight w:val="none"/>
                <w:u w:val="none" w:color="auto"/>
              </w:rPr>
              <w:t>本项目废水主要为生活污水。</w:t>
            </w:r>
          </w:p>
          <w:p>
            <w:pPr>
              <w:tabs>
                <w:tab w:val="center" w:pos="4758"/>
              </w:tabs>
              <w:spacing w:line="360" w:lineRule="auto"/>
              <w:ind w:firstLine="480" w:firstLineChars="200"/>
              <w:rPr>
                <w:color w:val="auto"/>
                <w:sz w:val="24"/>
                <w:highlight w:val="none"/>
                <w:u w:val="none" w:color="auto"/>
              </w:rPr>
            </w:pPr>
            <w:r>
              <w:rPr>
                <w:rFonts w:hint="eastAsia" w:hAnsi="宋体"/>
                <w:color w:val="auto"/>
                <w:sz w:val="24"/>
                <w:highlight w:val="none"/>
                <w:u w:val="none" w:color="auto"/>
              </w:rPr>
              <w:t>1）</w:t>
            </w:r>
            <w:r>
              <w:rPr>
                <w:rFonts w:hAnsi="宋体"/>
                <w:color w:val="auto"/>
                <w:sz w:val="24"/>
                <w:highlight w:val="none"/>
                <w:u w:val="none" w:color="auto"/>
              </w:rPr>
              <w:t>生活用水</w:t>
            </w:r>
          </w:p>
          <w:p>
            <w:pPr>
              <w:tabs>
                <w:tab w:val="center" w:pos="4758"/>
              </w:tabs>
              <w:spacing w:line="360" w:lineRule="auto"/>
              <w:ind w:firstLine="480" w:firstLineChars="200"/>
              <w:rPr>
                <w:rFonts w:hAnsi="宋体"/>
                <w:color w:val="auto"/>
                <w:sz w:val="24"/>
                <w:highlight w:val="none"/>
                <w:u w:val="none" w:color="auto"/>
              </w:rPr>
            </w:pPr>
            <w:r>
              <w:rPr>
                <w:color w:val="auto"/>
                <w:sz w:val="24"/>
                <w:highlight w:val="none"/>
                <w:u w:val="none" w:color="auto"/>
              </w:rPr>
              <w:t>本项目</w:t>
            </w:r>
            <w:r>
              <w:rPr>
                <w:rFonts w:hint="eastAsia"/>
                <w:color w:val="auto"/>
                <w:sz w:val="24"/>
                <w:highlight w:val="none"/>
                <w:u w:val="none" w:color="auto"/>
              </w:rPr>
              <w:t>厂区</w:t>
            </w:r>
            <w:r>
              <w:rPr>
                <w:color w:val="auto"/>
                <w:sz w:val="24"/>
                <w:highlight w:val="none"/>
                <w:u w:val="none" w:color="auto"/>
              </w:rPr>
              <w:t>员工人数为</w:t>
            </w:r>
            <w:r>
              <w:rPr>
                <w:rFonts w:hint="eastAsia"/>
                <w:color w:val="auto"/>
                <w:sz w:val="24"/>
                <w:highlight w:val="none"/>
                <w:u w:val="none" w:color="auto"/>
                <w:lang w:val="en-US" w:eastAsia="zh-CN"/>
              </w:rPr>
              <w:t>30</w:t>
            </w:r>
            <w:r>
              <w:rPr>
                <w:color w:val="auto"/>
                <w:sz w:val="24"/>
                <w:highlight w:val="none"/>
                <w:u w:val="none" w:color="auto"/>
              </w:rPr>
              <w:t>人，年工作</w:t>
            </w:r>
            <w:r>
              <w:rPr>
                <w:rFonts w:hint="eastAsia"/>
                <w:color w:val="auto"/>
                <w:sz w:val="24"/>
                <w:highlight w:val="none"/>
                <w:u w:val="none" w:color="auto"/>
              </w:rPr>
              <w:t>3</w:t>
            </w:r>
            <w:r>
              <w:rPr>
                <w:rFonts w:hint="eastAsia"/>
                <w:color w:val="auto"/>
                <w:sz w:val="24"/>
                <w:highlight w:val="none"/>
                <w:u w:val="none" w:color="auto"/>
                <w:lang w:val="en-US" w:eastAsia="zh-CN"/>
              </w:rPr>
              <w:t>00</w:t>
            </w:r>
            <w:r>
              <w:rPr>
                <w:color w:val="auto"/>
                <w:sz w:val="24"/>
                <w:highlight w:val="none"/>
                <w:u w:val="none" w:color="auto"/>
              </w:rPr>
              <w:t>天，</w:t>
            </w:r>
            <w:r>
              <w:rPr>
                <w:rFonts w:hint="eastAsia"/>
                <w:color w:val="auto"/>
                <w:sz w:val="24"/>
                <w:highlight w:val="none"/>
                <w:u w:val="none" w:color="auto"/>
                <w:lang w:val="en-US" w:eastAsia="zh-CN"/>
              </w:rPr>
              <w:t>均不</w:t>
            </w:r>
            <w:r>
              <w:rPr>
                <w:rFonts w:hint="eastAsia" w:ascii="宋体" w:hAnsi="宋体" w:cs="宋体"/>
                <w:color w:val="auto"/>
                <w:sz w:val="24"/>
                <w:szCs w:val="24"/>
                <w:highlight w:val="none"/>
                <w:u w:val="none" w:color="auto"/>
              </w:rPr>
              <w:t>在</w:t>
            </w:r>
            <w:r>
              <w:rPr>
                <w:rFonts w:hint="eastAsia" w:ascii="宋体" w:hAnsi="宋体" w:cs="宋体"/>
                <w:color w:val="auto"/>
                <w:sz w:val="24"/>
                <w:szCs w:val="24"/>
                <w:highlight w:val="none"/>
                <w:u w:val="none" w:color="auto"/>
                <w:lang w:val="en-US" w:eastAsia="zh-CN"/>
              </w:rPr>
              <w:t>厂区内食宿</w:t>
            </w:r>
            <w:r>
              <w:rPr>
                <w:color w:val="auto"/>
                <w:sz w:val="24"/>
                <w:highlight w:val="none"/>
                <w:u w:val="none" w:color="auto"/>
              </w:rPr>
              <w:t>，参照《湖南省地方标准用水定额》(DB43/T388-20</w:t>
            </w:r>
            <w:r>
              <w:rPr>
                <w:rFonts w:hint="eastAsia"/>
                <w:color w:val="auto"/>
                <w:sz w:val="24"/>
                <w:highlight w:val="none"/>
                <w:u w:val="none" w:color="auto"/>
              </w:rPr>
              <w:t>20</w:t>
            </w:r>
            <w:r>
              <w:rPr>
                <w:color w:val="auto"/>
                <w:sz w:val="24"/>
                <w:highlight w:val="none"/>
                <w:u w:val="none" w:color="auto"/>
              </w:rPr>
              <w:t>)及类比，</w:t>
            </w:r>
            <w:r>
              <w:rPr>
                <w:rFonts w:hint="eastAsia" w:ascii="宋体" w:hAnsi="宋体" w:cs="宋体"/>
                <w:color w:val="auto"/>
                <w:sz w:val="24"/>
                <w:highlight w:val="none"/>
                <w:u w:val="none" w:color="auto"/>
              </w:rPr>
              <w:t>不在厂区住宿员工用水量以45</w:t>
            </w:r>
            <w:r>
              <w:rPr>
                <w:color w:val="auto"/>
                <w:sz w:val="24"/>
                <w:highlight w:val="none"/>
                <w:u w:val="none" w:color="auto"/>
              </w:rPr>
              <w:t>L/d•</w:t>
            </w:r>
            <w:r>
              <w:rPr>
                <w:rFonts w:hint="eastAsia" w:ascii="宋体" w:hAnsi="宋体" w:cs="宋体"/>
                <w:color w:val="auto"/>
                <w:sz w:val="24"/>
                <w:highlight w:val="none"/>
                <w:u w:val="none" w:color="auto"/>
              </w:rPr>
              <w:t>人计，</w:t>
            </w:r>
            <w:r>
              <w:rPr>
                <w:color w:val="auto"/>
                <w:sz w:val="24"/>
                <w:highlight w:val="none"/>
                <w:u w:val="none" w:color="auto"/>
              </w:rPr>
              <w:t>则生活用水量为</w:t>
            </w:r>
            <w:r>
              <w:rPr>
                <w:rFonts w:hint="eastAsia"/>
                <w:color w:val="auto"/>
                <w:sz w:val="24"/>
                <w:highlight w:val="none"/>
                <w:u w:val="none" w:color="auto"/>
                <w:lang w:val="en-US" w:eastAsia="zh-CN"/>
              </w:rPr>
              <w:t>405</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1.35</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/d），排水量按用水量的</w:t>
            </w:r>
            <w:r>
              <w:rPr>
                <w:rFonts w:hint="eastAsia"/>
                <w:color w:val="auto"/>
                <w:sz w:val="24"/>
                <w:highlight w:val="none"/>
                <w:u w:val="none" w:color="auto"/>
              </w:rPr>
              <w:t>85</w:t>
            </w:r>
            <w:r>
              <w:rPr>
                <w:color w:val="auto"/>
                <w:sz w:val="24"/>
                <w:highlight w:val="none"/>
                <w:u w:val="none" w:color="auto"/>
              </w:rPr>
              <w:t>%计，则本项目排水量为</w:t>
            </w:r>
            <w:r>
              <w:rPr>
                <w:rFonts w:hint="eastAsia"/>
                <w:color w:val="auto"/>
                <w:sz w:val="24"/>
                <w:highlight w:val="none"/>
                <w:u w:val="none" w:color="auto"/>
                <w:lang w:val="en-US" w:eastAsia="zh-CN"/>
              </w:rPr>
              <w:t>344.25</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1.147</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w:t>
            </w:r>
            <w:r>
              <w:rPr>
                <w:rFonts w:hint="eastAsia"/>
                <w:color w:val="auto"/>
                <w:sz w:val="24"/>
                <w:highlight w:val="none"/>
                <w:u w:val="none" w:color="auto"/>
              </w:rPr>
              <w:t>主要污染物为CODcr350</w:t>
            </w:r>
            <w:r>
              <w:rPr>
                <w:color w:val="auto"/>
                <w:sz w:val="24"/>
                <w:highlight w:val="none"/>
                <w:u w:val="none" w:color="auto"/>
              </w:rPr>
              <w:t>mg/L</w:t>
            </w:r>
            <w:r>
              <w:rPr>
                <w:rFonts w:hint="eastAsia"/>
                <w:color w:val="auto"/>
                <w:sz w:val="24"/>
                <w:highlight w:val="none"/>
                <w:u w:val="none" w:color="auto"/>
              </w:rPr>
              <w:t>、总氮40</w:t>
            </w:r>
            <w:r>
              <w:rPr>
                <w:color w:val="auto"/>
                <w:sz w:val="24"/>
                <w:highlight w:val="none"/>
                <w:u w:val="none" w:color="auto"/>
              </w:rPr>
              <w:t>mg/L</w:t>
            </w:r>
            <w:r>
              <w:rPr>
                <w:rFonts w:hint="eastAsia"/>
                <w:color w:val="auto"/>
                <w:sz w:val="24"/>
                <w:highlight w:val="none"/>
                <w:u w:val="none" w:color="auto"/>
              </w:rPr>
              <w:t>、总磷3.0</w:t>
            </w:r>
            <w:r>
              <w:rPr>
                <w:color w:val="auto"/>
                <w:sz w:val="24"/>
                <w:highlight w:val="none"/>
                <w:u w:val="none" w:color="auto"/>
              </w:rPr>
              <w:t>mg/L</w:t>
            </w:r>
            <w:r>
              <w:rPr>
                <w:rFonts w:hint="eastAsia"/>
                <w:color w:val="auto"/>
                <w:sz w:val="24"/>
                <w:highlight w:val="none"/>
                <w:u w:val="none" w:color="auto"/>
              </w:rPr>
              <w:t>、SS250</w:t>
            </w:r>
            <w:r>
              <w:rPr>
                <w:color w:val="auto"/>
                <w:sz w:val="24"/>
                <w:highlight w:val="none"/>
                <w:u w:val="none" w:color="auto"/>
              </w:rPr>
              <w:t>mg</w:t>
            </w:r>
            <w:r>
              <w:rPr>
                <w:rFonts w:hint="eastAsia" w:hAnsi="宋体"/>
                <w:color w:val="auto"/>
                <w:sz w:val="24"/>
                <w:highlight w:val="none"/>
                <w:u w:val="none" w:color="auto"/>
              </w:rPr>
              <w:t>/L、氨氮25mg/L等。</w:t>
            </w:r>
          </w:p>
          <w:p>
            <w:pPr>
              <w:widowControl/>
              <w:ind w:firstLine="413" w:firstLineChars="196"/>
              <w:jc w:val="center"/>
              <w:rPr>
                <w:b/>
                <w:color w:val="auto"/>
                <w:highlight w:val="none"/>
                <w:u w:val="none" w:color="auto"/>
              </w:rPr>
            </w:pPr>
            <w:r>
              <w:rPr>
                <w:b/>
                <w:color w:val="auto"/>
                <w:highlight w:val="none"/>
                <w:u w:val="none" w:color="auto"/>
              </w:rPr>
              <w:t>表</w:t>
            </w:r>
            <w:r>
              <w:rPr>
                <w:rFonts w:hint="eastAsia"/>
                <w:b/>
                <w:color w:val="auto"/>
                <w:highlight w:val="none"/>
                <w:u w:val="none" w:color="auto"/>
              </w:rPr>
              <w:t>4-</w:t>
            </w:r>
            <w:r>
              <w:rPr>
                <w:rFonts w:hint="eastAsia"/>
                <w:b/>
                <w:color w:val="auto"/>
                <w:highlight w:val="none"/>
                <w:u w:val="none" w:color="auto"/>
                <w:lang w:val="en-US" w:eastAsia="zh-CN"/>
              </w:rPr>
              <w:t>5</w:t>
            </w:r>
            <w:r>
              <w:rPr>
                <w:rFonts w:hint="eastAsia"/>
                <w:b/>
                <w:color w:val="auto"/>
                <w:highlight w:val="none"/>
                <w:u w:val="none" w:color="auto"/>
              </w:rPr>
              <w:t xml:space="preserve"> </w:t>
            </w:r>
            <w:r>
              <w:rPr>
                <w:b/>
                <w:color w:val="auto"/>
                <w:highlight w:val="none"/>
                <w:u w:val="none" w:color="auto"/>
              </w:rPr>
              <w:t xml:space="preserve">   本项目废水产生、消减及排放情况</w:t>
            </w:r>
          </w:p>
          <w:tbl>
            <w:tblPr>
              <w:tblStyle w:val="26"/>
              <w:tblW w:w="49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50"/>
              <w:gridCol w:w="581"/>
              <w:gridCol w:w="714"/>
              <w:gridCol w:w="685"/>
              <w:gridCol w:w="602"/>
              <w:gridCol w:w="546"/>
              <w:gridCol w:w="684"/>
              <w:gridCol w:w="683"/>
              <w:gridCol w:w="691"/>
              <w:gridCol w:w="488"/>
              <w:gridCol w:w="357"/>
              <w:gridCol w:w="703"/>
              <w:gridCol w:w="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218"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序号</w:t>
                  </w:r>
                </w:p>
              </w:tc>
              <w:tc>
                <w:tcPr>
                  <w:tcW w:w="363"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产排污环节</w:t>
                  </w:r>
                </w:p>
              </w:tc>
              <w:tc>
                <w:tcPr>
                  <w:tcW w:w="446"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污染物种类</w:t>
                  </w:r>
                </w:p>
              </w:tc>
              <w:tc>
                <w:tcPr>
                  <w:tcW w:w="804" w:type="pct"/>
                  <w:gridSpan w:val="2"/>
                  <w:noWrap/>
                  <w:vAlign w:val="center"/>
                </w:tcPr>
                <w:p>
                  <w:pPr>
                    <w:pStyle w:val="38"/>
                    <w:rPr>
                      <w:color w:val="auto"/>
                      <w:sz w:val="21"/>
                      <w:szCs w:val="21"/>
                      <w:highlight w:val="none"/>
                      <w:u w:val="none" w:color="auto"/>
                    </w:rPr>
                  </w:pPr>
                  <w:r>
                    <w:rPr>
                      <w:rFonts w:hint="eastAsia"/>
                      <w:color w:val="auto"/>
                      <w:sz w:val="21"/>
                      <w:szCs w:val="21"/>
                      <w:highlight w:val="none"/>
                      <w:u w:val="none" w:color="auto"/>
                    </w:rPr>
                    <w:t>污染物产生情况</w:t>
                  </w:r>
                </w:p>
              </w:tc>
              <w:tc>
                <w:tcPr>
                  <w:tcW w:w="341"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排放形式</w:t>
                  </w:r>
                </w:p>
              </w:tc>
              <w:tc>
                <w:tcPr>
                  <w:tcW w:w="1287" w:type="pct"/>
                  <w:gridSpan w:val="3"/>
                  <w:noWrap/>
                  <w:vAlign w:val="center"/>
                </w:tcPr>
                <w:p>
                  <w:pPr>
                    <w:pStyle w:val="38"/>
                    <w:rPr>
                      <w:color w:val="auto"/>
                      <w:sz w:val="21"/>
                      <w:szCs w:val="21"/>
                      <w:highlight w:val="none"/>
                      <w:u w:val="none" w:color="auto"/>
                    </w:rPr>
                  </w:pPr>
                  <w:r>
                    <w:rPr>
                      <w:rFonts w:hint="eastAsia"/>
                      <w:color w:val="auto"/>
                      <w:sz w:val="21"/>
                      <w:szCs w:val="21"/>
                      <w:highlight w:val="none"/>
                      <w:u w:val="none" w:color="auto"/>
                    </w:rPr>
                    <w:t>污染物排放情况</w:t>
                  </w:r>
                </w:p>
              </w:tc>
              <w:tc>
                <w:tcPr>
                  <w:tcW w:w="1537" w:type="pct"/>
                  <w:gridSpan w:val="4"/>
                  <w:noWrap/>
                  <w:vAlign w:val="center"/>
                </w:tcPr>
                <w:p>
                  <w:pPr>
                    <w:pStyle w:val="38"/>
                    <w:rPr>
                      <w:color w:val="auto"/>
                      <w:sz w:val="21"/>
                      <w:szCs w:val="21"/>
                      <w:highlight w:val="none"/>
                      <w:u w:val="none" w:color="auto"/>
                    </w:rPr>
                  </w:pPr>
                  <w:r>
                    <w:rPr>
                      <w:rFonts w:hint="eastAsia"/>
                      <w:color w:val="auto"/>
                      <w:sz w:val="21"/>
                      <w:szCs w:val="21"/>
                      <w:highlight w:val="none"/>
                      <w:u w:val="none" w:color="auto"/>
                    </w:rPr>
                    <w:t>治理设施情况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218" w:type="pct"/>
                  <w:vMerge w:val="continue"/>
                  <w:noWrap/>
                  <w:vAlign w:val="center"/>
                </w:tcPr>
                <w:p>
                  <w:pPr>
                    <w:pStyle w:val="38"/>
                    <w:rPr>
                      <w:color w:val="auto"/>
                      <w:sz w:val="21"/>
                      <w:szCs w:val="21"/>
                      <w:highlight w:val="none"/>
                      <w:u w:val="none" w:color="auto"/>
                    </w:rPr>
                  </w:pPr>
                </w:p>
              </w:tc>
              <w:tc>
                <w:tcPr>
                  <w:tcW w:w="363" w:type="pct"/>
                  <w:vMerge w:val="continue"/>
                  <w:noWrap/>
                  <w:vAlign w:val="center"/>
                </w:tcPr>
                <w:p>
                  <w:pPr>
                    <w:pStyle w:val="38"/>
                    <w:rPr>
                      <w:color w:val="auto"/>
                      <w:sz w:val="21"/>
                      <w:szCs w:val="21"/>
                      <w:highlight w:val="none"/>
                      <w:u w:val="none" w:color="auto"/>
                    </w:rPr>
                  </w:pPr>
                </w:p>
              </w:tc>
              <w:tc>
                <w:tcPr>
                  <w:tcW w:w="446" w:type="pct"/>
                  <w:vMerge w:val="continue"/>
                  <w:noWrap/>
                  <w:vAlign w:val="center"/>
                </w:tcPr>
                <w:p>
                  <w:pPr>
                    <w:pStyle w:val="38"/>
                    <w:rPr>
                      <w:color w:val="auto"/>
                      <w:sz w:val="21"/>
                      <w:szCs w:val="21"/>
                      <w:highlight w:val="none"/>
                      <w:u w:val="none" w:color="auto"/>
                    </w:rPr>
                  </w:pPr>
                </w:p>
              </w:tc>
              <w:tc>
                <w:tcPr>
                  <w:tcW w:w="428"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产生量t/a</w:t>
                  </w:r>
                </w:p>
              </w:tc>
              <w:tc>
                <w:tcPr>
                  <w:tcW w:w="376"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产生浓度mg/m</w:t>
                  </w:r>
                  <w:r>
                    <w:rPr>
                      <w:rFonts w:hint="eastAsia"/>
                      <w:color w:val="auto"/>
                      <w:sz w:val="21"/>
                      <w:szCs w:val="21"/>
                      <w:highlight w:val="none"/>
                      <w:u w:val="none" w:color="auto"/>
                      <w:vertAlign w:val="superscript"/>
                    </w:rPr>
                    <w:t>3</w:t>
                  </w:r>
                </w:p>
              </w:tc>
              <w:tc>
                <w:tcPr>
                  <w:tcW w:w="341" w:type="pct"/>
                  <w:vMerge w:val="continue"/>
                  <w:vAlign w:val="center"/>
                </w:tcPr>
                <w:p>
                  <w:pPr>
                    <w:pStyle w:val="38"/>
                    <w:rPr>
                      <w:color w:val="auto"/>
                      <w:sz w:val="21"/>
                      <w:szCs w:val="21"/>
                      <w:highlight w:val="none"/>
                      <w:u w:val="none" w:color="auto"/>
                    </w:rPr>
                  </w:pPr>
                </w:p>
              </w:tc>
              <w:tc>
                <w:tcPr>
                  <w:tcW w:w="428"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废水排放量t/a</w:t>
                  </w:r>
                </w:p>
              </w:tc>
              <w:tc>
                <w:tcPr>
                  <w:tcW w:w="427"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污染物排放量t/a</w:t>
                  </w:r>
                </w:p>
              </w:tc>
              <w:tc>
                <w:tcPr>
                  <w:tcW w:w="43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排放浓度mg/m</w:t>
                  </w:r>
                  <w:r>
                    <w:rPr>
                      <w:rFonts w:hint="eastAsia"/>
                      <w:color w:val="auto"/>
                      <w:sz w:val="21"/>
                      <w:szCs w:val="21"/>
                      <w:highlight w:val="none"/>
                      <w:u w:val="none" w:color="auto"/>
                      <w:vertAlign w:val="superscript"/>
                    </w:rPr>
                    <w:t>3</w:t>
                  </w:r>
                </w:p>
              </w:tc>
              <w:tc>
                <w:tcPr>
                  <w:tcW w:w="305"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治理设施</w:t>
                  </w:r>
                </w:p>
              </w:tc>
              <w:tc>
                <w:tcPr>
                  <w:tcW w:w="223"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收集效率</w:t>
                  </w:r>
                </w:p>
              </w:tc>
              <w:tc>
                <w:tcPr>
                  <w:tcW w:w="44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治理工艺去除率</w:t>
                  </w:r>
                </w:p>
              </w:tc>
              <w:tc>
                <w:tcPr>
                  <w:tcW w:w="569"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是否为可行技术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218"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1</w:t>
                  </w:r>
                </w:p>
              </w:tc>
              <w:tc>
                <w:tcPr>
                  <w:tcW w:w="363"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生活污水</w:t>
                  </w:r>
                </w:p>
              </w:tc>
              <w:tc>
                <w:tcPr>
                  <w:tcW w:w="446" w:type="pct"/>
                  <w:noWrap/>
                  <w:vAlign w:val="center"/>
                </w:tcPr>
                <w:p>
                  <w:pPr>
                    <w:adjustRightInd w:val="0"/>
                    <w:snapToGrid w:val="0"/>
                    <w:spacing w:line="320" w:lineRule="exact"/>
                    <w:jc w:val="center"/>
                    <w:rPr>
                      <w:rFonts w:hint="default" w:eastAsia="宋体"/>
                      <w:color w:val="auto"/>
                      <w:sz w:val="21"/>
                      <w:szCs w:val="21"/>
                      <w:highlight w:val="none"/>
                      <w:u w:val="none" w:color="auto"/>
                      <w:lang w:val="en-US" w:eastAsia="zh-CN"/>
                    </w:rPr>
                  </w:pPr>
                  <w:r>
                    <w:rPr>
                      <w:color w:val="auto"/>
                      <w:sz w:val="21"/>
                      <w:szCs w:val="21"/>
                      <w:highlight w:val="none"/>
                      <w:u w:val="none" w:color="auto"/>
                    </w:rPr>
                    <w:t>COD</w:t>
                  </w:r>
                  <w:r>
                    <w:rPr>
                      <w:rFonts w:hint="eastAsia"/>
                      <w:color w:val="auto"/>
                      <w:sz w:val="21"/>
                      <w:szCs w:val="21"/>
                      <w:highlight w:val="none"/>
                      <w:u w:val="none" w:color="auto"/>
                      <w:lang w:val="en-US" w:eastAsia="zh-CN"/>
                    </w:rPr>
                    <w:t>cr</w:t>
                  </w:r>
                </w:p>
              </w:tc>
              <w:tc>
                <w:tcPr>
                  <w:tcW w:w="685" w:type="dxa"/>
                  <w:vAlign w:val="center"/>
                </w:tcPr>
                <w:p>
                  <w:pPr>
                    <w:widowControl/>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0.120 </w:t>
                  </w:r>
                </w:p>
              </w:tc>
              <w:tc>
                <w:tcPr>
                  <w:tcW w:w="376" w:type="pct"/>
                  <w:vAlign w:val="center"/>
                </w:tcPr>
                <w:p>
                  <w:pPr>
                    <w:widowControl/>
                    <w:jc w:val="center"/>
                    <w:rPr>
                      <w:color w:val="auto"/>
                      <w:sz w:val="21"/>
                      <w:szCs w:val="21"/>
                      <w:highlight w:val="none"/>
                      <w:u w:val="none" w:color="auto"/>
                    </w:rPr>
                  </w:pPr>
                  <w:r>
                    <w:rPr>
                      <w:rFonts w:hint="eastAsia"/>
                      <w:color w:val="auto"/>
                      <w:sz w:val="21"/>
                      <w:szCs w:val="21"/>
                      <w:highlight w:val="none"/>
                      <w:u w:val="none" w:color="auto"/>
                    </w:rPr>
                    <w:t>350</w:t>
                  </w:r>
                </w:p>
              </w:tc>
              <w:tc>
                <w:tcPr>
                  <w:tcW w:w="341"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排放</w:t>
                  </w:r>
                </w:p>
              </w:tc>
              <w:tc>
                <w:tcPr>
                  <w:tcW w:w="428" w:type="pct"/>
                  <w:vMerge w:val="restart"/>
                  <w:noWrap/>
                  <w:vAlign w:val="center"/>
                </w:tcPr>
                <w:p>
                  <w:pPr>
                    <w:pStyle w:val="38"/>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344.25</w:t>
                  </w:r>
                </w:p>
              </w:tc>
              <w:tc>
                <w:tcPr>
                  <w:tcW w:w="683" w:type="dxa"/>
                  <w:noWrap/>
                  <w:vAlign w:val="center"/>
                </w:tcPr>
                <w:p>
                  <w:pPr>
                    <w:pStyle w:val="38"/>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0.048 </w:t>
                  </w:r>
                </w:p>
              </w:tc>
              <w:tc>
                <w:tcPr>
                  <w:tcW w:w="43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140</w:t>
                  </w:r>
                </w:p>
              </w:tc>
              <w:tc>
                <w:tcPr>
                  <w:tcW w:w="305"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隔油池+化粪池</w:t>
                  </w:r>
                </w:p>
              </w:tc>
              <w:tc>
                <w:tcPr>
                  <w:tcW w:w="223"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100%</w:t>
                  </w:r>
                </w:p>
              </w:tc>
              <w:tc>
                <w:tcPr>
                  <w:tcW w:w="44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60%</w:t>
                  </w:r>
                </w:p>
              </w:tc>
              <w:tc>
                <w:tcPr>
                  <w:tcW w:w="569" w:type="pct"/>
                  <w:vMerge w:val="restart"/>
                  <w:noWrap/>
                  <w:vAlign w:val="center"/>
                </w:tcPr>
                <w:p>
                  <w:pPr>
                    <w:pStyle w:val="38"/>
                    <w:rPr>
                      <w:color w:val="auto"/>
                      <w:sz w:val="21"/>
                      <w:szCs w:val="21"/>
                      <w:highlight w:val="none"/>
                      <w:u w:val="none" w:color="auto"/>
                    </w:rPr>
                  </w:pPr>
                  <w:r>
                    <w:rPr>
                      <w:rFonts w:hint="eastAsia"/>
                      <w:color w:val="auto"/>
                      <w:sz w:val="21"/>
                      <w:szCs w:val="21"/>
                      <w:highlight w:val="none"/>
                      <w:u w:val="none" w:color="auto"/>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8" w:type="pct"/>
                  <w:vMerge w:val="continue"/>
                  <w:noWrap/>
                  <w:vAlign w:val="center"/>
                </w:tcPr>
                <w:p>
                  <w:pPr>
                    <w:pStyle w:val="38"/>
                    <w:rPr>
                      <w:color w:val="auto"/>
                      <w:sz w:val="21"/>
                      <w:szCs w:val="21"/>
                      <w:highlight w:val="none"/>
                      <w:u w:val="none" w:color="auto"/>
                    </w:rPr>
                  </w:pPr>
                </w:p>
              </w:tc>
              <w:tc>
                <w:tcPr>
                  <w:tcW w:w="363" w:type="pct"/>
                  <w:vMerge w:val="continue"/>
                  <w:noWrap/>
                  <w:vAlign w:val="center"/>
                </w:tcPr>
                <w:p>
                  <w:pPr>
                    <w:pStyle w:val="38"/>
                    <w:rPr>
                      <w:color w:val="auto"/>
                      <w:sz w:val="21"/>
                      <w:szCs w:val="21"/>
                      <w:highlight w:val="none"/>
                      <w:u w:val="none" w:color="auto"/>
                    </w:rPr>
                  </w:pPr>
                </w:p>
              </w:tc>
              <w:tc>
                <w:tcPr>
                  <w:tcW w:w="446" w:type="pct"/>
                  <w:noWrap/>
                  <w:vAlign w:val="center"/>
                </w:tcPr>
                <w:p>
                  <w:pPr>
                    <w:adjustRightInd w:val="0"/>
                    <w:snapToGrid w:val="0"/>
                    <w:spacing w:line="320" w:lineRule="exact"/>
                    <w:jc w:val="center"/>
                    <w:rPr>
                      <w:color w:val="auto"/>
                      <w:sz w:val="21"/>
                      <w:szCs w:val="21"/>
                      <w:highlight w:val="none"/>
                      <w:u w:val="none" w:color="auto"/>
                    </w:rPr>
                  </w:pPr>
                  <w:r>
                    <w:rPr>
                      <w:rFonts w:hint="eastAsia"/>
                      <w:color w:val="auto"/>
                      <w:sz w:val="21"/>
                      <w:szCs w:val="21"/>
                      <w:highlight w:val="none"/>
                      <w:u w:val="none" w:color="auto"/>
                    </w:rPr>
                    <w:t>TN</w:t>
                  </w:r>
                </w:p>
              </w:tc>
              <w:tc>
                <w:tcPr>
                  <w:tcW w:w="685" w:type="dxa"/>
                  <w:noWrap/>
                  <w:vAlign w:val="center"/>
                </w:tcPr>
                <w:p>
                  <w:pPr>
                    <w:widowControl/>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0.014 </w:t>
                  </w:r>
                </w:p>
              </w:tc>
              <w:tc>
                <w:tcPr>
                  <w:tcW w:w="376" w:type="pct"/>
                  <w:noWrap/>
                  <w:vAlign w:val="center"/>
                </w:tcPr>
                <w:p>
                  <w:pPr>
                    <w:widowControl/>
                    <w:jc w:val="center"/>
                    <w:rPr>
                      <w:color w:val="auto"/>
                      <w:sz w:val="21"/>
                      <w:szCs w:val="21"/>
                      <w:highlight w:val="none"/>
                      <w:u w:val="none" w:color="auto"/>
                    </w:rPr>
                  </w:pPr>
                  <w:r>
                    <w:rPr>
                      <w:rFonts w:hint="eastAsia"/>
                      <w:color w:val="auto"/>
                      <w:sz w:val="21"/>
                      <w:szCs w:val="21"/>
                      <w:highlight w:val="none"/>
                      <w:u w:val="none" w:color="auto"/>
                    </w:rPr>
                    <w:t>40</w:t>
                  </w:r>
                </w:p>
              </w:tc>
              <w:tc>
                <w:tcPr>
                  <w:tcW w:w="341" w:type="pct"/>
                  <w:vMerge w:val="continue"/>
                  <w:noWrap/>
                  <w:vAlign w:val="center"/>
                </w:tcPr>
                <w:p>
                  <w:pPr>
                    <w:pStyle w:val="38"/>
                    <w:rPr>
                      <w:color w:val="auto"/>
                      <w:sz w:val="21"/>
                      <w:szCs w:val="21"/>
                      <w:highlight w:val="none"/>
                      <w:u w:val="none" w:color="auto"/>
                    </w:rPr>
                  </w:pPr>
                </w:p>
              </w:tc>
              <w:tc>
                <w:tcPr>
                  <w:tcW w:w="428" w:type="pct"/>
                  <w:vMerge w:val="continue"/>
                  <w:noWrap/>
                  <w:vAlign w:val="center"/>
                </w:tcPr>
                <w:p>
                  <w:pPr>
                    <w:pStyle w:val="38"/>
                    <w:rPr>
                      <w:color w:val="auto"/>
                      <w:sz w:val="21"/>
                      <w:szCs w:val="21"/>
                      <w:highlight w:val="none"/>
                      <w:u w:val="none" w:color="auto"/>
                    </w:rPr>
                  </w:pPr>
                </w:p>
              </w:tc>
              <w:tc>
                <w:tcPr>
                  <w:tcW w:w="683" w:type="dxa"/>
                  <w:noWrap/>
                  <w:vAlign w:val="center"/>
                </w:tcPr>
                <w:p>
                  <w:pPr>
                    <w:pStyle w:val="38"/>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0.009 </w:t>
                  </w:r>
                </w:p>
              </w:tc>
              <w:tc>
                <w:tcPr>
                  <w:tcW w:w="43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25</w:t>
                  </w:r>
                </w:p>
              </w:tc>
              <w:tc>
                <w:tcPr>
                  <w:tcW w:w="305" w:type="pct"/>
                  <w:vMerge w:val="continue"/>
                  <w:noWrap/>
                  <w:vAlign w:val="center"/>
                </w:tcPr>
                <w:p>
                  <w:pPr>
                    <w:pStyle w:val="38"/>
                    <w:rPr>
                      <w:color w:val="auto"/>
                      <w:sz w:val="21"/>
                      <w:szCs w:val="21"/>
                      <w:highlight w:val="none"/>
                      <w:u w:val="none" w:color="auto"/>
                    </w:rPr>
                  </w:pPr>
                </w:p>
              </w:tc>
              <w:tc>
                <w:tcPr>
                  <w:tcW w:w="223" w:type="pct"/>
                  <w:vMerge w:val="continue"/>
                  <w:noWrap/>
                  <w:vAlign w:val="center"/>
                </w:tcPr>
                <w:p>
                  <w:pPr>
                    <w:pStyle w:val="38"/>
                    <w:rPr>
                      <w:color w:val="auto"/>
                      <w:sz w:val="21"/>
                      <w:szCs w:val="21"/>
                      <w:highlight w:val="none"/>
                      <w:u w:val="none" w:color="auto"/>
                    </w:rPr>
                  </w:pPr>
                </w:p>
              </w:tc>
              <w:tc>
                <w:tcPr>
                  <w:tcW w:w="44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37%</w:t>
                  </w:r>
                </w:p>
              </w:tc>
              <w:tc>
                <w:tcPr>
                  <w:tcW w:w="569" w:type="pct"/>
                  <w:vMerge w:val="continue"/>
                  <w:noWrap/>
                  <w:vAlign w:val="center"/>
                </w:tcPr>
                <w:p>
                  <w:pPr>
                    <w:pStyle w:val="38"/>
                    <w:rPr>
                      <w:color w:val="auto"/>
                      <w:sz w:val="21"/>
                      <w:szCs w:val="21"/>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8" w:type="pct"/>
                  <w:vMerge w:val="continue"/>
                  <w:noWrap/>
                  <w:vAlign w:val="center"/>
                </w:tcPr>
                <w:p>
                  <w:pPr>
                    <w:pStyle w:val="38"/>
                    <w:rPr>
                      <w:color w:val="auto"/>
                      <w:sz w:val="21"/>
                      <w:szCs w:val="21"/>
                      <w:highlight w:val="none"/>
                      <w:u w:val="none" w:color="auto"/>
                    </w:rPr>
                  </w:pPr>
                </w:p>
              </w:tc>
              <w:tc>
                <w:tcPr>
                  <w:tcW w:w="363" w:type="pct"/>
                  <w:vMerge w:val="continue"/>
                  <w:noWrap/>
                  <w:vAlign w:val="center"/>
                </w:tcPr>
                <w:p>
                  <w:pPr>
                    <w:pStyle w:val="38"/>
                    <w:rPr>
                      <w:color w:val="auto"/>
                      <w:sz w:val="21"/>
                      <w:szCs w:val="21"/>
                      <w:highlight w:val="none"/>
                      <w:u w:val="none" w:color="auto"/>
                    </w:rPr>
                  </w:pPr>
                </w:p>
              </w:tc>
              <w:tc>
                <w:tcPr>
                  <w:tcW w:w="446" w:type="pct"/>
                  <w:noWrap/>
                  <w:vAlign w:val="center"/>
                </w:tcPr>
                <w:p>
                  <w:pPr>
                    <w:adjustRightInd w:val="0"/>
                    <w:snapToGrid w:val="0"/>
                    <w:spacing w:line="320" w:lineRule="exact"/>
                    <w:jc w:val="center"/>
                    <w:rPr>
                      <w:color w:val="auto"/>
                      <w:sz w:val="21"/>
                      <w:szCs w:val="21"/>
                      <w:highlight w:val="none"/>
                      <w:u w:val="none" w:color="auto"/>
                    </w:rPr>
                  </w:pPr>
                  <w:r>
                    <w:rPr>
                      <w:rFonts w:hint="eastAsia"/>
                      <w:color w:val="auto"/>
                      <w:sz w:val="21"/>
                      <w:szCs w:val="21"/>
                      <w:highlight w:val="none"/>
                      <w:u w:val="none" w:color="auto"/>
                    </w:rPr>
                    <w:t>TP</w:t>
                  </w:r>
                </w:p>
              </w:tc>
              <w:tc>
                <w:tcPr>
                  <w:tcW w:w="685" w:type="dxa"/>
                  <w:noWrap/>
                  <w:vAlign w:val="center"/>
                </w:tcPr>
                <w:p>
                  <w:pPr>
                    <w:widowControl/>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0.001 </w:t>
                  </w:r>
                </w:p>
              </w:tc>
              <w:tc>
                <w:tcPr>
                  <w:tcW w:w="376" w:type="pct"/>
                  <w:noWrap/>
                  <w:vAlign w:val="center"/>
                </w:tcPr>
                <w:p>
                  <w:pPr>
                    <w:widowControl/>
                    <w:jc w:val="center"/>
                    <w:rPr>
                      <w:color w:val="auto"/>
                      <w:sz w:val="21"/>
                      <w:szCs w:val="21"/>
                      <w:highlight w:val="none"/>
                      <w:u w:val="none" w:color="auto"/>
                    </w:rPr>
                  </w:pPr>
                  <w:r>
                    <w:rPr>
                      <w:rFonts w:hint="eastAsia"/>
                      <w:color w:val="auto"/>
                      <w:sz w:val="21"/>
                      <w:szCs w:val="21"/>
                      <w:highlight w:val="none"/>
                      <w:u w:val="none" w:color="auto"/>
                    </w:rPr>
                    <w:t>3.0</w:t>
                  </w:r>
                </w:p>
              </w:tc>
              <w:tc>
                <w:tcPr>
                  <w:tcW w:w="341" w:type="pct"/>
                  <w:vMerge w:val="continue"/>
                  <w:noWrap/>
                  <w:vAlign w:val="center"/>
                </w:tcPr>
                <w:p>
                  <w:pPr>
                    <w:pStyle w:val="38"/>
                    <w:rPr>
                      <w:color w:val="auto"/>
                      <w:sz w:val="21"/>
                      <w:szCs w:val="21"/>
                      <w:highlight w:val="none"/>
                      <w:u w:val="none" w:color="auto"/>
                    </w:rPr>
                  </w:pPr>
                </w:p>
              </w:tc>
              <w:tc>
                <w:tcPr>
                  <w:tcW w:w="428" w:type="pct"/>
                  <w:vMerge w:val="continue"/>
                  <w:noWrap/>
                  <w:vAlign w:val="center"/>
                </w:tcPr>
                <w:p>
                  <w:pPr>
                    <w:pStyle w:val="38"/>
                    <w:rPr>
                      <w:color w:val="auto"/>
                      <w:sz w:val="21"/>
                      <w:szCs w:val="21"/>
                      <w:highlight w:val="none"/>
                      <w:u w:val="none" w:color="auto"/>
                    </w:rPr>
                  </w:pPr>
                </w:p>
              </w:tc>
              <w:tc>
                <w:tcPr>
                  <w:tcW w:w="683" w:type="dxa"/>
                  <w:noWrap/>
                  <w:vAlign w:val="center"/>
                </w:tcPr>
                <w:p>
                  <w:pPr>
                    <w:pStyle w:val="38"/>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0.001 </w:t>
                  </w:r>
                </w:p>
              </w:tc>
              <w:tc>
                <w:tcPr>
                  <w:tcW w:w="43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1.5</w:t>
                  </w:r>
                </w:p>
              </w:tc>
              <w:tc>
                <w:tcPr>
                  <w:tcW w:w="305" w:type="pct"/>
                  <w:vMerge w:val="continue"/>
                  <w:noWrap/>
                  <w:vAlign w:val="center"/>
                </w:tcPr>
                <w:p>
                  <w:pPr>
                    <w:pStyle w:val="38"/>
                    <w:rPr>
                      <w:color w:val="auto"/>
                      <w:sz w:val="21"/>
                      <w:szCs w:val="21"/>
                      <w:highlight w:val="none"/>
                      <w:u w:val="none" w:color="auto"/>
                    </w:rPr>
                  </w:pPr>
                </w:p>
              </w:tc>
              <w:tc>
                <w:tcPr>
                  <w:tcW w:w="223" w:type="pct"/>
                  <w:vMerge w:val="continue"/>
                  <w:noWrap/>
                  <w:vAlign w:val="center"/>
                </w:tcPr>
                <w:p>
                  <w:pPr>
                    <w:pStyle w:val="38"/>
                    <w:rPr>
                      <w:color w:val="auto"/>
                      <w:sz w:val="21"/>
                      <w:szCs w:val="21"/>
                      <w:highlight w:val="none"/>
                      <w:u w:val="none" w:color="auto"/>
                    </w:rPr>
                  </w:pPr>
                </w:p>
              </w:tc>
              <w:tc>
                <w:tcPr>
                  <w:tcW w:w="44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50%</w:t>
                  </w:r>
                </w:p>
              </w:tc>
              <w:tc>
                <w:tcPr>
                  <w:tcW w:w="569" w:type="pct"/>
                  <w:vMerge w:val="continue"/>
                  <w:noWrap/>
                  <w:vAlign w:val="center"/>
                </w:tcPr>
                <w:p>
                  <w:pPr>
                    <w:pStyle w:val="38"/>
                    <w:rPr>
                      <w:color w:val="auto"/>
                      <w:sz w:val="21"/>
                      <w:szCs w:val="21"/>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8" w:type="pct"/>
                  <w:vMerge w:val="continue"/>
                  <w:noWrap/>
                  <w:vAlign w:val="center"/>
                </w:tcPr>
                <w:p>
                  <w:pPr>
                    <w:pStyle w:val="38"/>
                    <w:rPr>
                      <w:color w:val="auto"/>
                      <w:sz w:val="21"/>
                      <w:szCs w:val="21"/>
                      <w:highlight w:val="none"/>
                      <w:u w:val="none" w:color="auto"/>
                    </w:rPr>
                  </w:pPr>
                </w:p>
              </w:tc>
              <w:tc>
                <w:tcPr>
                  <w:tcW w:w="363" w:type="pct"/>
                  <w:vMerge w:val="continue"/>
                  <w:noWrap/>
                  <w:vAlign w:val="center"/>
                </w:tcPr>
                <w:p>
                  <w:pPr>
                    <w:pStyle w:val="38"/>
                    <w:rPr>
                      <w:color w:val="auto"/>
                      <w:sz w:val="21"/>
                      <w:szCs w:val="21"/>
                      <w:highlight w:val="none"/>
                      <w:u w:val="none" w:color="auto"/>
                    </w:rPr>
                  </w:pPr>
                </w:p>
              </w:tc>
              <w:tc>
                <w:tcPr>
                  <w:tcW w:w="446" w:type="pct"/>
                  <w:noWrap/>
                  <w:vAlign w:val="center"/>
                </w:tcPr>
                <w:p>
                  <w:pPr>
                    <w:adjustRightInd w:val="0"/>
                    <w:snapToGrid w:val="0"/>
                    <w:spacing w:line="320" w:lineRule="exact"/>
                    <w:jc w:val="center"/>
                    <w:rPr>
                      <w:color w:val="auto"/>
                      <w:sz w:val="21"/>
                      <w:szCs w:val="21"/>
                      <w:highlight w:val="none"/>
                      <w:u w:val="none" w:color="auto"/>
                    </w:rPr>
                  </w:pPr>
                  <w:r>
                    <w:rPr>
                      <w:color w:val="auto"/>
                      <w:sz w:val="21"/>
                      <w:szCs w:val="21"/>
                      <w:highlight w:val="none"/>
                      <w:u w:val="none" w:color="auto"/>
                    </w:rPr>
                    <w:t>SS</w:t>
                  </w:r>
                </w:p>
              </w:tc>
              <w:tc>
                <w:tcPr>
                  <w:tcW w:w="685" w:type="dxa"/>
                  <w:noWrap/>
                  <w:vAlign w:val="center"/>
                </w:tcPr>
                <w:p>
                  <w:pPr>
                    <w:widowControl/>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0.086 </w:t>
                  </w:r>
                </w:p>
              </w:tc>
              <w:tc>
                <w:tcPr>
                  <w:tcW w:w="376" w:type="pct"/>
                  <w:noWrap/>
                  <w:vAlign w:val="center"/>
                </w:tcPr>
                <w:p>
                  <w:pPr>
                    <w:widowControl/>
                    <w:jc w:val="center"/>
                    <w:rPr>
                      <w:color w:val="auto"/>
                      <w:sz w:val="21"/>
                      <w:szCs w:val="21"/>
                      <w:highlight w:val="none"/>
                      <w:u w:val="none" w:color="auto"/>
                    </w:rPr>
                  </w:pPr>
                  <w:r>
                    <w:rPr>
                      <w:rFonts w:hint="eastAsia"/>
                      <w:color w:val="auto"/>
                      <w:sz w:val="21"/>
                      <w:szCs w:val="21"/>
                      <w:highlight w:val="none"/>
                      <w:u w:val="none" w:color="auto"/>
                    </w:rPr>
                    <w:t>250</w:t>
                  </w:r>
                </w:p>
              </w:tc>
              <w:tc>
                <w:tcPr>
                  <w:tcW w:w="341" w:type="pct"/>
                  <w:vMerge w:val="continue"/>
                  <w:noWrap/>
                  <w:vAlign w:val="center"/>
                </w:tcPr>
                <w:p>
                  <w:pPr>
                    <w:pStyle w:val="38"/>
                    <w:rPr>
                      <w:color w:val="auto"/>
                      <w:sz w:val="21"/>
                      <w:szCs w:val="21"/>
                      <w:highlight w:val="none"/>
                      <w:u w:val="none" w:color="auto"/>
                    </w:rPr>
                  </w:pPr>
                </w:p>
              </w:tc>
              <w:tc>
                <w:tcPr>
                  <w:tcW w:w="428" w:type="pct"/>
                  <w:vMerge w:val="continue"/>
                  <w:noWrap/>
                  <w:vAlign w:val="center"/>
                </w:tcPr>
                <w:p>
                  <w:pPr>
                    <w:pStyle w:val="38"/>
                    <w:rPr>
                      <w:color w:val="auto"/>
                      <w:sz w:val="21"/>
                      <w:szCs w:val="21"/>
                      <w:highlight w:val="none"/>
                      <w:u w:val="none" w:color="auto"/>
                    </w:rPr>
                  </w:pPr>
                </w:p>
              </w:tc>
              <w:tc>
                <w:tcPr>
                  <w:tcW w:w="683" w:type="dxa"/>
                  <w:noWrap/>
                  <w:vAlign w:val="center"/>
                </w:tcPr>
                <w:p>
                  <w:pPr>
                    <w:pStyle w:val="38"/>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0.034 </w:t>
                  </w:r>
                </w:p>
              </w:tc>
              <w:tc>
                <w:tcPr>
                  <w:tcW w:w="43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100</w:t>
                  </w:r>
                </w:p>
              </w:tc>
              <w:tc>
                <w:tcPr>
                  <w:tcW w:w="305" w:type="pct"/>
                  <w:vMerge w:val="continue"/>
                  <w:noWrap/>
                  <w:vAlign w:val="center"/>
                </w:tcPr>
                <w:p>
                  <w:pPr>
                    <w:pStyle w:val="38"/>
                    <w:rPr>
                      <w:color w:val="auto"/>
                      <w:sz w:val="21"/>
                      <w:szCs w:val="21"/>
                      <w:highlight w:val="none"/>
                      <w:u w:val="none" w:color="auto"/>
                    </w:rPr>
                  </w:pPr>
                </w:p>
              </w:tc>
              <w:tc>
                <w:tcPr>
                  <w:tcW w:w="223" w:type="pct"/>
                  <w:vMerge w:val="continue"/>
                  <w:noWrap/>
                  <w:vAlign w:val="center"/>
                </w:tcPr>
                <w:p>
                  <w:pPr>
                    <w:pStyle w:val="38"/>
                    <w:rPr>
                      <w:color w:val="auto"/>
                      <w:sz w:val="21"/>
                      <w:szCs w:val="21"/>
                      <w:highlight w:val="none"/>
                      <w:u w:val="none" w:color="auto"/>
                    </w:rPr>
                  </w:pPr>
                </w:p>
              </w:tc>
              <w:tc>
                <w:tcPr>
                  <w:tcW w:w="44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60%</w:t>
                  </w:r>
                </w:p>
              </w:tc>
              <w:tc>
                <w:tcPr>
                  <w:tcW w:w="569" w:type="pct"/>
                  <w:vMerge w:val="continue"/>
                  <w:noWrap/>
                  <w:vAlign w:val="center"/>
                </w:tcPr>
                <w:p>
                  <w:pPr>
                    <w:pStyle w:val="38"/>
                    <w:rPr>
                      <w:color w:val="auto"/>
                      <w:sz w:val="21"/>
                      <w:szCs w:val="21"/>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8" w:type="pct"/>
                  <w:vMerge w:val="continue"/>
                  <w:noWrap/>
                  <w:vAlign w:val="center"/>
                </w:tcPr>
                <w:p>
                  <w:pPr>
                    <w:pStyle w:val="38"/>
                    <w:rPr>
                      <w:color w:val="auto"/>
                      <w:sz w:val="21"/>
                      <w:szCs w:val="21"/>
                      <w:highlight w:val="none"/>
                      <w:u w:val="none" w:color="auto"/>
                    </w:rPr>
                  </w:pPr>
                </w:p>
              </w:tc>
              <w:tc>
                <w:tcPr>
                  <w:tcW w:w="363" w:type="pct"/>
                  <w:vMerge w:val="continue"/>
                  <w:noWrap/>
                  <w:vAlign w:val="center"/>
                </w:tcPr>
                <w:p>
                  <w:pPr>
                    <w:pStyle w:val="38"/>
                    <w:rPr>
                      <w:color w:val="auto"/>
                      <w:sz w:val="21"/>
                      <w:szCs w:val="21"/>
                      <w:highlight w:val="none"/>
                      <w:u w:val="none" w:color="auto"/>
                    </w:rPr>
                  </w:pPr>
                </w:p>
              </w:tc>
              <w:tc>
                <w:tcPr>
                  <w:tcW w:w="446" w:type="pct"/>
                  <w:noWrap/>
                  <w:vAlign w:val="center"/>
                </w:tcPr>
                <w:p>
                  <w:pPr>
                    <w:adjustRightInd w:val="0"/>
                    <w:snapToGrid w:val="0"/>
                    <w:spacing w:line="320" w:lineRule="exact"/>
                    <w:jc w:val="center"/>
                    <w:rPr>
                      <w:color w:val="auto"/>
                      <w:sz w:val="21"/>
                      <w:szCs w:val="21"/>
                      <w:highlight w:val="none"/>
                      <w:u w:val="none" w:color="auto"/>
                    </w:rPr>
                  </w:pPr>
                  <w:r>
                    <w:rPr>
                      <w:color w:val="auto"/>
                      <w:sz w:val="21"/>
                      <w:szCs w:val="21"/>
                      <w:highlight w:val="none"/>
                      <w:u w:val="none" w:color="auto"/>
                    </w:rPr>
                    <w:t>NH</w:t>
                  </w:r>
                  <w:r>
                    <w:rPr>
                      <w:color w:val="auto"/>
                      <w:sz w:val="21"/>
                      <w:szCs w:val="21"/>
                      <w:highlight w:val="none"/>
                      <w:u w:val="none" w:color="auto"/>
                      <w:vertAlign w:val="subscript"/>
                    </w:rPr>
                    <w:t>3</w:t>
                  </w:r>
                  <w:r>
                    <w:rPr>
                      <w:color w:val="auto"/>
                      <w:sz w:val="21"/>
                      <w:szCs w:val="21"/>
                      <w:highlight w:val="none"/>
                      <w:u w:val="none" w:color="auto"/>
                    </w:rPr>
                    <w:t>-N</w:t>
                  </w:r>
                </w:p>
              </w:tc>
              <w:tc>
                <w:tcPr>
                  <w:tcW w:w="685" w:type="dxa"/>
                  <w:vAlign w:val="center"/>
                </w:tcPr>
                <w:p>
                  <w:pPr>
                    <w:widowControl/>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0.009 </w:t>
                  </w:r>
                </w:p>
              </w:tc>
              <w:tc>
                <w:tcPr>
                  <w:tcW w:w="376" w:type="pct"/>
                  <w:noWrap/>
                  <w:vAlign w:val="center"/>
                </w:tcPr>
                <w:p>
                  <w:pPr>
                    <w:widowControl/>
                    <w:jc w:val="center"/>
                    <w:rPr>
                      <w:color w:val="auto"/>
                      <w:sz w:val="21"/>
                      <w:szCs w:val="21"/>
                      <w:highlight w:val="none"/>
                      <w:u w:val="none" w:color="auto"/>
                    </w:rPr>
                  </w:pPr>
                  <w:r>
                    <w:rPr>
                      <w:rFonts w:hint="eastAsia"/>
                      <w:color w:val="auto"/>
                      <w:sz w:val="21"/>
                      <w:szCs w:val="21"/>
                      <w:highlight w:val="none"/>
                      <w:u w:val="none" w:color="auto"/>
                    </w:rPr>
                    <w:t>25</w:t>
                  </w:r>
                </w:p>
              </w:tc>
              <w:tc>
                <w:tcPr>
                  <w:tcW w:w="341" w:type="pct"/>
                  <w:vMerge w:val="continue"/>
                  <w:noWrap/>
                  <w:vAlign w:val="center"/>
                </w:tcPr>
                <w:p>
                  <w:pPr>
                    <w:pStyle w:val="38"/>
                    <w:rPr>
                      <w:color w:val="auto"/>
                      <w:sz w:val="21"/>
                      <w:szCs w:val="21"/>
                      <w:highlight w:val="none"/>
                      <w:u w:val="none" w:color="auto"/>
                    </w:rPr>
                  </w:pPr>
                </w:p>
              </w:tc>
              <w:tc>
                <w:tcPr>
                  <w:tcW w:w="428" w:type="pct"/>
                  <w:vMerge w:val="continue"/>
                  <w:noWrap/>
                  <w:vAlign w:val="center"/>
                </w:tcPr>
                <w:p>
                  <w:pPr>
                    <w:pStyle w:val="38"/>
                    <w:rPr>
                      <w:color w:val="auto"/>
                      <w:sz w:val="21"/>
                      <w:szCs w:val="21"/>
                      <w:highlight w:val="none"/>
                      <w:u w:val="none" w:color="auto"/>
                    </w:rPr>
                  </w:pPr>
                </w:p>
              </w:tc>
              <w:tc>
                <w:tcPr>
                  <w:tcW w:w="683" w:type="dxa"/>
                  <w:noWrap/>
                  <w:vAlign w:val="center"/>
                </w:tcPr>
                <w:p>
                  <w:pPr>
                    <w:pStyle w:val="38"/>
                    <w:rPr>
                      <w:rFonts w:hint="eastAsia"/>
                      <w:color w:val="auto"/>
                      <w:sz w:val="21"/>
                      <w:szCs w:val="21"/>
                      <w:highlight w:val="none"/>
                      <w:u w:val="none" w:color="auto"/>
                    </w:rPr>
                  </w:pPr>
                  <w:r>
                    <w:rPr>
                      <w:rFonts w:hint="eastAsia"/>
                      <w:color w:val="auto"/>
                      <w:sz w:val="21"/>
                      <w:szCs w:val="21"/>
                      <w:highlight w:val="none"/>
                      <w:u w:val="none" w:color="auto"/>
                      <w:lang w:val="en-US" w:eastAsia="zh-CN"/>
                    </w:rPr>
                    <w:t xml:space="preserve">0.004 </w:t>
                  </w:r>
                </w:p>
              </w:tc>
              <w:tc>
                <w:tcPr>
                  <w:tcW w:w="43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12.5</w:t>
                  </w:r>
                </w:p>
              </w:tc>
              <w:tc>
                <w:tcPr>
                  <w:tcW w:w="305" w:type="pct"/>
                  <w:vMerge w:val="continue"/>
                  <w:noWrap/>
                  <w:vAlign w:val="center"/>
                </w:tcPr>
                <w:p>
                  <w:pPr>
                    <w:pStyle w:val="38"/>
                    <w:rPr>
                      <w:color w:val="auto"/>
                      <w:sz w:val="21"/>
                      <w:szCs w:val="21"/>
                      <w:highlight w:val="none"/>
                      <w:u w:val="none" w:color="auto"/>
                    </w:rPr>
                  </w:pPr>
                </w:p>
              </w:tc>
              <w:tc>
                <w:tcPr>
                  <w:tcW w:w="223" w:type="pct"/>
                  <w:vMerge w:val="continue"/>
                  <w:noWrap/>
                  <w:vAlign w:val="center"/>
                </w:tcPr>
                <w:p>
                  <w:pPr>
                    <w:pStyle w:val="38"/>
                    <w:rPr>
                      <w:color w:val="auto"/>
                      <w:sz w:val="21"/>
                      <w:szCs w:val="21"/>
                      <w:highlight w:val="none"/>
                      <w:u w:val="none" w:color="auto"/>
                    </w:rPr>
                  </w:pPr>
                </w:p>
              </w:tc>
              <w:tc>
                <w:tcPr>
                  <w:tcW w:w="440" w:type="pct"/>
                  <w:noWrap/>
                  <w:vAlign w:val="center"/>
                </w:tcPr>
                <w:p>
                  <w:pPr>
                    <w:pStyle w:val="38"/>
                    <w:rPr>
                      <w:color w:val="auto"/>
                      <w:sz w:val="21"/>
                      <w:szCs w:val="21"/>
                      <w:highlight w:val="none"/>
                      <w:u w:val="none" w:color="auto"/>
                    </w:rPr>
                  </w:pPr>
                  <w:r>
                    <w:rPr>
                      <w:rFonts w:hint="eastAsia"/>
                      <w:color w:val="auto"/>
                      <w:sz w:val="21"/>
                      <w:szCs w:val="21"/>
                      <w:highlight w:val="none"/>
                      <w:u w:val="none" w:color="auto"/>
                    </w:rPr>
                    <w:t>50%</w:t>
                  </w:r>
                </w:p>
              </w:tc>
              <w:tc>
                <w:tcPr>
                  <w:tcW w:w="569" w:type="pct"/>
                  <w:vMerge w:val="continue"/>
                  <w:noWrap/>
                  <w:vAlign w:val="center"/>
                </w:tcPr>
                <w:p>
                  <w:pPr>
                    <w:pStyle w:val="38"/>
                    <w:rPr>
                      <w:color w:val="auto"/>
                      <w:sz w:val="21"/>
                      <w:szCs w:val="21"/>
                      <w:highlight w:val="none"/>
                      <w:u w:val="none" w:color="auto"/>
                    </w:rPr>
                  </w:pPr>
                </w:p>
              </w:tc>
            </w:tr>
          </w:tbl>
          <w:p>
            <w:pPr>
              <w:pStyle w:val="51"/>
              <w:ind w:left="420"/>
              <w:rPr>
                <w:color w:val="auto"/>
                <w:highlight w:val="none"/>
                <w:u w:val="none" w:color="auto"/>
              </w:rPr>
            </w:pPr>
            <w:r>
              <w:rPr>
                <w:color w:val="auto"/>
                <w:highlight w:val="none"/>
                <w:u w:val="none" w:color="auto"/>
              </w:rPr>
              <w:t>表4-</w:t>
            </w:r>
            <w:r>
              <w:rPr>
                <w:rFonts w:hint="eastAsia"/>
                <w:color w:val="auto"/>
                <w:highlight w:val="none"/>
                <w:u w:val="none" w:color="auto"/>
                <w:lang w:val="en-US" w:eastAsia="zh-CN"/>
              </w:rPr>
              <w:t>6</w:t>
            </w:r>
            <w:r>
              <w:rPr>
                <w:rFonts w:hint="eastAsia"/>
                <w:color w:val="auto"/>
                <w:highlight w:val="none"/>
                <w:u w:val="none" w:color="auto"/>
              </w:rPr>
              <w:t xml:space="preserve"> </w:t>
            </w:r>
            <w:r>
              <w:rPr>
                <w:color w:val="auto"/>
                <w:highlight w:val="none"/>
                <w:u w:val="none" w:color="auto"/>
              </w:rPr>
              <w:t xml:space="preserve"> 废水间接排放口基本情况表</w:t>
            </w:r>
          </w:p>
          <w:tbl>
            <w:tblPr>
              <w:tblStyle w:val="26"/>
              <w:tblW w:w="8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99"/>
              <w:gridCol w:w="990"/>
              <w:gridCol w:w="706"/>
              <w:gridCol w:w="779"/>
              <w:gridCol w:w="737"/>
              <w:gridCol w:w="875"/>
              <w:gridCol w:w="2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66" w:type="pct"/>
                  <w:vAlign w:val="center"/>
                </w:tcPr>
                <w:p>
                  <w:pPr>
                    <w:pStyle w:val="46"/>
                    <w:spacing w:line="240" w:lineRule="auto"/>
                    <w:rPr>
                      <w:color w:val="auto"/>
                      <w:highlight w:val="none"/>
                      <w:u w:val="none" w:color="auto"/>
                    </w:rPr>
                  </w:pPr>
                  <w:r>
                    <w:rPr>
                      <w:color w:val="auto"/>
                      <w:highlight w:val="none"/>
                      <w:u w:val="none" w:color="auto"/>
                    </w:rPr>
                    <w:t>排放口编号</w:t>
                  </w:r>
                </w:p>
              </w:tc>
              <w:tc>
                <w:tcPr>
                  <w:tcW w:w="559" w:type="pct"/>
                  <w:vAlign w:val="center"/>
                </w:tcPr>
                <w:p>
                  <w:pPr>
                    <w:pStyle w:val="46"/>
                    <w:spacing w:line="240" w:lineRule="auto"/>
                    <w:rPr>
                      <w:color w:val="auto"/>
                      <w:highlight w:val="none"/>
                      <w:u w:val="none" w:color="auto"/>
                    </w:rPr>
                  </w:pPr>
                  <w:r>
                    <w:rPr>
                      <w:color w:val="auto"/>
                      <w:highlight w:val="none"/>
                      <w:u w:val="none" w:color="auto"/>
                    </w:rPr>
                    <w:t>排放口名称</w:t>
                  </w:r>
                </w:p>
              </w:tc>
              <w:tc>
                <w:tcPr>
                  <w:tcW w:w="615" w:type="pct"/>
                  <w:vAlign w:val="center"/>
                </w:tcPr>
                <w:p>
                  <w:pPr>
                    <w:pStyle w:val="46"/>
                    <w:spacing w:line="240" w:lineRule="auto"/>
                    <w:rPr>
                      <w:color w:val="auto"/>
                      <w:highlight w:val="none"/>
                      <w:u w:val="none" w:color="auto"/>
                    </w:rPr>
                  </w:pPr>
                  <w:r>
                    <w:rPr>
                      <w:color w:val="auto"/>
                      <w:highlight w:val="none"/>
                      <w:u w:val="none" w:color="auto"/>
                    </w:rPr>
                    <w:t>地理坐标</w:t>
                  </w:r>
                </w:p>
              </w:tc>
              <w:tc>
                <w:tcPr>
                  <w:tcW w:w="439" w:type="pct"/>
                  <w:vAlign w:val="center"/>
                </w:tcPr>
                <w:p>
                  <w:pPr>
                    <w:pStyle w:val="46"/>
                    <w:spacing w:line="240" w:lineRule="auto"/>
                    <w:rPr>
                      <w:color w:val="auto"/>
                      <w:highlight w:val="none"/>
                      <w:u w:val="none" w:color="auto"/>
                    </w:rPr>
                  </w:pPr>
                  <w:r>
                    <w:rPr>
                      <w:rFonts w:hint="eastAsia"/>
                      <w:color w:val="auto"/>
                      <w:highlight w:val="none"/>
                      <w:u w:val="none" w:color="auto"/>
                    </w:rPr>
                    <w:t>排放方式</w:t>
                  </w:r>
                </w:p>
              </w:tc>
              <w:tc>
                <w:tcPr>
                  <w:tcW w:w="484" w:type="pct"/>
                  <w:vAlign w:val="center"/>
                </w:tcPr>
                <w:p>
                  <w:pPr>
                    <w:pStyle w:val="46"/>
                    <w:spacing w:line="240" w:lineRule="auto"/>
                    <w:rPr>
                      <w:color w:val="auto"/>
                      <w:highlight w:val="none"/>
                      <w:u w:val="none" w:color="auto"/>
                    </w:rPr>
                  </w:pPr>
                  <w:r>
                    <w:rPr>
                      <w:color w:val="auto"/>
                      <w:highlight w:val="none"/>
                      <w:u w:val="none" w:color="auto"/>
                    </w:rPr>
                    <w:t>排放规律</w:t>
                  </w:r>
                </w:p>
              </w:tc>
              <w:tc>
                <w:tcPr>
                  <w:tcW w:w="458" w:type="pct"/>
                  <w:vAlign w:val="center"/>
                </w:tcPr>
                <w:p>
                  <w:pPr>
                    <w:pStyle w:val="46"/>
                    <w:spacing w:line="240" w:lineRule="auto"/>
                    <w:rPr>
                      <w:color w:val="auto"/>
                      <w:highlight w:val="none"/>
                      <w:u w:val="none" w:color="auto"/>
                    </w:rPr>
                  </w:pPr>
                  <w:r>
                    <w:rPr>
                      <w:color w:val="auto"/>
                      <w:highlight w:val="none"/>
                      <w:u w:val="none" w:color="auto"/>
                    </w:rPr>
                    <w:t>排放去向</w:t>
                  </w:r>
                </w:p>
              </w:tc>
              <w:tc>
                <w:tcPr>
                  <w:tcW w:w="544" w:type="pct"/>
                  <w:vAlign w:val="center"/>
                </w:tcPr>
                <w:p>
                  <w:pPr>
                    <w:pStyle w:val="46"/>
                    <w:spacing w:line="240" w:lineRule="auto"/>
                    <w:rPr>
                      <w:color w:val="auto"/>
                      <w:highlight w:val="none"/>
                      <w:u w:val="none" w:color="auto"/>
                    </w:rPr>
                  </w:pPr>
                  <w:r>
                    <w:rPr>
                      <w:color w:val="auto"/>
                      <w:highlight w:val="none"/>
                      <w:u w:val="none" w:color="auto"/>
                    </w:rPr>
                    <w:t>排放口类型</w:t>
                  </w:r>
                </w:p>
              </w:tc>
              <w:tc>
                <w:tcPr>
                  <w:tcW w:w="1331" w:type="pct"/>
                  <w:vAlign w:val="center"/>
                </w:tcPr>
                <w:p>
                  <w:pPr>
                    <w:pStyle w:val="46"/>
                    <w:spacing w:line="240" w:lineRule="auto"/>
                    <w:rPr>
                      <w:color w:val="auto"/>
                      <w:highlight w:val="none"/>
                      <w:u w:val="none" w:color="auto"/>
                    </w:rPr>
                  </w:pPr>
                  <w:r>
                    <w:rPr>
                      <w:rFonts w:hint="eastAsia"/>
                      <w:color w:val="auto"/>
                      <w:highlight w:val="none"/>
                      <w:u w:val="none" w:color="auto"/>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566" w:type="pct"/>
                  <w:vAlign w:val="center"/>
                </w:tcPr>
                <w:p>
                  <w:pPr>
                    <w:pStyle w:val="46"/>
                    <w:spacing w:line="240" w:lineRule="auto"/>
                    <w:rPr>
                      <w:color w:val="auto"/>
                      <w:highlight w:val="none"/>
                      <w:u w:val="none" w:color="auto"/>
                    </w:rPr>
                  </w:pPr>
                  <w:r>
                    <w:rPr>
                      <w:color w:val="auto"/>
                      <w:highlight w:val="none"/>
                      <w:u w:val="none" w:color="auto"/>
                    </w:rPr>
                    <w:t>DW001</w:t>
                  </w:r>
                </w:p>
              </w:tc>
              <w:tc>
                <w:tcPr>
                  <w:tcW w:w="559" w:type="pct"/>
                  <w:vAlign w:val="center"/>
                </w:tcPr>
                <w:p>
                  <w:pPr>
                    <w:pStyle w:val="46"/>
                    <w:spacing w:line="240" w:lineRule="auto"/>
                    <w:rPr>
                      <w:color w:val="auto"/>
                      <w:highlight w:val="none"/>
                      <w:u w:val="none" w:color="auto"/>
                    </w:rPr>
                  </w:pPr>
                  <w:r>
                    <w:rPr>
                      <w:rFonts w:hint="eastAsia"/>
                      <w:color w:val="auto"/>
                      <w:highlight w:val="none"/>
                      <w:u w:val="none" w:color="auto"/>
                    </w:rPr>
                    <w:t>厂区</w:t>
                  </w:r>
                  <w:r>
                    <w:rPr>
                      <w:color w:val="auto"/>
                      <w:highlight w:val="none"/>
                      <w:u w:val="none" w:color="auto"/>
                    </w:rPr>
                    <w:t>总排口</w:t>
                  </w:r>
                </w:p>
              </w:tc>
              <w:tc>
                <w:tcPr>
                  <w:tcW w:w="615" w:type="pct"/>
                  <w:vAlign w:val="center"/>
                </w:tcPr>
                <w:p>
                  <w:pPr>
                    <w:pStyle w:val="46"/>
                    <w:spacing w:line="240" w:lineRule="auto"/>
                    <w:rPr>
                      <w:rFonts w:hint="default" w:eastAsia="宋体"/>
                      <w:color w:val="auto"/>
                      <w:highlight w:val="none"/>
                      <w:u w:val="none" w:color="auto"/>
                      <w:lang w:val="en-US" w:eastAsia="zh-CN"/>
                    </w:rPr>
                  </w:pPr>
                  <w:r>
                    <w:rPr>
                      <w:rFonts w:hint="eastAsia"/>
                      <w:color w:val="auto"/>
                      <w:highlight w:val="none"/>
                      <w:u w:val="none" w:color="auto"/>
                      <w:lang w:val="en-US" w:eastAsia="zh-CN"/>
                    </w:rPr>
                    <w:t>111.578986，26.397212</w:t>
                  </w:r>
                </w:p>
              </w:tc>
              <w:tc>
                <w:tcPr>
                  <w:tcW w:w="439" w:type="pct"/>
                  <w:vAlign w:val="center"/>
                </w:tcPr>
                <w:p>
                  <w:pPr>
                    <w:pStyle w:val="46"/>
                    <w:spacing w:line="240" w:lineRule="auto"/>
                    <w:rPr>
                      <w:color w:val="auto"/>
                      <w:highlight w:val="none"/>
                      <w:u w:val="none" w:color="auto"/>
                    </w:rPr>
                  </w:pPr>
                  <w:r>
                    <w:rPr>
                      <w:color w:val="auto"/>
                      <w:highlight w:val="none"/>
                      <w:u w:val="none" w:color="auto"/>
                    </w:rPr>
                    <w:t>间接排放</w:t>
                  </w:r>
                </w:p>
              </w:tc>
              <w:tc>
                <w:tcPr>
                  <w:tcW w:w="484" w:type="pct"/>
                  <w:vAlign w:val="center"/>
                </w:tcPr>
                <w:p>
                  <w:pPr>
                    <w:pStyle w:val="46"/>
                    <w:spacing w:line="240" w:lineRule="auto"/>
                    <w:rPr>
                      <w:color w:val="auto"/>
                      <w:highlight w:val="none"/>
                      <w:u w:val="none" w:color="auto"/>
                    </w:rPr>
                  </w:pPr>
                  <w:r>
                    <w:rPr>
                      <w:rFonts w:hint="eastAsia"/>
                      <w:color w:val="auto"/>
                      <w:highlight w:val="none"/>
                      <w:u w:val="none" w:color="auto"/>
                    </w:rPr>
                    <w:t>连续</w:t>
                  </w:r>
                  <w:r>
                    <w:rPr>
                      <w:color w:val="auto"/>
                      <w:highlight w:val="none"/>
                      <w:u w:val="none" w:color="auto"/>
                    </w:rPr>
                    <w:t>排放，流量稳定</w:t>
                  </w:r>
                </w:p>
              </w:tc>
              <w:tc>
                <w:tcPr>
                  <w:tcW w:w="458" w:type="pct"/>
                  <w:vAlign w:val="center"/>
                </w:tcPr>
                <w:p>
                  <w:pPr>
                    <w:pStyle w:val="46"/>
                    <w:spacing w:line="240" w:lineRule="auto"/>
                    <w:rPr>
                      <w:color w:val="auto"/>
                      <w:highlight w:val="none"/>
                      <w:u w:val="none" w:color="auto"/>
                    </w:rPr>
                  </w:pPr>
                  <w:r>
                    <w:rPr>
                      <w:rFonts w:hint="eastAsia"/>
                      <w:color w:val="auto"/>
                      <w:highlight w:val="none"/>
                      <w:u w:val="none" w:color="auto"/>
                    </w:rPr>
                    <w:t>下河线污水处理厂</w:t>
                  </w:r>
                </w:p>
              </w:tc>
              <w:tc>
                <w:tcPr>
                  <w:tcW w:w="544" w:type="pct"/>
                  <w:vAlign w:val="center"/>
                </w:tcPr>
                <w:p>
                  <w:pPr>
                    <w:pStyle w:val="46"/>
                    <w:spacing w:line="240" w:lineRule="auto"/>
                    <w:rPr>
                      <w:color w:val="auto"/>
                      <w:highlight w:val="none"/>
                      <w:u w:val="none" w:color="auto"/>
                    </w:rPr>
                  </w:pPr>
                  <w:r>
                    <w:rPr>
                      <w:color w:val="auto"/>
                      <w:highlight w:val="none"/>
                      <w:u w:val="none" w:color="auto"/>
                    </w:rPr>
                    <w:t>一般排放口</w:t>
                  </w:r>
                </w:p>
              </w:tc>
              <w:tc>
                <w:tcPr>
                  <w:tcW w:w="1331" w:type="pct"/>
                  <w:vAlign w:val="center"/>
                </w:tcPr>
                <w:p>
                  <w:pPr>
                    <w:pStyle w:val="46"/>
                    <w:spacing w:line="240" w:lineRule="auto"/>
                    <w:jc w:val="both"/>
                    <w:rPr>
                      <w:color w:val="auto"/>
                      <w:highlight w:val="none"/>
                      <w:u w:val="none" w:color="auto"/>
                    </w:rPr>
                  </w:pPr>
                  <w:r>
                    <w:rPr>
                      <w:rFonts w:hint="eastAsia"/>
                      <w:color w:val="auto"/>
                      <w:highlight w:val="none"/>
                      <w:u w:val="none" w:color="auto"/>
                    </w:rPr>
                    <w:t>各污染物浓度能够满</w:t>
                  </w:r>
                  <w:r>
                    <w:rPr>
                      <w:rFonts w:hint="eastAsia"/>
                      <w:color w:val="auto"/>
                      <w:sz w:val="21"/>
                      <w:szCs w:val="21"/>
                      <w:highlight w:val="none"/>
                      <w:u w:val="none" w:color="auto"/>
                    </w:rPr>
                    <w:t>足《电子工业水污染物排放标准》（GB 39731-2020）表1水污染物排放限值要求</w:t>
                  </w:r>
                </w:p>
              </w:tc>
            </w:tr>
          </w:tbl>
          <w:p>
            <w:pPr>
              <w:spacing w:line="360" w:lineRule="auto"/>
              <w:ind w:firstLine="422" w:firstLineChars="200"/>
              <w:jc w:val="left"/>
              <w:rPr>
                <w:b/>
                <w:color w:val="auto"/>
                <w:highlight w:val="none"/>
                <w:u w:val="none" w:color="auto"/>
              </w:rPr>
            </w:pPr>
            <w:r>
              <w:rPr>
                <w:rFonts w:hint="eastAsia" w:ascii="宋体" w:hAnsi="宋体" w:cs="宋体"/>
                <w:b/>
                <w:color w:val="auto"/>
                <w:kern w:val="0"/>
                <w:highlight w:val="none"/>
                <w:u w:val="none" w:color="auto"/>
                <w:lang w:bidi="ar"/>
              </w:rPr>
              <w:t>备注：本项目为</w:t>
            </w:r>
            <w:r>
              <w:rPr>
                <w:rFonts w:hint="eastAsia" w:ascii="宋体" w:hAnsi="宋体" w:cs="宋体"/>
                <w:b/>
                <w:color w:val="auto"/>
                <w:kern w:val="0"/>
                <w:highlight w:val="none"/>
                <w:u w:val="none" w:color="auto"/>
                <w:lang w:val="en-US" w:eastAsia="zh-CN" w:bidi="ar"/>
              </w:rPr>
              <w:t>电感</w:t>
            </w:r>
            <w:r>
              <w:rPr>
                <w:rFonts w:hint="eastAsia" w:ascii="宋体" w:hAnsi="宋体" w:cs="宋体"/>
                <w:b/>
                <w:color w:val="auto"/>
                <w:kern w:val="0"/>
                <w:highlight w:val="none"/>
                <w:u w:val="none" w:color="auto"/>
                <w:lang w:bidi="ar"/>
              </w:rPr>
              <w:t>生产项目，暂无相关行业的</w:t>
            </w:r>
            <w:r>
              <w:rPr>
                <w:b/>
                <w:color w:val="auto"/>
                <w:highlight w:val="none"/>
                <w:u w:val="none" w:color="auto"/>
              </w:rPr>
              <w:t>污染防治可行性技术指南</w:t>
            </w:r>
            <w:r>
              <w:rPr>
                <w:rFonts w:hint="eastAsia"/>
                <w:b/>
                <w:color w:val="auto"/>
                <w:highlight w:val="none"/>
                <w:u w:val="none" w:color="auto"/>
              </w:rPr>
              <w:t>，因此</w:t>
            </w:r>
            <w:r>
              <w:rPr>
                <w:rFonts w:hint="eastAsia" w:ascii="宋体" w:hAnsi="宋体" w:cs="宋体"/>
                <w:b/>
                <w:color w:val="auto"/>
                <w:kern w:val="0"/>
                <w:highlight w:val="none"/>
                <w:u w:val="none" w:color="auto"/>
                <w:lang w:bidi="ar"/>
              </w:rPr>
              <w:t>本项目治理设施为可行技术的依据是</w:t>
            </w:r>
            <w:r>
              <w:rPr>
                <w:rFonts w:hint="eastAsia"/>
                <w:b/>
                <w:color w:val="auto"/>
                <w:highlight w:val="none"/>
                <w:u w:val="none" w:color="auto"/>
              </w:rPr>
              <w:t>《排污许可证申请与核发技术规范  电子工业》（HJ1031-2019）中表B.2电子工业排污单位废水防治可行技术参考表，厂内生活污水采化粪池。因此本项目生活污水采取化粪池为可行技术。</w:t>
            </w:r>
          </w:p>
          <w:p>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w:t>
            </w:r>
            <w:r>
              <w:rPr>
                <w:rFonts w:hint="eastAsia"/>
                <w:b/>
                <w:bCs/>
                <w:color w:val="auto"/>
                <w:sz w:val="24"/>
                <w:highlight w:val="none"/>
                <w:u w:val="none" w:color="auto"/>
                <w:lang w:val="en-US" w:eastAsia="zh-CN"/>
              </w:rPr>
              <w:t>2</w:t>
            </w:r>
            <w:r>
              <w:rPr>
                <w:rFonts w:hint="eastAsia"/>
                <w:b/>
                <w:bCs/>
                <w:color w:val="auto"/>
                <w:sz w:val="24"/>
                <w:highlight w:val="none"/>
                <w:u w:val="none" w:color="auto"/>
              </w:rPr>
              <w:t>）</w:t>
            </w:r>
            <w:r>
              <w:rPr>
                <w:b/>
                <w:bCs/>
                <w:color w:val="auto"/>
                <w:sz w:val="24"/>
                <w:highlight w:val="none"/>
                <w:u w:val="none" w:color="auto"/>
              </w:rPr>
              <w:t>本项目污水进入污水处理厂可行性</w:t>
            </w:r>
          </w:p>
          <w:p>
            <w:pPr>
              <w:spacing w:line="360" w:lineRule="auto"/>
              <w:ind w:firstLine="480" w:firstLineChars="200"/>
              <w:rPr>
                <w:color w:val="auto"/>
                <w:sz w:val="24"/>
                <w:highlight w:val="none"/>
                <w:u w:val="none" w:color="auto"/>
                <w:lang w:bidi="ar"/>
              </w:rPr>
            </w:pPr>
            <w:r>
              <w:rPr>
                <w:rFonts w:hint="eastAsia"/>
                <w:color w:val="auto"/>
                <w:sz w:val="24"/>
                <w:highlight w:val="none"/>
                <w:u w:val="none" w:color="auto"/>
              </w:rPr>
              <w:t>永州市下河线污水处理厂位于永州市冷水滩区零陵北路896号。永州市下河线污水处理厂已经于2017年正式投入运行，设计规模20万m/d。主要承担冷水滩区生活污水、工业废水的处理任务。</w:t>
            </w:r>
            <w:r>
              <w:rPr>
                <w:color w:val="auto"/>
                <w:sz w:val="24"/>
                <w:highlight w:val="none"/>
                <w:u w:val="none" w:color="auto"/>
              </w:rPr>
              <w:t>本项目位于</w:t>
            </w:r>
            <w:r>
              <w:rPr>
                <w:rFonts w:hint="eastAsia"/>
                <w:color w:val="auto"/>
                <w:sz w:val="24"/>
                <w:szCs w:val="24"/>
                <w:highlight w:val="none"/>
                <w:u w:val="none" w:color="auto"/>
                <w:shd w:val="clear" w:color="auto" w:fill="FFFFFF"/>
              </w:rPr>
              <w:t>永州经济技术开发区锦络电子工业园3号栋1-3楼</w:t>
            </w:r>
            <w:r>
              <w:rPr>
                <w:color w:val="auto"/>
                <w:sz w:val="24"/>
                <w:highlight w:val="none"/>
                <w:u w:val="none" w:color="auto"/>
              </w:rPr>
              <w:t>，属于永州市污水处理厂纳污范围内，且项目排放的废水主要为生活污水，废水水质简单，</w:t>
            </w:r>
            <w:r>
              <w:rPr>
                <w:color w:val="auto"/>
                <w:sz w:val="24"/>
                <w:szCs w:val="24"/>
                <w:highlight w:val="none"/>
                <w:u w:val="none" w:color="auto"/>
              </w:rPr>
              <w:t>废水量为</w:t>
            </w:r>
            <w:r>
              <w:rPr>
                <w:rFonts w:hint="eastAsia"/>
                <w:color w:val="auto"/>
                <w:sz w:val="24"/>
                <w:highlight w:val="none"/>
                <w:u w:val="none" w:color="auto"/>
                <w:lang w:val="en-US" w:eastAsia="zh-CN"/>
              </w:rPr>
              <w:t>344.25</w:t>
            </w:r>
            <w:r>
              <w:rPr>
                <w:color w:val="auto"/>
                <w:sz w:val="24"/>
                <w:szCs w:val="24"/>
                <w:highlight w:val="none"/>
                <w:u w:val="none" w:color="auto"/>
              </w:rPr>
              <w:t>m</w:t>
            </w:r>
            <w:r>
              <w:rPr>
                <w:color w:val="auto"/>
                <w:sz w:val="24"/>
                <w:szCs w:val="24"/>
                <w:highlight w:val="none"/>
                <w:u w:val="none" w:color="auto"/>
                <w:vertAlign w:val="superscript"/>
              </w:rPr>
              <w:t>3</w:t>
            </w:r>
            <w:r>
              <w:rPr>
                <w:color w:val="auto"/>
                <w:sz w:val="24"/>
                <w:szCs w:val="24"/>
                <w:highlight w:val="none"/>
                <w:u w:val="none" w:color="auto"/>
              </w:rPr>
              <w:t>/a，</w:t>
            </w:r>
            <w:r>
              <w:rPr>
                <w:color w:val="auto"/>
                <w:sz w:val="24"/>
                <w:highlight w:val="none"/>
                <w:u w:val="none" w:color="auto"/>
              </w:rPr>
              <w:t>所占比例较小，生活废水经厂区</w:t>
            </w:r>
            <w:r>
              <w:rPr>
                <w:rFonts w:hint="eastAsia"/>
                <w:color w:val="auto"/>
                <w:sz w:val="24"/>
                <w:highlight w:val="none"/>
                <w:u w:val="none" w:color="auto"/>
              </w:rPr>
              <w:t>化粪池</w:t>
            </w:r>
            <w:r>
              <w:rPr>
                <w:color w:val="auto"/>
                <w:sz w:val="24"/>
                <w:highlight w:val="none"/>
                <w:u w:val="none" w:color="auto"/>
              </w:rPr>
              <w:t>处理设施处理；生活污水经化粪池预处理后可达到永州下河线污水处理厂进水水质要求，可就近排市政污水管网，进入下河线污水处理厂，因此本项目外排废水进入永州下河线污水厂处理可行，且对永州下河线污水处理厂的水质和水量不会产生冲击影响。</w:t>
            </w:r>
            <w:r>
              <w:rPr>
                <w:color w:val="auto"/>
                <w:sz w:val="24"/>
                <w:highlight w:val="none"/>
                <w:u w:val="none" w:color="auto"/>
                <w:lang w:bidi="ar"/>
              </w:rPr>
              <w:t>下河线污水处理厂是用于处理城市生活污水和工业污水的，其处理工艺能有效处理本项目产生的废水。</w:t>
            </w:r>
          </w:p>
          <w:p>
            <w:pPr>
              <w:spacing w:line="360" w:lineRule="auto"/>
              <w:ind w:firstLine="562" w:firstLineChars="200"/>
              <w:jc w:val="left"/>
              <w:rPr>
                <w:b/>
                <w:bCs/>
                <w:color w:val="auto"/>
                <w:sz w:val="28"/>
                <w:szCs w:val="28"/>
                <w:highlight w:val="none"/>
                <w:u w:val="none" w:color="auto"/>
              </w:rPr>
            </w:pPr>
            <w:r>
              <w:rPr>
                <w:rFonts w:hint="eastAsia"/>
                <w:b/>
                <w:bCs/>
                <w:color w:val="auto"/>
                <w:sz w:val="28"/>
                <w:szCs w:val="28"/>
                <w:highlight w:val="none"/>
                <w:u w:val="none" w:color="auto"/>
              </w:rPr>
              <w:t>3、</w:t>
            </w:r>
            <w:r>
              <w:rPr>
                <w:rFonts w:hint="default" w:ascii="Times New Roman" w:hAnsi="Times New Roman" w:eastAsia="宋体" w:cs="Times New Roman"/>
                <w:b/>
                <w:bCs/>
                <w:color w:val="auto"/>
                <w:sz w:val="24"/>
                <w:szCs w:val="24"/>
                <w:highlight w:val="none"/>
                <w:u w:val="none" w:color="auto"/>
                <w:lang w:eastAsia="zh-CN"/>
              </w:rPr>
              <w:t>土壤和地下水治理措施及环境影响分析</w:t>
            </w:r>
          </w:p>
          <w:p>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本项目污染物环境影响途径主要包括</w:t>
            </w:r>
            <w:r>
              <w:rPr>
                <w:rFonts w:hint="eastAsia" w:ascii="Times New Roman" w:hAnsi="Times New Roman" w:cs="Times New Roman"/>
                <w:bCs/>
                <w:color w:val="auto"/>
                <w:sz w:val="24"/>
                <w:highlight w:val="none"/>
                <w:u w:val="none" w:color="auto"/>
                <w:lang w:val="en-US" w:eastAsia="zh-CN"/>
              </w:rPr>
              <w:t>绝缘油和稀释剂等原辅材料存放区</w:t>
            </w:r>
            <w:r>
              <w:rPr>
                <w:rFonts w:hint="default" w:ascii="Times New Roman" w:hAnsi="Times New Roman" w:cs="Times New Roman"/>
                <w:bCs/>
                <w:color w:val="auto"/>
                <w:sz w:val="24"/>
                <w:highlight w:val="none"/>
                <w:u w:val="none" w:color="auto"/>
                <w:lang w:val="en-US" w:eastAsia="zh-CN"/>
              </w:rPr>
              <w:t>、</w:t>
            </w:r>
            <w:r>
              <w:rPr>
                <w:rFonts w:ascii="Times New Roman" w:hAnsi="Times New Roman"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间防渗措施不到位，发生事故泄漏时可能直接渗入到泄漏区域附近的土壤中，进而污染地下水</w:t>
            </w:r>
            <w:r>
              <w:rPr>
                <w:rFonts w:hint="default" w:ascii="Times New Roman" w:hAnsi="Times New Roman" w:cs="Times New Roman"/>
                <w:bCs/>
                <w:color w:val="auto"/>
                <w:sz w:val="24"/>
                <w:highlight w:val="none"/>
                <w:u w:val="none" w:color="auto"/>
                <w:lang w:eastAsia="zh-CN"/>
              </w:rPr>
              <w:t>，</w:t>
            </w:r>
            <w:r>
              <w:rPr>
                <w:rFonts w:ascii="Times New Roman" w:hAnsi="Times New Roman" w:cs="Times New Roman"/>
                <w:bCs/>
                <w:color w:val="auto"/>
                <w:sz w:val="24"/>
                <w:highlight w:val="none"/>
                <w:u w:val="none" w:color="auto"/>
              </w:rPr>
              <w:t>因此将厂区进行分区防渗。</w:t>
            </w:r>
          </w:p>
          <w:p>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将</w:t>
            </w:r>
            <w:r>
              <w:rPr>
                <w:rFonts w:hint="default" w:ascii="Times New Roman" w:hAnsi="Times New Roman" w:cs="Times New Roman"/>
                <w:bCs/>
                <w:color w:val="auto"/>
                <w:sz w:val="24"/>
                <w:highlight w:val="none"/>
                <w:u w:val="none" w:color="auto"/>
                <w:lang w:val="en-US" w:eastAsia="zh-CN"/>
              </w:rPr>
              <w:t>标准</w:t>
            </w:r>
            <w:r>
              <w:rPr>
                <w:rFonts w:ascii="Times New Roman" w:hAnsi="Times New Roman" w:cs="Times New Roman"/>
                <w:bCs/>
                <w:color w:val="auto"/>
                <w:sz w:val="24"/>
                <w:highlight w:val="none"/>
                <w:u w:val="none" w:color="auto"/>
              </w:rPr>
              <w:t>厂</w:t>
            </w:r>
            <w:r>
              <w:rPr>
                <w:rFonts w:hint="default" w:ascii="Times New Roman" w:hAnsi="Times New Roman" w:cs="Times New Roman"/>
                <w:bCs/>
                <w:color w:val="auto"/>
                <w:sz w:val="24"/>
                <w:highlight w:val="none"/>
                <w:u w:val="none" w:color="auto"/>
                <w:lang w:val="en-US" w:eastAsia="zh-CN"/>
              </w:rPr>
              <w:t>房</w:t>
            </w:r>
            <w:r>
              <w:rPr>
                <w:rFonts w:ascii="Times New Roman" w:hAnsi="Times New Roman" w:cs="Times New Roman"/>
                <w:bCs/>
                <w:color w:val="auto"/>
                <w:sz w:val="24"/>
                <w:highlight w:val="none"/>
                <w:u w:val="none" w:color="auto"/>
              </w:rPr>
              <w:t>内</w:t>
            </w:r>
            <w:r>
              <w:rPr>
                <w:rFonts w:hint="eastAsia" w:ascii="Times New Roman" w:hAnsi="Times New Roman" w:cs="Times New Roman"/>
                <w:bCs/>
                <w:color w:val="auto"/>
                <w:sz w:val="24"/>
                <w:highlight w:val="none"/>
                <w:u w:val="none" w:color="auto"/>
                <w:lang w:val="en-US" w:eastAsia="zh-CN"/>
              </w:rPr>
              <w:t>绝缘油和稀释剂等原辅材料</w:t>
            </w:r>
            <w:r>
              <w:rPr>
                <w:rFonts w:hint="default" w:ascii="Times New Roman" w:hAnsi="Times New Roman" w:cs="Times New Roman"/>
                <w:bCs/>
                <w:color w:val="auto"/>
                <w:sz w:val="24"/>
                <w:highlight w:val="none"/>
                <w:u w:val="none" w:color="auto"/>
                <w:lang w:val="en-US" w:eastAsia="zh-CN"/>
              </w:rPr>
              <w:t>存放区、</w:t>
            </w:r>
            <w:r>
              <w:rPr>
                <w:rFonts w:ascii="Times New Roman" w:hAnsi="Times New Roman"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间根据重点防渗的路面进行涂层及水泥混合防渗。同时应将各种物料和废料贮存在可以防风、防雨、防渗透、防泄漏的设施内，避免雨水直接接触物料</w:t>
            </w:r>
            <w:r>
              <w:rPr>
                <w:rFonts w:hint="default" w:ascii="Times New Roman" w:hAnsi="Times New Roman" w:cs="Times New Roman"/>
                <w:bCs/>
                <w:color w:val="auto"/>
                <w:sz w:val="24"/>
                <w:highlight w:val="none"/>
                <w:u w:val="none" w:color="auto"/>
                <w:lang w:eastAsia="zh-CN"/>
              </w:rPr>
              <w:t>，</w:t>
            </w:r>
            <w:r>
              <w:rPr>
                <w:rFonts w:ascii="Times New Roman" w:hAnsi="Times New Roman" w:cs="Times New Roman"/>
                <w:bCs/>
                <w:color w:val="auto"/>
                <w:sz w:val="24"/>
                <w:highlight w:val="none"/>
                <w:u w:val="none" w:color="auto"/>
              </w:rPr>
              <w:t>避免污染物的跑、冒、滴、漏污染地下水及土壤。</w:t>
            </w:r>
          </w:p>
          <w:p>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建设单位需做好</w:t>
            </w:r>
            <w:r>
              <w:rPr>
                <w:rFonts w:hint="default" w:ascii="Times New Roman" w:hAnsi="Times New Roman" w:cs="Times New Roman"/>
                <w:bCs/>
                <w:color w:val="auto"/>
                <w:sz w:val="24"/>
                <w:highlight w:val="none"/>
                <w:u w:val="none" w:color="auto"/>
                <w:lang w:val="en-US" w:eastAsia="zh-CN"/>
              </w:rPr>
              <w:t>标准</w:t>
            </w:r>
            <w:r>
              <w:rPr>
                <w:rFonts w:ascii="Times New Roman" w:hAnsi="Times New Roman" w:cs="Times New Roman"/>
                <w:bCs/>
                <w:color w:val="auto"/>
                <w:sz w:val="24"/>
                <w:highlight w:val="none"/>
                <w:u w:val="none" w:color="auto"/>
              </w:rPr>
              <w:t>厂</w:t>
            </w:r>
            <w:r>
              <w:rPr>
                <w:rFonts w:hint="default" w:ascii="Times New Roman" w:hAnsi="Times New Roman" w:cs="Times New Roman"/>
                <w:bCs/>
                <w:color w:val="auto"/>
                <w:sz w:val="24"/>
                <w:highlight w:val="none"/>
                <w:u w:val="none" w:color="auto"/>
                <w:lang w:val="en-US" w:eastAsia="zh-CN"/>
              </w:rPr>
              <w:t>房</w:t>
            </w:r>
            <w:r>
              <w:rPr>
                <w:rFonts w:ascii="Times New Roman" w:hAnsi="Times New Roman" w:cs="Times New Roman"/>
                <w:bCs/>
                <w:color w:val="auto"/>
                <w:sz w:val="24"/>
                <w:highlight w:val="none"/>
                <w:u w:val="none" w:color="auto"/>
              </w:rPr>
              <w:t>内</w:t>
            </w:r>
            <w:r>
              <w:rPr>
                <w:rFonts w:hint="eastAsia" w:ascii="Times New Roman" w:hAnsi="Times New Roman" w:cs="Times New Roman"/>
                <w:bCs/>
                <w:color w:val="auto"/>
                <w:sz w:val="24"/>
                <w:highlight w:val="none"/>
                <w:u w:val="none" w:color="auto"/>
                <w:lang w:val="en-US" w:eastAsia="zh-CN"/>
              </w:rPr>
              <w:t>绝缘油和稀释剂等原辅材料</w:t>
            </w:r>
            <w:r>
              <w:rPr>
                <w:rFonts w:hint="default" w:ascii="Times New Roman" w:hAnsi="Times New Roman" w:cs="Times New Roman"/>
                <w:bCs/>
                <w:color w:val="auto"/>
                <w:sz w:val="24"/>
                <w:highlight w:val="none"/>
                <w:u w:val="none" w:color="auto"/>
                <w:lang w:val="en-US" w:eastAsia="zh-CN"/>
              </w:rPr>
              <w:t>存放区、</w:t>
            </w:r>
            <w:r>
              <w:rPr>
                <w:rFonts w:ascii="Times New Roman" w:hAnsi="Times New Roman"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间的防渗工作，有效防止</w:t>
            </w:r>
            <w:r>
              <w:rPr>
                <w:rFonts w:hint="default" w:ascii="Times New Roman" w:hAnsi="Times New Roman" w:cs="Times New Roman"/>
                <w:bCs/>
                <w:color w:val="auto"/>
                <w:sz w:val="24"/>
                <w:highlight w:val="none"/>
                <w:u w:val="none" w:color="auto"/>
                <w:lang w:val="en-US" w:eastAsia="zh-CN"/>
              </w:rPr>
              <w:t>化学品、</w:t>
            </w:r>
            <w:r>
              <w:rPr>
                <w:rFonts w:hint="default" w:ascii="Times New Roman" w:hAnsi="Times New Roman" w:cs="Times New Roman"/>
                <w:bCs/>
                <w:color w:val="auto"/>
                <w:sz w:val="24"/>
                <w:highlight w:val="none"/>
                <w:u w:val="none" w:color="auto"/>
              </w:rPr>
              <w:t>危险废物</w:t>
            </w:r>
            <w:r>
              <w:rPr>
                <w:rFonts w:ascii="Times New Roman" w:hAnsi="Times New Roman" w:cs="Times New Roman"/>
                <w:bCs/>
                <w:color w:val="auto"/>
                <w:sz w:val="24"/>
                <w:highlight w:val="none"/>
                <w:u w:val="none" w:color="auto"/>
              </w:rPr>
              <w:t>泄露污染，降低本项目对地下水环境的影响。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按照分区防渗的要求，本项目提出以下分区防渗要求见表4-</w:t>
            </w:r>
            <w:r>
              <w:rPr>
                <w:rFonts w:hint="eastAsia" w:ascii="Times New Roman" w:hAnsi="Times New Roman" w:cs="Times New Roman"/>
                <w:bCs/>
                <w:color w:val="auto"/>
                <w:sz w:val="24"/>
                <w:highlight w:val="none"/>
                <w:u w:val="none" w:color="auto"/>
                <w:lang w:val="en-US" w:eastAsia="zh-CN"/>
              </w:rPr>
              <w:t>7</w:t>
            </w:r>
            <w:r>
              <w:rPr>
                <w:rFonts w:ascii="Times New Roman" w:hAnsi="Times New Roman" w:cs="Times New Roman"/>
                <w:bCs/>
                <w:color w:val="auto"/>
                <w:sz w:val="24"/>
                <w:highlight w:val="none"/>
                <w:u w:val="none" w:color="auto"/>
              </w:rPr>
              <w:t>。</w:t>
            </w:r>
          </w:p>
          <w:p>
            <w:pPr>
              <w:jc w:val="center"/>
              <w:rPr>
                <w:rFonts w:ascii="Times New Roman" w:hAnsi="Times New Roman" w:cs="Times New Roman"/>
                <w:b/>
                <w:color w:val="auto"/>
                <w:sz w:val="24"/>
                <w:szCs w:val="20"/>
                <w:highlight w:val="none"/>
                <w:u w:val="none" w:color="auto"/>
                <w:lang w:bidi="ar"/>
              </w:rPr>
            </w:pPr>
            <w:r>
              <w:rPr>
                <w:rFonts w:ascii="Times New Roman" w:hAnsi="Times New Roman" w:cs="Times New Roman"/>
                <w:b/>
                <w:color w:val="auto"/>
                <w:sz w:val="24"/>
                <w:szCs w:val="20"/>
                <w:highlight w:val="none"/>
                <w:u w:val="none" w:color="auto"/>
                <w:lang w:bidi="ar"/>
              </w:rPr>
              <w:t>表4-</w:t>
            </w:r>
            <w:r>
              <w:rPr>
                <w:rFonts w:hint="eastAsia" w:ascii="Times New Roman" w:hAnsi="Times New Roman" w:cs="Times New Roman"/>
                <w:b/>
                <w:color w:val="auto"/>
                <w:sz w:val="24"/>
                <w:szCs w:val="20"/>
                <w:highlight w:val="none"/>
                <w:u w:val="none" w:color="auto"/>
                <w:lang w:val="en-US" w:eastAsia="zh-CN" w:bidi="ar"/>
              </w:rPr>
              <w:t>7</w:t>
            </w:r>
            <w:r>
              <w:rPr>
                <w:rFonts w:ascii="Times New Roman" w:hAnsi="Times New Roman" w:cs="Times New Roman"/>
                <w:b/>
                <w:color w:val="auto"/>
                <w:sz w:val="24"/>
                <w:szCs w:val="20"/>
                <w:highlight w:val="none"/>
                <w:u w:val="none" w:color="auto"/>
                <w:lang w:bidi="ar"/>
              </w:rPr>
              <w:t xml:space="preserve"> </w:t>
            </w:r>
            <w:r>
              <w:rPr>
                <w:rFonts w:hint="default" w:ascii="Times New Roman" w:hAnsi="Times New Roman" w:cs="Times New Roman"/>
                <w:b/>
                <w:color w:val="auto"/>
                <w:sz w:val="24"/>
                <w:szCs w:val="20"/>
                <w:highlight w:val="none"/>
                <w:u w:val="none" w:color="auto"/>
                <w:lang w:bidi="ar"/>
              </w:rPr>
              <w:t xml:space="preserve"> </w:t>
            </w:r>
            <w:r>
              <w:rPr>
                <w:rFonts w:ascii="Times New Roman" w:hAnsi="Times New Roman" w:cs="Times New Roman"/>
                <w:b/>
                <w:color w:val="auto"/>
                <w:sz w:val="24"/>
                <w:szCs w:val="20"/>
                <w:highlight w:val="none"/>
                <w:u w:val="none" w:color="auto"/>
                <w:lang w:bidi="ar"/>
              </w:rPr>
              <w:t>项目污染区划分及防渗等级表</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1256"/>
              <w:gridCol w:w="1142"/>
              <w:gridCol w:w="1237"/>
              <w:gridCol w:w="1881"/>
              <w:gridCol w:w="143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071"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b/>
                      <w:bCs/>
                      <w:color w:val="auto"/>
                      <w:kern w:val="0"/>
                      <w:szCs w:val="21"/>
                      <w:highlight w:val="none"/>
                      <w:u w:val="none" w:color="auto"/>
                    </w:rPr>
                  </w:pPr>
                  <w:r>
                    <w:rPr>
                      <w:rFonts w:hint="default" w:ascii="Times New Roman" w:hAnsi="Times New Roman" w:cs="Times New Roman"/>
                      <w:b/>
                      <w:bCs/>
                      <w:color w:val="auto"/>
                      <w:kern w:val="0"/>
                      <w:szCs w:val="21"/>
                      <w:highlight w:val="none"/>
                      <w:u w:val="none" w:color="auto"/>
                      <w:lang w:eastAsia="zh-CN"/>
                    </w:rPr>
                    <w:t>防渗分区</w:t>
                  </w:r>
                </w:p>
              </w:tc>
              <w:tc>
                <w:tcPr>
                  <w:tcW w:w="1242"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天然包气带防污性能</w:t>
                  </w:r>
                </w:p>
              </w:tc>
              <w:tc>
                <w:tcPr>
                  <w:tcW w:w="113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污染控制难易程度</w:t>
                  </w:r>
                </w:p>
              </w:tc>
              <w:tc>
                <w:tcPr>
                  <w:tcW w:w="1224"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val="en-US" w:eastAsia="zh-CN"/>
                    </w:rPr>
                    <w:t>污染物类型</w:t>
                  </w:r>
                </w:p>
              </w:tc>
              <w:tc>
                <w:tcPr>
                  <w:tcW w:w="186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防渗技术要求</w:t>
                  </w:r>
                </w:p>
              </w:tc>
              <w:tc>
                <w:tcPr>
                  <w:tcW w:w="1419" w:type="dxa"/>
                  <w:tcBorders>
                    <w:tl2br w:val="nil"/>
                    <w:tr2bl w:val="nil"/>
                  </w:tcBorders>
                  <w:noWrap w:val="0"/>
                  <w:vAlign w:val="center"/>
                </w:tcPr>
                <w:p>
                  <w:pPr>
                    <w:adjustRightInd w:val="0"/>
                    <w:snapToGrid w:val="0"/>
                    <w:jc w:val="center"/>
                    <w:rPr>
                      <w:rFonts w:ascii="Times New Roman" w:hAnsi="Times New Roman" w:cs="Times New Roman"/>
                      <w:b/>
                      <w:bCs/>
                      <w:color w:val="auto"/>
                      <w:szCs w:val="21"/>
                      <w:highlight w:val="none"/>
                      <w:u w:val="none" w:color="auto"/>
                    </w:rPr>
                  </w:pPr>
                  <w:r>
                    <w:rPr>
                      <w:rFonts w:ascii="Times New Roman" w:hAnsi="Times New Roman" w:cs="Times New Roman"/>
                      <w:b/>
                      <w:bCs/>
                      <w:color w:val="auto"/>
                      <w:szCs w:val="21"/>
                      <w:highlight w:val="none"/>
                      <w:u w:val="none" w:color="auto"/>
                    </w:rPr>
                    <w:t>项目分区要求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vMerge w:val="restart"/>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重点防渗区</w:t>
                  </w:r>
                </w:p>
              </w:tc>
              <w:tc>
                <w:tcPr>
                  <w:tcW w:w="1242"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3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24" w:type="dxa"/>
                  <w:vMerge w:val="restart"/>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60" w:type="dxa"/>
                  <w:vMerge w:val="restart"/>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等效黏土防渗层Mb≥6m，渗透系数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19" w:type="dxa"/>
                  <w:vMerge w:val="restart"/>
                  <w:tcBorders>
                    <w:tl2br w:val="nil"/>
                    <w:tr2bl w:val="nil"/>
                  </w:tcBorders>
                  <w:noWrap w:val="0"/>
                  <w:vAlign w:val="center"/>
                </w:tcPr>
                <w:p>
                  <w:pPr>
                    <w:adjustRightInd w:val="0"/>
                    <w:snapToGrid w:val="0"/>
                    <w:jc w:val="center"/>
                    <w:rPr>
                      <w:rFonts w:ascii="Times New Roman" w:hAnsi="Times New Roman" w:cs="Times New Roman"/>
                      <w:color w:val="auto"/>
                      <w:szCs w:val="21"/>
                      <w:highlight w:val="none"/>
                      <w:u w:val="none" w:color="auto"/>
                    </w:rPr>
                  </w:pPr>
                  <w:r>
                    <w:rPr>
                      <w:rFonts w:hint="eastAsia" w:ascii="Times New Roman" w:hAnsi="Times New Roman" w:cs="Times New Roman"/>
                      <w:color w:val="auto"/>
                      <w:szCs w:val="21"/>
                      <w:highlight w:val="none"/>
                      <w:u w:val="none" w:color="auto"/>
                      <w:lang w:val="en-US" w:eastAsia="zh-CN"/>
                    </w:rPr>
                    <w:t>绝缘油和稀释剂</w:t>
                  </w:r>
                  <w:r>
                    <w:rPr>
                      <w:rFonts w:hint="default" w:ascii="Times New Roman" w:hAnsi="Times New Roman" w:cs="Times New Roman"/>
                      <w:color w:val="auto"/>
                      <w:szCs w:val="21"/>
                      <w:highlight w:val="none"/>
                      <w:u w:val="none" w:color="auto"/>
                      <w:lang w:val="en-US" w:eastAsia="zh-CN"/>
                    </w:rPr>
                    <w:t>存放区、</w:t>
                  </w:r>
                  <w:r>
                    <w:rPr>
                      <w:rFonts w:ascii="Times New Roman" w:hAnsi="Times New Roman" w:cs="Times New Roman"/>
                      <w:color w:val="auto"/>
                      <w:szCs w:val="21"/>
                      <w:highlight w:val="none"/>
                      <w:u w:val="none" w:color="auto"/>
                    </w:rPr>
                    <w:t>危废</w:t>
                  </w:r>
                  <w:r>
                    <w:rPr>
                      <w:rFonts w:hint="default" w:ascii="Times New Roman" w:hAnsi="Times New Roman" w:cs="Times New Roman"/>
                      <w:color w:val="auto"/>
                      <w:szCs w:val="21"/>
                      <w:highlight w:val="none"/>
                      <w:u w:val="none" w:color="auto"/>
                      <w:lang w:val="en-US" w:eastAsia="zh-CN"/>
                    </w:rPr>
                    <w:t>暂存</w:t>
                  </w:r>
                  <w:r>
                    <w:rPr>
                      <w:rFonts w:ascii="Times New Roman" w:hAnsi="Times New Roman" w:cs="Times New Roman"/>
                      <w:color w:val="auto"/>
                      <w:szCs w:val="21"/>
                      <w:highlight w:val="none"/>
                      <w:u w:val="none" w:color="auto"/>
                    </w:rPr>
                    <w:t>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vMerge w:val="continue"/>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42"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24" w:type="dxa"/>
                  <w:vMerge w:val="continue"/>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60" w:type="dxa"/>
                  <w:vMerge w:val="continue"/>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19" w:type="dxa"/>
                  <w:vMerge w:val="continue"/>
                  <w:tcBorders>
                    <w:tl2br w:val="nil"/>
                    <w:tr2bl w:val="nil"/>
                  </w:tcBorders>
                  <w:noWrap w:val="0"/>
                  <w:vAlign w:val="center"/>
                </w:tcPr>
                <w:p>
                  <w:pPr>
                    <w:adjustRightInd w:val="0"/>
                    <w:snapToGrid w:val="0"/>
                    <w:jc w:val="center"/>
                    <w:rPr>
                      <w:rFonts w:ascii="Times New Roman" w:hAnsi="Times New Roman" w:cs="Times New Roman"/>
                      <w:color w:val="auto"/>
                      <w:szCs w:val="21"/>
                      <w:highlight w:val="none"/>
                      <w:u w:val="none" w:color="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1" w:type="dxa"/>
                  <w:vMerge w:val="restart"/>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一般防渗区</w:t>
                  </w:r>
                </w:p>
              </w:tc>
              <w:tc>
                <w:tcPr>
                  <w:tcW w:w="1242"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24"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60" w:type="dxa"/>
                  <w:vMerge w:val="restart"/>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w:t>
                  </w:r>
                  <w:r>
                    <w:rPr>
                      <w:rFonts w:hint="default" w:ascii="Times New Roman" w:hAnsi="Times New Roman" w:cs="Times New Roman"/>
                      <w:b w:val="0"/>
                      <w:bCs w:val="0"/>
                      <w:color w:val="auto"/>
                      <w:szCs w:val="21"/>
                      <w:highlight w:val="none"/>
                      <w:u w:val="none" w:color="auto"/>
                      <w:lang w:val="en-US" w:eastAsia="zh-CN"/>
                    </w:rPr>
                    <w:t>1.5</w:t>
                  </w:r>
                  <w:r>
                    <w:rPr>
                      <w:rFonts w:hint="default" w:ascii="Times New Roman" w:hAnsi="Times New Roman" w:eastAsia="宋体" w:cs="Times New Roman"/>
                      <w:b w:val="0"/>
                      <w:bCs w:val="0"/>
                      <w:color w:val="auto"/>
                      <w:szCs w:val="21"/>
                      <w:highlight w:val="none"/>
                      <w:u w:val="none" w:color="auto"/>
                    </w:rPr>
                    <w:t>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19" w:type="dxa"/>
                  <w:vMerge w:val="restart"/>
                  <w:tcBorders>
                    <w:tl2br w:val="nil"/>
                    <w:tr2bl w:val="nil"/>
                  </w:tcBorders>
                  <w:noWrap w:val="0"/>
                  <w:vAlign w:val="center"/>
                </w:tcPr>
                <w:p>
                  <w:pPr>
                    <w:adjustRightInd w:val="0"/>
                    <w:snapToGrid w:val="0"/>
                    <w:jc w:val="center"/>
                    <w:rPr>
                      <w:rFonts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其他生产区域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vMerge w:val="continue"/>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42"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3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24" w:type="dxa"/>
                  <w:vMerge w:val="restart"/>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60" w:type="dxa"/>
                  <w:vMerge w:val="continue"/>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19" w:type="dxa"/>
                  <w:vMerge w:val="continue"/>
                  <w:tcBorders>
                    <w:tl2br w:val="nil"/>
                    <w:tr2bl w:val="nil"/>
                  </w:tcBorders>
                  <w:noWrap w:val="0"/>
                  <w:vAlign w:val="center"/>
                </w:tcPr>
                <w:p>
                  <w:pPr>
                    <w:adjustRightInd w:val="0"/>
                    <w:snapToGrid w:val="0"/>
                    <w:jc w:val="center"/>
                    <w:rPr>
                      <w:rFonts w:ascii="Times New Roman" w:hAnsi="Times New Roman" w:cs="Times New Roman"/>
                      <w:color w:val="auto"/>
                      <w:szCs w:val="21"/>
                      <w:highlight w:val="none"/>
                      <w:u w:val="none" w:color="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vMerge w:val="continue"/>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42"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24" w:type="dxa"/>
                  <w:vMerge w:val="continue"/>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60" w:type="dxa"/>
                  <w:vMerge w:val="continue"/>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19" w:type="dxa"/>
                  <w:vMerge w:val="continue"/>
                  <w:tcBorders>
                    <w:tl2br w:val="nil"/>
                    <w:tr2bl w:val="nil"/>
                  </w:tcBorders>
                  <w:noWrap w:val="0"/>
                  <w:vAlign w:val="center"/>
                </w:tcPr>
                <w:p>
                  <w:pPr>
                    <w:adjustRightInd w:val="0"/>
                    <w:snapToGrid w:val="0"/>
                    <w:jc w:val="center"/>
                    <w:rPr>
                      <w:rFonts w:ascii="Times New Roman" w:hAnsi="Times New Roman" w:cs="Times New Roman"/>
                      <w:color w:val="auto"/>
                      <w:szCs w:val="21"/>
                      <w:highlight w:val="none"/>
                      <w:u w:val="none" w:color="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简单防渗区</w:t>
                  </w:r>
                </w:p>
              </w:tc>
              <w:tc>
                <w:tcPr>
                  <w:tcW w:w="1242"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24"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60" w:type="dxa"/>
                  <w:tcBorders>
                    <w:tl2br w:val="nil"/>
                    <w:tr2bl w:val="nil"/>
                  </w:tcBorders>
                  <w:noWrap w:val="0"/>
                  <w:vAlign w:val="center"/>
                </w:tcPr>
                <w:p>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一</w:t>
                  </w:r>
                  <w:r>
                    <w:rPr>
                      <w:rFonts w:hint="default" w:ascii="Times New Roman" w:hAnsi="Times New Roman" w:eastAsia="宋体" w:cs="Times New Roman"/>
                      <w:b w:val="0"/>
                      <w:bCs w:val="0"/>
                      <w:color w:val="auto"/>
                      <w:szCs w:val="21"/>
                      <w:highlight w:val="none"/>
                      <w:u w:val="none" w:color="auto"/>
                    </w:rPr>
                    <w:t>般地面硬化</w:t>
                  </w:r>
                </w:p>
              </w:tc>
              <w:tc>
                <w:tcPr>
                  <w:tcW w:w="1419" w:type="dxa"/>
                  <w:tcBorders>
                    <w:tl2br w:val="nil"/>
                    <w:tr2bl w:val="nil"/>
                  </w:tcBorders>
                  <w:noWrap w:val="0"/>
                  <w:vAlign w:val="center"/>
                </w:tcPr>
                <w:p>
                  <w:pPr>
                    <w:adjustRightInd w:val="0"/>
                    <w:snapToGrid w:val="0"/>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项目其余场地</w:t>
                  </w:r>
                </w:p>
              </w:tc>
            </w:tr>
          </w:tbl>
          <w:p>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b/>
                <w:snapToGrid w:val="0"/>
                <w:color w:val="auto"/>
                <w:kern w:val="0"/>
                <w:sz w:val="24"/>
                <w:highlight w:val="none"/>
                <w:u w:val="none" w:color="auto"/>
                <w:lang w:val="en-US" w:eastAsia="zh-CN"/>
              </w:rPr>
            </w:pPr>
            <w:r>
              <w:rPr>
                <w:rFonts w:hint="default" w:ascii="Times New Roman" w:hAnsi="Times New Roman" w:cs="Times New Roman"/>
                <w:bCs/>
                <w:color w:val="auto"/>
                <w:sz w:val="24"/>
                <w:highlight w:val="none"/>
                <w:u w:val="none" w:color="auto"/>
              </w:rPr>
              <w:t>本项目周边无集中式地下水源开采及保护区，地下水开发利用活动较少，周边区域均已接通自来水。因此，建设单位在落实好环评提出的各项污染防治措施后，基本不会对区域地下水环境及土壤环境产生不利影响</w:t>
            </w:r>
            <w:r>
              <w:rPr>
                <w:rFonts w:ascii="Times New Roman" w:hAnsi="Times New Roman" w:cs="Times New Roman"/>
                <w:bCs/>
                <w:color w:val="auto"/>
                <w:sz w:val="24"/>
                <w:highlight w:val="none"/>
                <w:u w:val="none" w:color="auto"/>
              </w:rPr>
              <w:t>。</w:t>
            </w:r>
          </w:p>
          <w:p>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w:t>
            </w:r>
            <w:r>
              <w:rPr>
                <w:rFonts w:hint="eastAsia"/>
                <w:b/>
                <w:color w:val="auto"/>
                <w:sz w:val="24"/>
                <w:highlight w:val="none"/>
                <w:u w:val="none" w:color="auto"/>
              </w:rPr>
              <w:t>、噪声</w:t>
            </w:r>
          </w:p>
          <w:p>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rPr>
              <w:t>（1）噪声源强分析</w:t>
            </w:r>
          </w:p>
          <w:p>
            <w:pPr>
              <w:tabs>
                <w:tab w:val="left" w:pos="2310"/>
                <w:tab w:val="left" w:pos="2520"/>
                <w:tab w:val="left" w:pos="4200"/>
              </w:tabs>
              <w:spacing w:line="460" w:lineRule="exact"/>
              <w:ind w:firstLine="480" w:firstLineChars="200"/>
              <w:rPr>
                <w:color w:val="auto"/>
                <w:sz w:val="24"/>
                <w:szCs w:val="24"/>
                <w:highlight w:val="none"/>
                <w:u w:val="none" w:color="auto"/>
              </w:rPr>
            </w:pPr>
            <w:r>
              <w:rPr>
                <w:rFonts w:hint="eastAsia"/>
                <w:color w:val="auto"/>
                <w:sz w:val="24"/>
                <w:highlight w:val="none"/>
                <w:u w:val="none" w:color="auto"/>
              </w:rPr>
              <w:t>本</w:t>
            </w:r>
            <w:r>
              <w:rPr>
                <w:color w:val="auto"/>
                <w:sz w:val="24"/>
                <w:highlight w:val="none"/>
                <w:u w:val="none" w:color="auto"/>
              </w:rPr>
              <w:t>项目</w:t>
            </w:r>
            <w:r>
              <w:rPr>
                <w:rFonts w:hint="eastAsia"/>
                <w:color w:val="auto"/>
                <w:sz w:val="24"/>
                <w:highlight w:val="none"/>
                <w:u w:val="none" w:color="auto"/>
              </w:rPr>
              <w:t>营运期</w:t>
            </w:r>
            <w:r>
              <w:rPr>
                <w:color w:val="auto"/>
                <w:sz w:val="24"/>
                <w:highlight w:val="none"/>
                <w:u w:val="none" w:color="auto"/>
              </w:rPr>
              <w:t>主要</w:t>
            </w:r>
            <w:r>
              <w:rPr>
                <w:color w:val="auto"/>
                <w:sz w:val="24"/>
                <w:szCs w:val="24"/>
                <w:highlight w:val="none"/>
                <w:u w:val="none" w:color="auto"/>
              </w:rPr>
              <w:t>噪声源为</w:t>
            </w:r>
            <w:r>
              <w:rPr>
                <w:rFonts w:hint="eastAsia" w:ascii="宋体" w:hAnsi="宋体" w:eastAsia="宋体" w:cs="宋体"/>
                <w:b w:val="0"/>
                <w:bCs w:val="0"/>
                <w:i w:val="0"/>
                <w:color w:val="auto"/>
                <w:kern w:val="0"/>
                <w:sz w:val="24"/>
                <w:szCs w:val="24"/>
                <w:highlight w:val="none"/>
                <w:u w:val="none" w:color="auto"/>
                <w:lang w:val="en-US" w:eastAsia="zh-CN" w:bidi="ar"/>
              </w:rPr>
              <w:t>绕线机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拉力机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隧道炉</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激光机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螺杆式空压机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手动点胶机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半成品切脚机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剥皮机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环型包胶机</w:t>
            </w:r>
            <w:r>
              <w:rPr>
                <w:rFonts w:hint="eastAsia" w:ascii="宋体" w:hAnsi="宋体" w:cs="宋体"/>
                <w:b w:val="0"/>
                <w:bCs w:val="0"/>
                <w:i w:val="0"/>
                <w:color w:val="auto"/>
                <w:kern w:val="0"/>
                <w:sz w:val="24"/>
                <w:szCs w:val="24"/>
                <w:highlight w:val="none"/>
                <w:u w:val="none" w:color="auto"/>
                <w:lang w:val="en-US" w:eastAsia="zh-CN" w:bidi="ar"/>
              </w:rPr>
              <w:t>、</w:t>
            </w:r>
            <w:r>
              <w:rPr>
                <w:rFonts w:hint="eastAsia" w:ascii="宋体" w:hAnsi="宋体" w:eastAsia="宋体" w:cs="宋体"/>
                <w:b w:val="0"/>
                <w:bCs w:val="0"/>
                <w:i w:val="0"/>
                <w:color w:val="auto"/>
                <w:kern w:val="0"/>
                <w:sz w:val="24"/>
                <w:szCs w:val="24"/>
                <w:highlight w:val="none"/>
                <w:u w:val="none" w:color="auto"/>
                <w:lang w:val="en-US" w:eastAsia="zh-CN" w:bidi="ar"/>
              </w:rPr>
              <w:t>电动叉车</w:t>
            </w:r>
            <w:r>
              <w:rPr>
                <w:color w:val="auto"/>
                <w:sz w:val="24"/>
                <w:szCs w:val="24"/>
                <w:highlight w:val="none"/>
                <w:u w:val="none" w:color="auto"/>
              </w:rPr>
              <w:t>等设备运行噪声</w:t>
            </w:r>
            <w:r>
              <w:rPr>
                <w:rFonts w:hint="eastAsia"/>
                <w:color w:val="auto"/>
                <w:sz w:val="24"/>
                <w:szCs w:val="24"/>
                <w:highlight w:val="none"/>
                <w:u w:val="none" w:color="auto"/>
              </w:rPr>
              <w:t>、原材料和产品装卸噪声及运输车辆噪声</w:t>
            </w:r>
            <w:r>
              <w:rPr>
                <w:color w:val="auto"/>
                <w:sz w:val="24"/>
                <w:szCs w:val="24"/>
                <w:highlight w:val="none"/>
                <w:u w:val="none" w:color="auto"/>
              </w:rPr>
              <w:t>，通过类比分析可知</w:t>
            </w:r>
            <w:r>
              <w:rPr>
                <w:color w:val="auto"/>
                <w:sz w:val="24"/>
                <w:highlight w:val="none"/>
                <w:u w:val="none" w:color="auto"/>
              </w:rPr>
              <w:t>，其噪声源强约为75-85dB(A)</w:t>
            </w:r>
            <w:r>
              <w:rPr>
                <w:rFonts w:hint="eastAsia"/>
                <w:color w:val="auto"/>
                <w:sz w:val="24"/>
                <w:highlight w:val="none"/>
                <w:u w:val="none" w:color="auto"/>
              </w:rPr>
              <w:t>，</w:t>
            </w:r>
            <w:r>
              <w:rPr>
                <w:color w:val="auto"/>
                <w:sz w:val="24"/>
                <w:szCs w:val="24"/>
                <w:highlight w:val="none"/>
                <w:u w:val="none" w:color="auto"/>
              </w:rPr>
              <w:t>本项目在营运期各类噪声产生源强见表。</w:t>
            </w:r>
          </w:p>
          <w:p>
            <w:pPr>
              <w:tabs>
                <w:tab w:val="left" w:pos="810"/>
              </w:tabs>
              <w:spacing w:line="460" w:lineRule="exact"/>
              <w:jc w:val="center"/>
              <w:rPr>
                <w:color w:val="auto"/>
                <w:highlight w:val="none"/>
                <w:u w:val="none" w:color="auto"/>
              </w:rPr>
            </w:pPr>
            <w:r>
              <w:rPr>
                <w:rStyle w:val="75"/>
                <w:rFonts w:hint="eastAsia" w:ascii="宋体" w:hAnsi="宋体" w:eastAsia="宋体" w:cs="宋体"/>
                <w:b/>
                <w:bCs/>
                <w:color w:val="auto"/>
                <w:sz w:val="21"/>
                <w:szCs w:val="21"/>
                <w:highlight w:val="none"/>
                <w:u w:val="none" w:color="auto"/>
              </w:rPr>
              <w:t>表</w:t>
            </w:r>
            <w:r>
              <w:rPr>
                <w:rStyle w:val="75"/>
                <w:rFonts w:hint="eastAsia" w:ascii="宋体" w:hAnsi="宋体" w:eastAsia="宋体" w:cs="宋体"/>
                <w:b/>
                <w:bCs/>
                <w:color w:val="auto"/>
                <w:sz w:val="21"/>
                <w:szCs w:val="21"/>
                <w:highlight w:val="none"/>
                <w:u w:val="none" w:color="auto"/>
                <w:lang w:val="en-US" w:eastAsia="zh-CN"/>
              </w:rPr>
              <w:t>4-</w:t>
            </w:r>
            <w:r>
              <w:rPr>
                <w:rStyle w:val="75"/>
                <w:rFonts w:hint="eastAsia" w:ascii="宋体" w:hAnsi="宋体" w:cs="宋体"/>
                <w:b/>
                <w:bCs/>
                <w:color w:val="auto"/>
                <w:sz w:val="21"/>
                <w:szCs w:val="21"/>
                <w:highlight w:val="none"/>
                <w:u w:val="none" w:color="auto"/>
                <w:lang w:val="en-US" w:eastAsia="zh-CN"/>
              </w:rPr>
              <w:t>8</w:t>
            </w:r>
            <w:r>
              <w:rPr>
                <w:rStyle w:val="75"/>
                <w:rFonts w:hint="eastAsia" w:ascii="宋体" w:hAnsi="宋体" w:eastAsia="宋体" w:cs="宋体"/>
                <w:b/>
                <w:bCs/>
                <w:color w:val="auto"/>
                <w:sz w:val="21"/>
                <w:szCs w:val="21"/>
                <w:highlight w:val="none"/>
                <w:u w:val="none" w:color="auto"/>
              </w:rPr>
              <w:t xml:space="preserve">  项目运行期噪声产生及治理情</w:t>
            </w:r>
            <w:r>
              <w:rPr>
                <w:rFonts w:hint="eastAsia" w:ascii="宋体" w:hAnsi="宋体" w:eastAsia="宋体" w:cs="宋体"/>
                <w:b/>
                <w:bCs/>
                <w:color w:val="auto"/>
                <w:sz w:val="21"/>
                <w:szCs w:val="21"/>
                <w:highlight w:val="none"/>
                <w:u w:val="none" w:color="auto"/>
              </w:rPr>
              <w:t>况表</w:t>
            </w:r>
          </w:p>
          <w:tbl>
            <w:tblPr>
              <w:tblStyle w:val="27"/>
              <w:tblW w:w="81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
              <w:gridCol w:w="611"/>
              <w:gridCol w:w="818"/>
              <w:gridCol w:w="446"/>
              <w:gridCol w:w="713"/>
              <w:gridCol w:w="580"/>
              <w:gridCol w:w="580"/>
              <w:gridCol w:w="453"/>
              <w:gridCol w:w="621"/>
              <w:gridCol w:w="594"/>
              <w:gridCol w:w="466"/>
              <w:gridCol w:w="698"/>
              <w:gridCol w:w="631"/>
              <w:gridCol w:w="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7"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序号</w:t>
                  </w:r>
                </w:p>
              </w:tc>
              <w:tc>
                <w:tcPr>
                  <w:tcW w:w="611"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建筑物名称</w:t>
                  </w:r>
                </w:p>
              </w:tc>
              <w:tc>
                <w:tcPr>
                  <w:tcW w:w="818"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声源名称</w:t>
                  </w:r>
                </w:p>
              </w:tc>
              <w:tc>
                <w:tcPr>
                  <w:tcW w:w="446"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型号</w:t>
                  </w:r>
                </w:p>
              </w:tc>
              <w:tc>
                <w:tcPr>
                  <w:tcW w:w="713"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声功率级/db(A)</w:t>
                  </w:r>
                </w:p>
              </w:tc>
              <w:tc>
                <w:tcPr>
                  <w:tcW w:w="1613" w:type="dxa"/>
                  <w:gridSpan w:val="3"/>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空间相对位置/m</w:t>
                  </w:r>
                </w:p>
              </w:tc>
              <w:tc>
                <w:tcPr>
                  <w:tcW w:w="621"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距室内边界距离/m</w:t>
                  </w:r>
                </w:p>
              </w:tc>
              <w:tc>
                <w:tcPr>
                  <w:tcW w:w="594"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室内边界声级/db(A)</w:t>
                  </w:r>
                </w:p>
              </w:tc>
              <w:tc>
                <w:tcPr>
                  <w:tcW w:w="466"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运行时段</w:t>
                  </w:r>
                </w:p>
              </w:tc>
              <w:tc>
                <w:tcPr>
                  <w:tcW w:w="698"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建筑物插入损失/db(A)</w:t>
                  </w:r>
                </w:p>
              </w:tc>
              <w:tc>
                <w:tcPr>
                  <w:tcW w:w="1246"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建筑物外噪声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07"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1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818"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44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713"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X</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Y</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Z</w:t>
                  </w:r>
                </w:p>
              </w:tc>
              <w:tc>
                <w:tcPr>
                  <w:tcW w:w="62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594"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声压级/db(A）</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建筑物外距离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1</w:t>
                  </w:r>
                </w:p>
              </w:tc>
              <w:tc>
                <w:tcPr>
                  <w:tcW w:w="611"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工业标准厂房</w:t>
                  </w: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绕线机</w:t>
                  </w:r>
                </w:p>
              </w:tc>
              <w:tc>
                <w:tcPr>
                  <w:tcW w:w="446"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70</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25</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17</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7.5</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17</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45.39</w:t>
                  </w:r>
                </w:p>
              </w:tc>
              <w:tc>
                <w:tcPr>
                  <w:tcW w:w="466"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8:00~12:00；13：00~19:00</w:t>
                  </w:r>
                </w:p>
              </w:tc>
              <w:tc>
                <w:tcPr>
                  <w:tcW w:w="69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45.39</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2</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拉力机</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70</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25</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7.5</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47.72</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47.72</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3</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隧道炉</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70</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7.5</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54.43</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54.43</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4</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激光机</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70</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19</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12</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47.72</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47.72</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5</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螺杆式空压机</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75</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15</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39</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12</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15</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51.47</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51.47</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6</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手动点胶机</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65</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9</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12</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49.43</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49.43</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7</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半成品切脚机</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70</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35</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12</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51.93</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51.93</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8</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剥皮机</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65</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9</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40</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12</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9</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45.91</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45.91</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9</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环型包胶机</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65</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11</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16</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12</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11</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44.17</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44.17</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10</w:t>
                  </w:r>
                </w:p>
              </w:tc>
              <w:tc>
                <w:tcPr>
                  <w:tcW w:w="6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1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ascii="Times New Roman" w:hAnsi="Times New Roman" w:eastAsia="宋体" w:cs="Times New Roman"/>
                      <w:color w:val="auto"/>
                      <w:sz w:val="18"/>
                      <w:szCs w:val="18"/>
                      <w:highlight w:val="none"/>
                      <w:u w:val="none" w:color="auto"/>
                      <w:vertAlign w:val="baseline"/>
                      <w:lang w:val="en-US" w:eastAsia="zh-CN"/>
                    </w:rPr>
                    <w:t>电动叉车</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71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75</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w:t>
                  </w:r>
                </w:p>
              </w:tc>
              <w:tc>
                <w:tcPr>
                  <w:tcW w:w="5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9</w:t>
                  </w:r>
                </w:p>
              </w:tc>
              <w:tc>
                <w:tcPr>
                  <w:tcW w:w="4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0.1</w:t>
                  </w:r>
                </w:p>
              </w:tc>
              <w:tc>
                <w:tcPr>
                  <w:tcW w:w="62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w:t>
                  </w:r>
                </w:p>
              </w:tc>
              <w:tc>
                <w:tcPr>
                  <w:tcW w:w="5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58.09</w:t>
                  </w:r>
                </w:p>
              </w:tc>
              <w:tc>
                <w:tcPr>
                  <w:tcW w:w="466"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58.09</w:t>
                  </w:r>
                </w:p>
              </w:tc>
              <w:tc>
                <w:tcPr>
                  <w:tcW w:w="61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7</w:t>
                  </w:r>
                </w:p>
              </w:tc>
            </w:tr>
          </w:tbl>
          <w:p>
            <w:pPr>
              <w:pStyle w:val="36"/>
              <w:keepNext w:val="0"/>
              <w:keepLines w:val="0"/>
              <w:pageBreakBefore w:val="0"/>
              <w:widowControl w:val="0"/>
              <w:kinsoku/>
              <w:wordWrap/>
              <w:overflowPunct/>
              <w:topLinePunct w:val="0"/>
              <w:autoSpaceDE/>
              <w:autoSpaceDN/>
              <w:bidi w:val="0"/>
              <w:snapToGrid/>
              <w:spacing w:line="360" w:lineRule="auto"/>
              <w:textAlignment w:val="auto"/>
              <w:rPr>
                <w:color w:val="auto"/>
                <w:sz w:val="24"/>
                <w:szCs w:val="24"/>
                <w:highlight w:val="none"/>
                <w:u w:val="none" w:color="auto"/>
              </w:rPr>
            </w:pPr>
            <w:r>
              <w:rPr>
                <w:color w:val="auto"/>
                <w:sz w:val="24"/>
                <w:szCs w:val="24"/>
                <w:highlight w:val="none"/>
                <w:u w:val="none" w:color="auto"/>
              </w:rPr>
              <w:t>（</w:t>
            </w:r>
            <w:r>
              <w:rPr>
                <w:rFonts w:hint="eastAsia"/>
                <w:color w:val="auto"/>
                <w:sz w:val="24"/>
                <w:szCs w:val="24"/>
                <w:highlight w:val="none"/>
                <w:u w:val="none" w:color="auto"/>
              </w:rPr>
              <w:t>2</w:t>
            </w:r>
            <w:r>
              <w:rPr>
                <w:color w:val="auto"/>
                <w:sz w:val="24"/>
                <w:szCs w:val="24"/>
                <w:highlight w:val="none"/>
                <w:u w:val="none" w:color="auto"/>
              </w:rPr>
              <w:t>）噪声预测</w: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本次评价预测模式采用《环境影响评价技术导则</w:t>
            </w:r>
            <w:r>
              <w:rPr>
                <w:color w:val="auto"/>
                <w:sz w:val="24"/>
                <w:szCs w:val="24"/>
                <w:highlight w:val="none"/>
                <w:u w:val="none" w:color="auto"/>
              </w:rPr>
              <w:t xml:space="preserve"> </w:t>
            </w:r>
            <w:r>
              <w:rPr>
                <w:rFonts w:hint="eastAsia"/>
                <w:color w:val="auto"/>
                <w:sz w:val="24"/>
                <w:szCs w:val="24"/>
                <w:highlight w:val="none"/>
                <w:u w:val="none" w:color="auto"/>
              </w:rPr>
              <w:t>声环境》（</w:t>
            </w:r>
            <w:r>
              <w:rPr>
                <w:color w:val="auto"/>
                <w:sz w:val="24"/>
                <w:szCs w:val="24"/>
                <w:highlight w:val="none"/>
                <w:u w:val="none" w:color="auto"/>
              </w:rPr>
              <w:t>HJ2.4-20</w:t>
            </w:r>
            <w:r>
              <w:rPr>
                <w:rFonts w:hint="eastAsia"/>
                <w:color w:val="auto"/>
                <w:sz w:val="24"/>
                <w:szCs w:val="24"/>
                <w:highlight w:val="none"/>
                <w:u w:val="none" w:color="auto"/>
              </w:rPr>
              <w:t>21）中推荐的点声源几何发散衰减模式。根据不同设备的噪声级、距厂界的距离等计算厂界的等效声级。</w: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为评估项目噪声对周围环境的最大影响，本次预测仅考虑几何发散，不考虑大气、地面效应、声屏障吸收和其他方面效应。预测模式如下：</w: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①无指向性点声源几何发散衰减的计算公式：</w:t>
            </w:r>
          </w:p>
          <w:p>
            <w:pPr>
              <w:pStyle w:val="2"/>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color w:val="auto"/>
                <w:position w:val="-32"/>
                <w:sz w:val="24"/>
                <w:szCs w:val="24"/>
                <w:highlight w:val="none"/>
                <w:u w:val="none" w:color="auto"/>
              </w:rPr>
              <w:object>
                <v:shape id="_x0000_i1026" o:spt="75" type="#_x0000_t75" style="height:38.25pt;width:145.5pt;" o:ole="t" filled="f" o:preferrelative="t" stroked="f" coordsize="21600,21600">
                  <v:path/>
                  <v:fill on="f" focussize="0,0"/>
                  <v:stroke on="f"/>
                  <v:imagedata r:id="rId10" o:title=""/>
                  <o:lock v:ext="edit" aspectratio="t"/>
                  <w10:wrap type="none"/>
                  <w10:anchorlock/>
                </v:shape>
                <o:OLEObject Type="Embed" ProgID="Equation.3" ShapeID="_x0000_i1026" DrawAspect="Content" ObjectID="_1468075726" r:id="rId9">
                  <o:LockedField>false</o:LockedField>
                </o:OLEObject>
              </w:objec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式中: L(r)为距声源r处的声级，dB(A)；</w: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L(r0 )为距声源r0处的声级，dB(A)；</w: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color w:val="auto"/>
                <w:sz w:val="24"/>
                <w:szCs w:val="24"/>
                <w:highlight w:val="none"/>
                <w:u w:val="none" w:color="auto"/>
              </w:rPr>
              <w:t>Δ</w:t>
            </w:r>
            <w:r>
              <w:rPr>
                <w:rFonts w:hint="eastAsia"/>
                <w:color w:val="auto"/>
                <w:sz w:val="24"/>
                <w:szCs w:val="24"/>
                <w:highlight w:val="none"/>
                <w:u w:val="none" w:color="auto"/>
              </w:rPr>
              <w:t>L为衰减量，dB（A）。</w: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②对两个以上多个声源同时存在时，各预测点的总声压级采用以下公式对各声源产生的噪声值进行叠加计算：</w:t>
            </w:r>
          </w:p>
          <w:p>
            <w:pPr>
              <w:pStyle w:val="2"/>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color w:val="auto"/>
                <w:position w:val="-30"/>
                <w:sz w:val="24"/>
                <w:szCs w:val="24"/>
                <w:highlight w:val="none"/>
                <w:u w:val="none" w:color="auto"/>
              </w:rPr>
              <w:object>
                <v:shape id="_x0000_i1027" o:spt="75" type="#_x0000_t75" style="height:36pt;width:106.5pt;" o:ole="t" filled="f" o:preferrelative="t" stroked="f" coordsize="21600,21600">
                  <v:path/>
                  <v:fill on="f" focussize="0,0"/>
                  <v:stroke on="f"/>
                  <v:imagedata r:id="rId12" o:title=""/>
                  <o:lock v:ext="edit" aspectratio="t"/>
                  <w10:wrap type="none"/>
                  <w10:anchorlock/>
                </v:shape>
                <o:OLEObject Type="Embed" ProgID="Equation.3" ShapeID="_x0000_i1027" DrawAspect="Content" ObjectID="_1468075727" r:id="rId11">
                  <o:LockedField>false</o:LockedField>
                </o:OLEObject>
              </w:objec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式中：Leq—预测点的总等效声级dB（A）；</w:t>
            </w:r>
          </w:p>
          <w:p>
            <w:pPr>
              <w:keepNext w:val="0"/>
              <w:keepLines w:val="0"/>
              <w:pageBreakBefore w:val="0"/>
              <w:widowControl w:val="0"/>
              <w:kinsoku/>
              <w:wordWrap/>
              <w:overflowPunct/>
              <w:topLinePunct w:val="0"/>
              <w:autoSpaceDE/>
              <w:autoSpaceDN/>
              <w:bidi w:val="0"/>
              <w:snapToGrid/>
              <w:spacing w:line="360" w:lineRule="auto"/>
              <w:ind w:firstLine="480"/>
              <w:textAlignment w:val="auto"/>
              <w:rPr>
                <w:color w:val="auto"/>
                <w:sz w:val="24"/>
                <w:szCs w:val="24"/>
                <w:highlight w:val="none"/>
                <w:u w:val="none" w:color="auto"/>
              </w:rPr>
            </w:pPr>
            <w:r>
              <w:rPr>
                <w:rFonts w:hint="eastAsia"/>
                <w:color w:val="auto"/>
                <w:sz w:val="24"/>
                <w:szCs w:val="24"/>
                <w:highlight w:val="none"/>
                <w:u w:val="none" w:color="auto"/>
              </w:rPr>
              <w:t>Li—第i个声源对预测点的声级影响dB（A）。</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auto"/>
                <w:sz w:val="24"/>
                <w:szCs w:val="24"/>
                <w:highlight w:val="none"/>
                <w:u w:val="none" w:color="auto"/>
              </w:rPr>
            </w:pPr>
            <w:r>
              <w:rPr>
                <w:rFonts w:hint="eastAsia"/>
                <w:color w:val="auto"/>
                <w:sz w:val="24"/>
                <w:szCs w:val="24"/>
                <w:highlight w:val="none"/>
                <w:u w:val="none" w:color="auto"/>
              </w:rPr>
              <w:t>3、预测结果及分析</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auto"/>
                <w:sz w:val="24"/>
                <w:szCs w:val="24"/>
                <w:highlight w:val="none"/>
                <w:u w:val="none" w:color="auto"/>
              </w:rPr>
            </w:pPr>
            <w:r>
              <w:rPr>
                <w:rFonts w:hint="eastAsia"/>
                <w:color w:val="auto"/>
                <w:sz w:val="24"/>
                <w:szCs w:val="24"/>
                <w:highlight w:val="none"/>
                <w:u w:val="none" w:color="auto"/>
              </w:rPr>
              <w:t>利用模式，预测出项目各设备声源在厂界的贡献值，具体结果详见下表。</w:t>
            </w:r>
          </w:p>
          <w:p>
            <w:pPr>
              <w:spacing w:line="240" w:lineRule="auto"/>
              <w:ind w:firstLine="422"/>
              <w:jc w:val="center"/>
              <w:rPr>
                <w:b/>
                <w:bCs/>
                <w:color w:val="auto"/>
                <w:sz w:val="21"/>
                <w:szCs w:val="21"/>
                <w:highlight w:val="none"/>
                <w:u w:val="none" w:color="auto"/>
              </w:rPr>
            </w:pPr>
            <w:r>
              <w:rPr>
                <w:rFonts w:hint="eastAsia"/>
                <w:b/>
                <w:bCs/>
                <w:color w:val="auto"/>
                <w:sz w:val="21"/>
                <w:szCs w:val="21"/>
                <w:highlight w:val="none"/>
                <w:u w:val="none" w:color="auto"/>
              </w:rPr>
              <w:t>表4-</w:t>
            </w:r>
            <w:r>
              <w:rPr>
                <w:rFonts w:hint="eastAsia"/>
                <w:b/>
                <w:bCs/>
                <w:color w:val="auto"/>
                <w:sz w:val="21"/>
                <w:szCs w:val="21"/>
                <w:highlight w:val="none"/>
                <w:u w:val="none" w:color="auto"/>
                <w:lang w:val="en-US" w:eastAsia="zh-CN"/>
              </w:rPr>
              <w:t>9</w:t>
            </w:r>
            <w:r>
              <w:rPr>
                <w:rFonts w:hint="eastAsia"/>
                <w:b/>
                <w:bCs/>
                <w:color w:val="auto"/>
                <w:sz w:val="21"/>
                <w:szCs w:val="21"/>
                <w:highlight w:val="none"/>
                <w:u w:val="none" w:color="auto"/>
              </w:rPr>
              <w:t xml:space="preserve">  各噪声源对项目厂界的噪声贡献值</w:t>
            </w:r>
            <w:r>
              <w:rPr>
                <w:b/>
                <w:bCs/>
                <w:color w:val="auto"/>
                <w:sz w:val="21"/>
                <w:szCs w:val="21"/>
                <w:highlight w:val="none"/>
                <w:u w:val="none" w:color="auto"/>
              </w:rPr>
              <w:t xml:space="preserve"> </w:t>
            </w:r>
            <w:r>
              <w:rPr>
                <w:rFonts w:hint="eastAsia"/>
                <w:b/>
                <w:bCs/>
                <w:color w:val="auto"/>
                <w:sz w:val="21"/>
                <w:szCs w:val="21"/>
                <w:highlight w:val="none"/>
                <w:u w:val="none" w:color="auto"/>
              </w:rPr>
              <w:t xml:space="preserve">  单位：</w:t>
            </w:r>
            <w:r>
              <w:rPr>
                <w:b/>
                <w:bCs/>
                <w:color w:val="auto"/>
                <w:sz w:val="21"/>
                <w:szCs w:val="21"/>
                <w:highlight w:val="none"/>
                <w:u w:val="none" w:color="auto"/>
              </w:rPr>
              <w:t>dB(A)</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54"/>
              <w:gridCol w:w="1114"/>
              <w:gridCol w:w="873"/>
              <w:gridCol w:w="862"/>
              <w:gridCol w:w="867"/>
              <w:gridCol w:w="105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4"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预测时段</w:t>
                  </w:r>
                </w:p>
              </w:tc>
              <w:tc>
                <w:tcPr>
                  <w:tcW w:w="1030"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预测点</w:t>
                  </w:r>
                </w:p>
              </w:tc>
              <w:tc>
                <w:tcPr>
                  <w:tcW w:w="694"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噪声源与厂界距离</w:t>
                  </w:r>
                </w:p>
              </w:tc>
              <w:tc>
                <w:tcPr>
                  <w:tcW w:w="2278" w:type="pct"/>
                  <w:gridSpan w:val="4"/>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噪声级LeqdB(A)</w:t>
                  </w:r>
                </w:p>
              </w:tc>
              <w:tc>
                <w:tcPr>
                  <w:tcW w:w="502"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4"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1030"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贡献值</w:t>
                  </w:r>
                </w:p>
              </w:tc>
              <w:tc>
                <w:tcPr>
                  <w:tcW w:w="537" w:type="pc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背景值</w:t>
                  </w:r>
                </w:p>
              </w:tc>
              <w:tc>
                <w:tcPr>
                  <w:tcW w:w="540" w:type="pc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预测值</w:t>
                  </w:r>
                </w:p>
              </w:tc>
              <w:tc>
                <w:tcPr>
                  <w:tcW w:w="656" w:type="pc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标准值</w:t>
                  </w:r>
                </w:p>
              </w:tc>
              <w:tc>
                <w:tcPr>
                  <w:tcW w:w="502"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94"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厂界东外1m处</w:t>
                  </w:r>
                </w:p>
              </w:tc>
              <w:tc>
                <w:tcPr>
                  <w:tcW w:w="694"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6</w:t>
                  </w:r>
                  <w:r>
                    <w:rPr>
                      <w:rFonts w:hint="eastAsia" w:ascii="Times New Roman" w:hAnsi="Times New Roman" w:eastAsia="宋体" w:cs="Times New Roman"/>
                      <w:color w:val="auto"/>
                      <w:sz w:val="21"/>
                      <w:szCs w:val="21"/>
                      <w:highlight w:val="none"/>
                      <w:u w:val="none" w:color="auto"/>
                      <w:lang w:val="en-US" w:eastAsia="zh-CN"/>
                    </w:rPr>
                    <w:t>m</w:t>
                  </w:r>
                </w:p>
              </w:tc>
              <w:tc>
                <w:tcPr>
                  <w:tcW w:w="544" w:type="pct"/>
                  <w:tcBorders>
                    <w:bottom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46.26</w:t>
                  </w:r>
                </w:p>
              </w:tc>
              <w:tc>
                <w:tcPr>
                  <w:tcW w:w="537"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restart"/>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3</w:t>
                  </w:r>
                  <w:r>
                    <w:rPr>
                      <w:rFonts w:hint="eastAsia" w:ascii="Times New Roman" w:hAnsi="Times New Roman" w:eastAsia="宋体" w:cs="Times New Roman"/>
                      <w:color w:val="auto"/>
                      <w:sz w:val="21"/>
                      <w:szCs w:val="21"/>
                      <w:highlight w:val="none"/>
                      <w:u w:val="none" w:color="auto"/>
                      <w:lang w:val="en-US" w:eastAsia="zh-CN"/>
                    </w:rPr>
                    <w:t>类标准昼间6</w:t>
                  </w:r>
                  <w:r>
                    <w:rPr>
                      <w:rFonts w:hint="eastAsia" w:cs="Times New Roman"/>
                      <w:color w:val="auto"/>
                      <w:sz w:val="21"/>
                      <w:szCs w:val="21"/>
                      <w:highlight w:val="none"/>
                      <w:u w:val="none" w:color="auto"/>
                      <w:lang w:val="en-US" w:eastAsia="zh-CN"/>
                    </w:rPr>
                    <w:t>5</w:t>
                  </w:r>
                  <w:r>
                    <w:rPr>
                      <w:rFonts w:hint="eastAsia" w:ascii="Times New Roman" w:hAnsi="Times New Roman" w:eastAsia="宋体" w:cs="Times New Roman"/>
                      <w:color w:val="auto"/>
                      <w:sz w:val="21"/>
                      <w:szCs w:val="21"/>
                      <w:highlight w:val="none"/>
                      <w:u w:val="none" w:color="auto"/>
                      <w:lang w:val="en-US" w:eastAsia="zh-CN"/>
                    </w:rPr>
                    <w:t>dBA、夜间5</w:t>
                  </w:r>
                  <w:r>
                    <w:rPr>
                      <w:rFonts w:hint="eastAsia" w:cs="Times New Roman"/>
                      <w:color w:val="auto"/>
                      <w:sz w:val="21"/>
                      <w:szCs w:val="21"/>
                      <w:highlight w:val="none"/>
                      <w:u w:val="none" w:color="auto"/>
                      <w:lang w:val="en-US" w:eastAsia="zh-CN"/>
                    </w:rPr>
                    <w:t>5</w:t>
                  </w:r>
                  <w:r>
                    <w:rPr>
                      <w:rFonts w:hint="eastAsia" w:ascii="Times New Roman" w:hAnsi="Times New Roman" w:eastAsia="宋体" w:cs="Times New Roman"/>
                      <w:color w:val="auto"/>
                      <w:sz w:val="21"/>
                      <w:szCs w:val="21"/>
                      <w:highlight w:val="none"/>
                      <w:u w:val="none" w:color="auto"/>
                      <w:lang w:val="en-US" w:eastAsia="zh-CN"/>
                    </w:rPr>
                    <w:t>dBA</w:t>
                  </w:r>
                </w:p>
              </w:tc>
              <w:tc>
                <w:tcPr>
                  <w:tcW w:w="502"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94" w:type="pct"/>
                  <w:tcBorders>
                    <w:top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tcBorders>
                    <w:top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46.26</w:t>
                  </w:r>
                </w:p>
              </w:tc>
              <w:tc>
                <w:tcPr>
                  <w:tcW w:w="537"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94"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厂界南外1m处</w:t>
                  </w:r>
                </w:p>
              </w:tc>
              <w:tc>
                <w:tcPr>
                  <w:tcW w:w="694"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6</w:t>
                  </w:r>
                  <w:r>
                    <w:rPr>
                      <w:rFonts w:hint="eastAsia" w:ascii="Times New Roman" w:hAnsi="Times New Roman" w:eastAsia="宋体" w:cs="Times New Roman"/>
                      <w:color w:val="auto"/>
                      <w:sz w:val="21"/>
                      <w:szCs w:val="21"/>
                      <w:highlight w:val="none"/>
                      <w:u w:val="none" w:color="auto"/>
                      <w:lang w:val="en-US" w:eastAsia="zh-CN"/>
                    </w:rPr>
                    <w:t>m</w:t>
                  </w:r>
                </w:p>
              </w:tc>
              <w:tc>
                <w:tcPr>
                  <w:tcW w:w="544" w:type="pct"/>
                  <w:tcBorders>
                    <w:bottom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46.26</w:t>
                  </w:r>
                </w:p>
              </w:tc>
              <w:tc>
                <w:tcPr>
                  <w:tcW w:w="537"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94"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tcBorders>
                    <w:top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46.26</w:t>
                  </w:r>
                </w:p>
              </w:tc>
              <w:tc>
                <w:tcPr>
                  <w:tcW w:w="537"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94"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厂界西外1m处</w:t>
                  </w:r>
                </w:p>
              </w:tc>
              <w:tc>
                <w:tcPr>
                  <w:tcW w:w="694"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8</w:t>
                  </w:r>
                  <w:r>
                    <w:rPr>
                      <w:rFonts w:hint="eastAsia" w:ascii="Times New Roman" w:hAnsi="Times New Roman" w:eastAsia="宋体" w:cs="Times New Roman"/>
                      <w:color w:val="auto"/>
                      <w:sz w:val="21"/>
                      <w:szCs w:val="21"/>
                      <w:highlight w:val="none"/>
                      <w:u w:val="none" w:color="auto"/>
                      <w:lang w:val="en-US" w:eastAsia="zh-CN"/>
                    </w:rPr>
                    <w:t>m</w:t>
                  </w:r>
                </w:p>
              </w:tc>
              <w:tc>
                <w:tcPr>
                  <w:tcW w:w="544" w:type="pct"/>
                  <w:tcBorders>
                    <w:bottom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43.76</w:t>
                  </w:r>
                </w:p>
              </w:tc>
              <w:tc>
                <w:tcPr>
                  <w:tcW w:w="537"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94"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tcBorders>
                    <w:top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43.76</w:t>
                  </w:r>
                </w:p>
              </w:tc>
              <w:tc>
                <w:tcPr>
                  <w:tcW w:w="537"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厂界北外1m处</w:t>
                  </w:r>
                </w:p>
              </w:tc>
              <w:tc>
                <w:tcPr>
                  <w:tcW w:w="694"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7</w:t>
                  </w:r>
                  <w:r>
                    <w:rPr>
                      <w:rFonts w:hint="eastAsia" w:ascii="Times New Roman" w:hAnsi="Times New Roman" w:eastAsia="宋体" w:cs="Times New Roman"/>
                      <w:color w:val="auto"/>
                      <w:sz w:val="21"/>
                      <w:szCs w:val="21"/>
                      <w:highlight w:val="none"/>
                      <w:u w:val="none" w:color="auto"/>
                      <w:lang w:val="en-US" w:eastAsia="zh-CN"/>
                    </w:rPr>
                    <w:t>m</w:t>
                  </w:r>
                </w:p>
              </w:tc>
              <w:tc>
                <w:tcPr>
                  <w:tcW w:w="544" w:type="pct"/>
                  <w:tcBorders>
                    <w:bottom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44.92</w:t>
                  </w:r>
                </w:p>
              </w:tc>
              <w:tc>
                <w:tcPr>
                  <w:tcW w:w="537"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restar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94"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tcBorders>
                    <w:top w:val="single" w:color="000000" w:sz="4" w:space="0"/>
                  </w:tcBorders>
                  <w:noWrap w:val="0"/>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44.92</w:t>
                  </w:r>
                </w:p>
              </w:tc>
              <w:tc>
                <w:tcPr>
                  <w:tcW w:w="537"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top w:val="single" w:color="000000" w:sz="4" w:space="0"/>
                  </w:tcBorders>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color w:val="auto"/>
                <w:highlight w:val="none"/>
                <w:u w:val="none" w:color="auto"/>
              </w:rPr>
            </w:pPr>
            <w:r>
              <w:rPr>
                <w:color w:val="auto"/>
                <w:sz w:val="24"/>
                <w:szCs w:val="24"/>
                <w:highlight w:val="none"/>
                <w:u w:val="none" w:color="auto"/>
              </w:rPr>
              <w:t>从上表可知，项目运营后噪声场界贡献值较小，本项目建成运营期间，项目场界噪声贡献值满足《工业企业厂界环境噪声排放标准》（GB12348-2008）</w:t>
            </w:r>
            <w:r>
              <w:rPr>
                <w:rFonts w:hint="eastAsia"/>
                <w:color w:val="auto"/>
                <w:sz w:val="24"/>
                <w:szCs w:val="24"/>
                <w:highlight w:val="none"/>
                <w:u w:val="none" w:color="auto"/>
                <w:lang w:val="en-US" w:eastAsia="zh-CN"/>
              </w:rPr>
              <w:t>3</w:t>
            </w:r>
            <w:r>
              <w:rPr>
                <w:color w:val="auto"/>
                <w:sz w:val="24"/>
                <w:szCs w:val="24"/>
                <w:highlight w:val="none"/>
                <w:u w:val="none" w:color="auto"/>
              </w:rPr>
              <w:t>类标准，</w:t>
            </w:r>
            <w:r>
              <w:rPr>
                <w:color w:val="auto"/>
                <w:sz w:val="24"/>
                <w:szCs w:val="24"/>
                <w:highlight w:val="none"/>
                <w:u w:val="none" w:color="auto"/>
                <w:lang w:val="zh-CN"/>
              </w:rPr>
              <w:t>项目噪声对周边</w:t>
            </w:r>
            <w:r>
              <w:rPr>
                <w:rFonts w:hint="eastAsia"/>
                <w:color w:val="auto"/>
                <w:sz w:val="24"/>
                <w:szCs w:val="24"/>
                <w:highlight w:val="none"/>
                <w:u w:val="none" w:color="auto"/>
                <w:lang w:val="zh-CN"/>
              </w:rPr>
              <w:t>环境</w:t>
            </w:r>
            <w:r>
              <w:rPr>
                <w:color w:val="auto"/>
                <w:sz w:val="24"/>
                <w:szCs w:val="24"/>
                <w:highlight w:val="none"/>
                <w:u w:val="none" w:color="auto"/>
                <w:lang w:val="zh-CN"/>
              </w:rPr>
              <w:t>影响</w:t>
            </w:r>
            <w:r>
              <w:rPr>
                <w:rFonts w:hint="eastAsia"/>
                <w:color w:val="auto"/>
                <w:sz w:val="24"/>
                <w:szCs w:val="24"/>
                <w:highlight w:val="none"/>
                <w:u w:val="none" w:color="auto"/>
                <w:lang w:val="zh-CN"/>
              </w:rPr>
              <w:t>为可接受</w:t>
            </w:r>
            <w:r>
              <w:rPr>
                <w:rFonts w:hint="eastAsia"/>
                <w:color w:val="auto"/>
                <w:sz w:val="24"/>
                <w:szCs w:val="24"/>
                <w:highlight w:val="none"/>
                <w:u w:val="none" w:color="auto"/>
              </w:rPr>
              <w:t>。</w:t>
            </w:r>
          </w:p>
          <w:p>
            <w:pPr>
              <w:pStyle w:val="36"/>
              <w:rPr>
                <w:color w:val="auto"/>
                <w:highlight w:val="none"/>
                <w:u w:val="none" w:color="auto"/>
              </w:rPr>
            </w:pPr>
            <w:r>
              <w:rPr>
                <w:rFonts w:hint="eastAsia"/>
                <w:color w:val="auto"/>
                <w:highlight w:val="none"/>
                <w:u w:val="none" w:color="auto"/>
              </w:rPr>
              <w:t>为降低项目营运时噪声对周边声环境的影响，项目应加强管理，采取切实有效的降噪措施：</w:t>
            </w:r>
          </w:p>
          <w:p>
            <w:pPr>
              <w:pStyle w:val="36"/>
              <w:rPr>
                <w:color w:val="auto"/>
                <w:highlight w:val="none"/>
                <w:u w:val="none" w:color="auto"/>
              </w:rPr>
            </w:pPr>
            <w:r>
              <w:rPr>
                <w:rFonts w:hint="eastAsia"/>
                <w:color w:val="auto"/>
                <w:highlight w:val="none"/>
                <w:u w:val="none" w:color="auto"/>
              </w:rPr>
              <w:t>①选用先进的低噪声设备，从源头上降噪；</w:t>
            </w:r>
          </w:p>
          <w:p>
            <w:pPr>
              <w:pStyle w:val="36"/>
              <w:rPr>
                <w:color w:val="auto"/>
                <w:highlight w:val="none"/>
                <w:u w:val="none" w:color="auto"/>
              </w:rPr>
            </w:pPr>
            <w:r>
              <w:rPr>
                <w:rFonts w:hint="eastAsia"/>
                <w:color w:val="auto"/>
                <w:highlight w:val="none"/>
                <w:u w:val="none" w:color="auto"/>
              </w:rPr>
              <w:t>②对高噪声设备安装消声、减振、隔声装置并尽量布设在厂房内离厂界较远处；</w:t>
            </w:r>
          </w:p>
          <w:p>
            <w:pPr>
              <w:pStyle w:val="36"/>
              <w:rPr>
                <w:color w:val="auto"/>
                <w:highlight w:val="none"/>
                <w:u w:val="none" w:color="auto"/>
              </w:rPr>
            </w:pPr>
            <w:r>
              <w:rPr>
                <w:rFonts w:hint="eastAsia"/>
                <w:color w:val="auto"/>
                <w:highlight w:val="none"/>
                <w:u w:val="none" w:color="auto"/>
              </w:rPr>
              <w:t>③在项目场址周边种植树木，形成绿化隔声带；</w:t>
            </w:r>
          </w:p>
          <w:p>
            <w:pPr>
              <w:pStyle w:val="36"/>
              <w:rPr>
                <w:color w:val="auto"/>
                <w:highlight w:val="none"/>
                <w:u w:val="none" w:color="auto"/>
              </w:rPr>
            </w:pPr>
            <w:r>
              <w:rPr>
                <w:rFonts w:hint="eastAsia"/>
                <w:color w:val="auto"/>
                <w:highlight w:val="none"/>
                <w:u w:val="none" w:color="auto"/>
              </w:rPr>
              <w:t>④设置减速带，严控车速，降低车辆轮胎与地面摩擦噪声；</w:t>
            </w:r>
          </w:p>
          <w:p>
            <w:pPr>
              <w:pStyle w:val="36"/>
              <w:rPr>
                <w:color w:val="auto"/>
                <w:highlight w:val="none"/>
                <w:u w:val="none" w:color="auto"/>
              </w:rPr>
            </w:pPr>
            <w:r>
              <w:rPr>
                <w:rFonts w:hint="eastAsia"/>
                <w:color w:val="auto"/>
                <w:highlight w:val="none"/>
                <w:u w:val="none" w:color="auto"/>
              </w:rPr>
              <w:t>⑤做好工作人员劳动保护，在高噪声机械设施旁作业的施工人员采取佩戴耳塞，减轻噪声对工作人员的影响程度。</w:t>
            </w:r>
          </w:p>
          <w:p>
            <w:pPr>
              <w:pStyle w:val="36"/>
              <w:rPr>
                <w:color w:val="auto"/>
                <w:highlight w:val="none"/>
                <w:u w:val="none" w:color="auto"/>
                <w:lang w:val="en-GB"/>
              </w:rPr>
            </w:pPr>
            <w:r>
              <w:rPr>
                <w:rFonts w:hint="eastAsia"/>
                <w:color w:val="auto"/>
                <w:highlight w:val="none"/>
                <w:u w:val="none" w:color="auto"/>
              </w:rPr>
              <w:t>综上所述，采取以上有效的噪声防治措施后，项目厂界噪声能达到《工业企业厂界环境噪声排放标准》（GB12348-2008）3 类标准要求，项目运营对周边环境影响不大。</w:t>
            </w:r>
          </w:p>
          <w:p>
            <w:pPr>
              <w:spacing w:line="360" w:lineRule="auto"/>
              <w:ind w:firstLine="480" w:firstLineChars="200"/>
              <w:rPr>
                <w:color w:val="auto"/>
                <w:sz w:val="24"/>
                <w:highlight w:val="none"/>
                <w:u w:val="none" w:color="auto"/>
                <w:lang w:val="en-GB"/>
              </w:rPr>
            </w:pPr>
            <w:r>
              <w:rPr>
                <w:rFonts w:hint="eastAsia"/>
                <w:color w:val="auto"/>
                <w:sz w:val="24"/>
                <w:highlight w:val="none"/>
                <w:u w:val="none" w:color="auto"/>
                <w:lang w:val="en-GB"/>
              </w:rPr>
              <w:t>（</w:t>
            </w:r>
            <w:r>
              <w:rPr>
                <w:rFonts w:hint="eastAsia"/>
                <w:color w:val="auto"/>
                <w:sz w:val="24"/>
                <w:highlight w:val="none"/>
                <w:u w:val="none" w:color="auto"/>
              </w:rPr>
              <w:t>3</w:t>
            </w:r>
            <w:r>
              <w:rPr>
                <w:rFonts w:hint="eastAsia"/>
                <w:color w:val="auto"/>
                <w:sz w:val="24"/>
                <w:highlight w:val="none"/>
                <w:u w:val="none" w:color="auto"/>
                <w:lang w:val="en-GB"/>
              </w:rPr>
              <w:t>）监测要求</w:t>
            </w:r>
          </w:p>
          <w:p>
            <w:pPr>
              <w:pStyle w:val="2"/>
              <w:jc w:val="center"/>
              <w:rPr>
                <w:b/>
                <w:bCs/>
                <w:color w:val="auto"/>
                <w:sz w:val="21"/>
                <w:highlight w:val="none"/>
                <w:u w:val="none" w:color="auto"/>
              </w:rPr>
            </w:pPr>
            <w:r>
              <w:rPr>
                <w:rFonts w:hint="eastAsia"/>
                <w:b/>
                <w:bCs/>
                <w:color w:val="auto"/>
                <w:sz w:val="21"/>
                <w:highlight w:val="none"/>
                <w:u w:val="none" w:color="auto"/>
                <w:lang w:val="en-GB"/>
              </w:rPr>
              <w:t>表</w:t>
            </w:r>
            <w:r>
              <w:rPr>
                <w:rFonts w:hint="eastAsia"/>
                <w:b/>
                <w:bCs/>
                <w:color w:val="auto"/>
                <w:sz w:val="21"/>
                <w:highlight w:val="none"/>
                <w:u w:val="none" w:color="auto"/>
              </w:rPr>
              <w:t>4-</w:t>
            </w:r>
            <w:r>
              <w:rPr>
                <w:rFonts w:hint="eastAsia"/>
                <w:b/>
                <w:bCs/>
                <w:color w:val="auto"/>
                <w:sz w:val="21"/>
                <w:highlight w:val="none"/>
                <w:u w:val="none" w:color="auto"/>
                <w:lang w:val="en-US" w:eastAsia="zh-CN"/>
              </w:rPr>
              <w:t>10</w:t>
            </w:r>
            <w:r>
              <w:rPr>
                <w:rFonts w:hint="eastAsia"/>
                <w:b/>
                <w:bCs/>
                <w:color w:val="auto"/>
                <w:sz w:val="21"/>
                <w:highlight w:val="none"/>
                <w:u w:val="none" w:color="auto"/>
              </w:rPr>
              <w:t xml:space="preserve">  噪声监测要求一览表</w:t>
            </w:r>
          </w:p>
          <w:tbl>
            <w:tblPr>
              <w:tblStyle w:val="26"/>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620"/>
              <w:gridCol w:w="1119"/>
              <w:gridCol w:w="750"/>
              <w:gridCol w:w="3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spacing w:line="360" w:lineRule="auto"/>
                    <w:jc w:val="center"/>
                    <w:rPr>
                      <w:bCs/>
                      <w:color w:val="auto"/>
                      <w:highlight w:val="none"/>
                      <w:u w:val="none" w:color="auto"/>
                    </w:rPr>
                  </w:pPr>
                  <w:r>
                    <w:rPr>
                      <w:rFonts w:hint="eastAsia"/>
                      <w:bCs/>
                      <w:color w:val="auto"/>
                      <w:highlight w:val="none"/>
                      <w:u w:val="none" w:color="auto"/>
                    </w:rPr>
                    <w:t>监测类别</w:t>
                  </w:r>
                </w:p>
              </w:tc>
              <w:tc>
                <w:tcPr>
                  <w:tcW w:w="690" w:type="dxa"/>
                  <w:vAlign w:val="center"/>
                </w:tcPr>
                <w:p>
                  <w:pPr>
                    <w:spacing w:line="360" w:lineRule="auto"/>
                    <w:jc w:val="center"/>
                    <w:rPr>
                      <w:bCs/>
                      <w:color w:val="auto"/>
                      <w:highlight w:val="none"/>
                      <w:u w:val="none" w:color="auto"/>
                    </w:rPr>
                  </w:pPr>
                  <w:r>
                    <w:rPr>
                      <w:rFonts w:hint="eastAsia"/>
                      <w:bCs/>
                      <w:color w:val="auto"/>
                      <w:highlight w:val="none"/>
                      <w:u w:val="none" w:color="auto"/>
                    </w:rPr>
                    <w:t>监测地点</w:t>
                  </w:r>
                </w:p>
              </w:tc>
              <w:tc>
                <w:tcPr>
                  <w:tcW w:w="1620" w:type="dxa"/>
                  <w:vAlign w:val="center"/>
                </w:tcPr>
                <w:p>
                  <w:pPr>
                    <w:spacing w:line="360" w:lineRule="auto"/>
                    <w:jc w:val="center"/>
                    <w:rPr>
                      <w:bCs/>
                      <w:color w:val="auto"/>
                      <w:highlight w:val="none"/>
                      <w:u w:val="none" w:color="auto"/>
                    </w:rPr>
                  </w:pPr>
                  <w:r>
                    <w:rPr>
                      <w:rFonts w:hint="eastAsia"/>
                      <w:bCs/>
                      <w:color w:val="auto"/>
                      <w:highlight w:val="none"/>
                      <w:u w:val="none" w:color="auto"/>
                    </w:rPr>
                    <w:t>监测点位</w:t>
                  </w:r>
                </w:p>
              </w:tc>
              <w:tc>
                <w:tcPr>
                  <w:tcW w:w="1119" w:type="dxa"/>
                  <w:vAlign w:val="center"/>
                </w:tcPr>
                <w:p>
                  <w:pPr>
                    <w:spacing w:line="360" w:lineRule="auto"/>
                    <w:jc w:val="center"/>
                    <w:rPr>
                      <w:bCs/>
                      <w:color w:val="auto"/>
                      <w:highlight w:val="none"/>
                      <w:u w:val="none" w:color="auto"/>
                    </w:rPr>
                  </w:pPr>
                  <w:r>
                    <w:rPr>
                      <w:rFonts w:hint="eastAsia"/>
                      <w:bCs/>
                      <w:color w:val="auto"/>
                      <w:highlight w:val="none"/>
                      <w:u w:val="none" w:color="auto"/>
                    </w:rPr>
                    <w:t>监测项目</w:t>
                  </w:r>
                </w:p>
              </w:tc>
              <w:tc>
                <w:tcPr>
                  <w:tcW w:w="750" w:type="dxa"/>
                  <w:vAlign w:val="center"/>
                </w:tcPr>
                <w:p>
                  <w:pPr>
                    <w:spacing w:line="360" w:lineRule="auto"/>
                    <w:jc w:val="center"/>
                    <w:rPr>
                      <w:bCs/>
                      <w:color w:val="auto"/>
                      <w:highlight w:val="none"/>
                      <w:u w:val="none" w:color="auto"/>
                    </w:rPr>
                  </w:pPr>
                  <w:r>
                    <w:rPr>
                      <w:rFonts w:hint="eastAsia"/>
                      <w:bCs/>
                      <w:color w:val="auto"/>
                      <w:highlight w:val="none"/>
                      <w:u w:val="none" w:color="auto"/>
                    </w:rPr>
                    <w:t>监测频次</w:t>
                  </w:r>
                </w:p>
              </w:tc>
              <w:tc>
                <w:tcPr>
                  <w:tcW w:w="3113" w:type="dxa"/>
                  <w:vAlign w:val="center"/>
                </w:tcPr>
                <w:p>
                  <w:pPr>
                    <w:spacing w:line="360" w:lineRule="auto"/>
                    <w:jc w:val="center"/>
                    <w:rPr>
                      <w:bCs/>
                      <w:color w:val="auto"/>
                      <w:highlight w:val="none"/>
                      <w:u w:val="none" w:color="auto"/>
                    </w:rPr>
                  </w:pPr>
                  <w:r>
                    <w:rPr>
                      <w:rFonts w:hint="eastAsia"/>
                      <w:bCs/>
                      <w:color w:val="auto"/>
                      <w:highlight w:val="none"/>
                      <w:u w:val="none" w:color="auto"/>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spacing w:line="360" w:lineRule="auto"/>
                    <w:jc w:val="center"/>
                    <w:rPr>
                      <w:bCs/>
                      <w:color w:val="auto"/>
                      <w:highlight w:val="none"/>
                      <w:u w:val="none" w:color="auto"/>
                    </w:rPr>
                  </w:pPr>
                  <w:r>
                    <w:rPr>
                      <w:rFonts w:hint="eastAsia"/>
                      <w:bCs/>
                      <w:color w:val="auto"/>
                      <w:highlight w:val="none"/>
                      <w:u w:val="none" w:color="auto"/>
                    </w:rPr>
                    <w:t>噪声</w:t>
                  </w:r>
                </w:p>
              </w:tc>
              <w:tc>
                <w:tcPr>
                  <w:tcW w:w="690" w:type="dxa"/>
                  <w:vAlign w:val="center"/>
                </w:tcPr>
                <w:p>
                  <w:pPr>
                    <w:spacing w:line="360" w:lineRule="auto"/>
                    <w:jc w:val="center"/>
                    <w:rPr>
                      <w:bCs/>
                      <w:color w:val="auto"/>
                      <w:highlight w:val="none"/>
                      <w:u w:val="none" w:color="auto"/>
                    </w:rPr>
                  </w:pPr>
                  <w:r>
                    <w:rPr>
                      <w:rFonts w:hint="eastAsia"/>
                      <w:bCs/>
                      <w:color w:val="auto"/>
                      <w:highlight w:val="none"/>
                      <w:u w:val="none" w:color="auto"/>
                    </w:rPr>
                    <w:t>厂界噪声</w:t>
                  </w:r>
                </w:p>
              </w:tc>
              <w:tc>
                <w:tcPr>
                  <w:tcW w:w="1620" w:type="dxa"/>
                  <w:vAlign w:val="center"/>
                </w:tcPr>
                <w:p>
                  <w:pPr>
                    <w:spacing w:line="360" w:lineRule="auto"/>
                    <w:jc w:val="center"/>
                    <w:rPr>
                      <w:bCs/>
                      <w:color w:val="auto"/>
                      <w:highlight w:val="none"/>
                      <w:u w:val="none" w:color="auto"/>
                    </w:rPr>
                  </w:pPr>
                  <w:r>
                    <w:rPr>
                      <w:rFonts w:hint="eastAsia"/>
                      <w:bCs/>
                      <w:color w:val="auto"/>
                      <w:highlight w:val="none"/>
                      <w:u w:val="none" w:color="auto"/>
                    </w:rPr>
                    <w:t>厂界东侧、南侧、西侧、北侧</w:t>
                  </w:r>
                </w:p>
              </w:tc>
              <w:tc>
                <w:tcPr>
                  <w:tcW w:w="1119" w:type="dxa"/>
                  <w:vAlign w:val="center"/>
                </w:tcPr>
                <w:p>
                  <w:pPr>
                    <w:spacing w:line="360" w:lineRule="auto"/>
                    <w:jc w:val="center"/>
                    <w:rPr>
                      <w:bCs/>
                      <w:color w:val="auto"/>
                      <w:highlight w:val="none"/>
                      <w:u w:val="none" w:color="auto"/>
                    </w:rPr>
                  </w:pPr>
                  <w:r>
                    <w:rPr>
                      <w:rFonts w:hint="eastAsia"/>
                      <w:bCs/>
                      <w:color w:val="auto"/>
                      <w:highlight w:val="none"/>
                      <w:u w:val="none" w:color="auto"/>
                    </w:rPr>
                    <w:t>等效连续A声级</w:t>
                  </w:r>
                </w:p>
              </w:tc>
              <w:tc>
                <w:tcPr>
                  <w:tcW w:w="750" w:type="dxa"/>
                  <w:vAlign w:val="center"/>
                </w:tcPr>
                <w:p>
                  <w:pPr>
                    <w:spacing w:line="360" w:lineRule="auto"/>
                    <w:jc w:val="center"/>
                    <w:rPr>
                      <w:bCs/>
                      <w:color w:val="auto"/>
                      <w:highlight w:val="none"/>
                      <w:u w:val="none" w:color="auto"/>
                    </w:rPr>
                  </w:pPr>
                  <w:r>
                    <w:rPr>
                      <w:rFonts w:hint="eastAsia"/>
                      <w:bCs/>
                      <w:color w:val="auto"/>
                      <w:highlight w:val="none"/>
                      <w:u w:val="none" w:color="auto"/>
                    </w:rPr>
                    <w:t>每季一次</w:t>
                  </w:r>
                </w:p>
              </w:tc>
              <w:tc>
                <w:tcPr>
                  <w:tcW w:w="3113" w:type="dxa"/>
                  <w:vAlign w:val="center"/>
                </w:tcPr>
                <w:p>
                  <w:pPr>
                    <w:spacing w:line="360" w:lineRule="auto"/>
                    <w:jc w:val="center"/>
                    <w:rPr>
                      <w:rFonts w:hint="default" w:eastAsia="宋体"/>
                      <w:bCs/>
                      <w:color w:val="auto"/>
                      <w:highlight w:val="none"/>
                      <w:u w:val="none" w:color="auto"/>
                      <w:lang w:val="en-US" w:eastAsia="zh-CN"/>
                    </w:rPr>
                  </w:pPr>
                  <w:r>
                    <w:rPr>
                      <w:rFonts w:hint="eastAsia"/>
                      <w:color w:val="auto"/>
                      <w:highlight w:val="none"/>
                      <w:u w:val="none" w:color="auto"/>
                      <w:lang w:val="en-GB"/>
                    </w:rPr>
                    <w:t>《工业企业厂界环境噪声排放标准》(GB12348-2008)</w:t>
                  </w:r>
                  <w:r>
                    <w:rPr>
                      <w:rFonts w:hint="eastAsia"/>
                      <w:color w:val="auto"/>
                      <w:highlight w:val="none"/>
                      <w:u w:val="none" w:color="auto"/>
                      <w:lang w:val="en-US" w:eastAsia="zh-CN"/>
                    </w:rPr>
                    <w:t>3类标准</w:t>
                  </w:r>
                </w:p>
              </w:tc>
            </w:tr>
          </w:tbl>
          <w:p>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5</w:t>
            </w:r>
            <w:r>
              <w:rPr>
                <w:rFonts w:hint="eastAsia"/>
                <w:b/>
                <w:color w:val="auto"/>
                <w:sz w:val="24"/>
                <w:highlight w:val="none"/>
                <w:u w:val="none" w:color="auto"/>
              </w:rPr>
              <w:t>、固体废物</w:t>
            </w:r>
          </w:p>
          <w:p>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5</w:t>
            </w:r>
            <w:r>
              <w:rPr>
                <w:rFonts w:hint="eastAsia"/>
                <w:b/>
                <w:color w:val="auto"/>
                <w:sz w:val="24"/>
                <w:highlight w:val="none"/>
                <w:u w:val="none" w:color="auto"/>
              </w:rPr>
              <w:t>.1固体废物产排情况</w:t>
            </w:r>
          </w:p>
          <w:p>
            <w:pPr>
              <w:snapToGrid w:val="0"/>
              <w:spacing w:line="360" w:lineRule="auto"/>
              <w:ind w:firstLine="480" w:firstLineChars="200"/>
              <w:rPr>
                <w:color w:val="auto"/>
                <w:sz w:val="24"/>
                <w:highlight w:val="none"/>
                <w:u w:val="none" w:color="auto"/>
              </w:rPr>
            </w:pPr>
            <w:r>
              <w:rPr>
                <w:rFonts w:hint="eastAsia"/>
                <w:color w:val="auto"/>
                <w:sz w:val="24"/>
                <w:highlight w:val="none"/>
                <w:u w:val="none" w:color="auto"/>
              </w:rPr>
              <w:t>本项目固体废物主要有</w:t>
            </w:r>
            <w:r>
              <w:rPr>
                <w:rFonts w:hint="eastAsia"/>
                <w:color w:val="auto"/>
                <w:sz w:val="24"/>
                <w:highlight w:val="none"/>
                <w:u w:val="none" w:color="auto"/>
                <w:lang w:val="en-US" w:eastAsia="zh-CN"/>
              </w:rPr>
              <w:t>废锡渣、废包装袋、边角料及不合格产品</w:t>
            </w:r>
            <w:r>
              <w:rPr>
                <w:rFonts w:hint="eastAsia"/>
                <w:color w:val="auto"/>
                <w:sz w:val="24"/>
                <w:highlight w:val="none"/>
                <w:u w:val="none" w:color="auto"/>
              </w:rPr>
              <w:t>、废机油、废活性炭</w:t>
            </w:r>
            <w:r>
              <w:rPr>
                <w:rFonts w:hint="eastAsia"/>
                <w:b w:val="0"/>
                <w:bCs w:val="0"/>
                <w:color w:val="auto"/>
                <w:sz w:val="24"/>
                <w:highlight w:val="none"/>
                <w:u w:val="none" w:color="auto"/>
              </w:rPr>
              <w:t>、</w:t>
            </w:r>
            <w:r>
              <w:rPr>
                <w:rFonts w:hint="eastAsia" w:ascii="Times New Roman" w:hAnsi="Times New Roman" w:eastAsia="宋体" w:cs="Times New Roman"/>
                <w:b w:val="0"/>
                <w:bCs w:val="0"/>
                <w:color w:val="auto"/>
                <w:sz w:val="24"/>
                <w:highlight w:val="none"/>
                <w:u w:val="none" w:color="auto"/>
              </w:rPr>
              <w:t>废</w:t>
            </w:r>
            <w:r>
              <w:rPr>
                <w:rFonts w:hint="eastAsia" w:ascii="Times New Roman" w:hAnsi="Times New Roman" w:eastAsia="宋体" w:cs="Times New Roman"/>
                <w:b w:val="0"/>
                <w:bCs w:val="0"/>
                <w:color w:val="auto"/>
                <w:sz w:val="24"/>
                <w:highlight w:val="none"/>
                <w:u w:val="none" w:color="auto"/>
                <w:lang w:val="en-US" w:eastAsia="zh-CN"/>
              </w:rPr>
              <w:t>有机</w:t>
            </w:r>
            <w:r>
              <w:rPr>
                <w:rFonts w:hint="eastAsia" w:ascii="Times New Roman" w:hAnsi="Times New Roman" w:eastAsia="宋体" w:cs="Times New Roman"/>
                <w:b w:val="0"/>
                <w:bCs w:val="0"/>
                <w:color w:val="auto"/>
                <w:sz w:val="24"/>
                <w:highlight w:val="none"/>
                <w:u w:val="none" w:color="auto"/>
              </w:rPr>
              <w:t>溶剂包装桶</w:t>
            </w:r>
            <w:r>
              <w:rPr>
                <w:rFonts w:hint="eastAsia" w:cs="Times New Roman"/>
                <w:b w:val="0"/>
                <w:bCs w:val="0"/>
                <w:color w:val="auto"/>
                <w:sz w:val="24"/>
                <w:highlight w:val="none"/>
                <w:u w:val="none" w:color="auto"/>
                <w:lang w:eastAsia="zh-CN"/>
              </w:rPr>
              <w:t>、</w:t>
            </w:r>
            <w:r>
              <w:rPr>
                <w:rFonts w:hint="eastAsia"/>
                <w:color w:val="auto"/>
                <w:sz w:val="24"/>
                <w:highlight w:val="none"/>
                <w:u w:val="none" w:color="auto"/>
              </w:rPr>
              <w:t>生活垃圾。</w:t>
            </w:r>
          </w:p>
          <w:p>
            <w:pPr>
              <w:snapToGrid w:val="0"/>
              <w:spacing w:line="360" w:lineRule="auto"/>
              <w:ind w:firstLine="482" w:firstLineChars="200"/>
              <w:rPr>
                <w:b/>
                <w:color w:val="auto"/>
                <w:sz w:val="24"/>
                <w:highlight w:val="none"/>
                <w:u w:val="none" w:color="auto"/>
              </w:rPr>
            </w:pPr>
            <w:r>
              <w:rPr>
                <w:rFonts w:hint="eastAsia"/>
                <w:b/>
                <w:color w:val="auto"/>
                <w:sz w:val="24"/>
                <w:highlight w:val="none"/>
                <w:u w:val="none" w:color="auto"/>
              </w:rPr>
              <w:t>1）一般固体废物</w:t>
            </w:r>
          </w:p>
          <w:p>
            <w:pPr>
              <w:pStyle w:val="71"/>
              <w:snapToGrid w:val="0"/>
              <w:spacing w:line="360" w:lineRule="auto"/>
              <w:ind w:left="0" w:right="0" w:firstLine="480"/>
              <w:jc w:val="both"/>
              <w:rPr>
                <w:b/>
                <w:bCs w:val="0"/>
                <w:color w:val="auto"/>
                <w:szCs w:val="24"/>
                <w:highlight w:val="none"/>
                <w:u w:val="none" w:color="auto"/>
              </w:rPr>
            </w:pPr>
            <w:r>
              <w:rPr>
                <w:rFonts w:hint="eastAsia"/>
                <w:b/>
                <w:bCs w:val="0"/>
                <w:color w:val="auto"/>
                <w:highlight w:val="none"/>
                <w:u w:val="none" w:color="auto"/>
              </w:rPr>
              <w:t>①</w:t>
            </w:r>
            <w:r>
              <w:rPr>
                <w:rFonts w:hint="eastAsia"/>
                <w:b/>
                <w:bCs w:val="0"/>
                <w:color w:val="auto"/>
                <w:sz w:val="24"/>
                <w:highlight w:val="none"/>
                <w:u w:val="none" w:color="auto"/>
                <w:lang w:val="en-US" w:eastAsia="zh-CN"/>
              </w:rPr>
              <w:t>废锡渣</w:t>
            </w:r>
          </w:p>
          <w:p>
            <w:pPr>
              <w:snapToGrid w:val="0"/>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焊锡过程中会产生废锡渣，根据建设单位提供的资料，项目焊锡过程产生的废锡渣约为 0.02t/a，统一收集后交由生产厂家回收再利用。</w:t>
            </w:r>
          </w:p>
          <w:p>
            <w:pPr>
              <w:snapToGrid w:val="0"/>
              <w:spacing w:line="360" w:lineRule="auto"/>
              <w:ind w:firstLine="482" w:firstLineChars="200"/>
              <w:rPr>
                <w:b/>
                <w:color w:val="auto"/>
                <w:sz w:val="24"/>
                <w:highlight w:val="none"/>
                <w:u w:val="none" w:color="auto"/>
              </w:rPr>
            </w:pPr>
            <w:r>
              <w:rPr>
                <w:rFonts w:hint="eastAsia"/>
                <w:b/>
                <w:color w:val="auto"/>
                <w:sz w:val="24"/>
                <w:highlight w:val="none"/>
                <w:u w:val="none" w:color="auto"/>
              </w:rPr>
              <w:t>②废包装材料</w:t>
            </w:r>
          </w:p>
          <w:p>
            <w:pPr>
              <w:spacing w:line="360" w:lineRule="auto"/>
              <w:ind w:firstLine="480" w:firstLineChars="200"/>
              <w:rPr>
                <w:color w:val="auto"/>
                <w:sz w:val="24"/>
                <w:highlight w:val="none"/>
                <w:u w:val="none" w:color="auto"/>
              </w:rPr>
            </w:pPr>
            <w:r>
              <w:rPr>
                <w:rFonts w:hint="eastAsia"/>
                <w:color w:val="auto"/>
                <w:sz w:val="24"/>
                <w:highlight w:val="none"/>
                <w:u w:val="none" w:color="auto"/>
              </w:rPr>
              <w:t>废包材包括原辅材料废弃包装箱，以及产品包装废弃箱，有纸、塑料等材质，产生量约为</w:t>
            </w:r>
            <w:r>
              <w:rPr>
                <w:rFonts w:hint="eastAsia"/>
                <w:color w:val="auto"/>
                <w:sz w:val="24"/>
                <w:highlight w:val="none"/>
                <w:u w:val="none" w:color="auto"/>
                <w:lang w:val="en-US" w:eastAsia="zh-CN"/>
              </w:rPr>
              <w:t>0.5</w:t>
            </w:r>
            <w:r>
              <w:rPr>
                <w:rFonts w:hint="eastAsia"/>
                <w:color w:val="auto"/>
                <w:sz w:val="24"/>
                <w:highlight w:val="none"/>
                <w:u w:val="none" w:color="auto"/>
              </w:rPr>
              <w:t>t/a，均可进行分类回收后由废品收购单位收购利用。</w:t>
            </w:r>
          </w:p>
          <w:p>
            <w:pPr>
              <w:spacing w:line="360" w:lineRule="auto"/>
              <w:ind w:firstLine="482" w:firstLineChars="200"/>
              <w:rPr>
                <w:b/>
                <w:bCs/>
                <w:color w:val="auto"/>
                <w:sz w:val="24"/>
                <w:highlight w:val="none"/>
                <w:u w:val="none" w:color="auto"/>
              </w:rPr>
            </w:pPr>
            <w:r>
              <w:rPr>
                <w:rFonts w:hint="eastAsia" w:hAnsi="宋体"/>
                <w:b/>
                <w:bCs/>
                <w:color w:val="auto"/>
                <w:sz w:val="24"/>
                <w:highlight w:val="none"/>
                <w:u w:val="none" w:color="auto"/>
              </w:rPr>
              <w:t>③</w:t>
            </w:r>
            <w:r>
              <w:rPr>
                <w:rFonts w:hint="eastAsia"/>
                <w:b/>
                <w:bCs/>
                <w:color w:val="auto"/>
                <w:sz w:val="24"/>
                <w:highlight w:val="none"/>
                <w:u w:val="none" w:color="auto"/>
                <w:lang w:val="en-US" w:eastAsia="zh-CN"/>
              </w:rPr>
              <w:t>边角料及不合格产品</w:t>
            </w:r>
          </w:p>
          <w:p>
            <w:pPr>
              <w:spacing w:line="360" w:lineRule="auto"/>
              <w:ind w:firstLine="480" w:firstLineChars="200"/>
              <w:jc w:val="left"/>
              <w:rPr>
                <w:rFonts w:hint="eastAsia" w:eastAsia="宋体"/>
                <w:b w:val="0"/>
                <w:bCs/>
                <w:color w:val="auto"/>
                <w:sz w:val="24"/>
                <w:highlight w:val="none"/>
                <w:u w:val="none" w:color="auto"/>
                <w:lang w:eastAsia="zh-CN"/>
              </w:rPr>
            </w:pPr>
            <w:r>
              <w:rPr>
                <w:rFonts w:hint="eastAsia"/>
                <w:color w:val="auto"/>
                <w:sz w:val="24"/>
                <w:szCs w:val="24"/>
                <w:highlight w:val="none"/>
                <w:u w:val="none" w:color="auto"/>
              </w:rPr>
              <w:t>项目边角料及不合格产品约</w:t>
            </w:r>
            <w:r>
              <w:rPr>
                <w:rFonts w:hint="eastAsia"/>
                <w:color w:val="auto"/>
                <w:sz w:val="24"/>
                <w:szCs w:val="24"/>
                <w:highlight w:val="none"/>
                <w:u w:val="none" w:color="auto"/>
                <w:lang w:val="en-US" w:eastAsia="zh-CN"/>
              </w:rPr>
              <w:t>为</w:t>
            </w:r>
            <w:r>
              <w:rPr>
                <w:rFonts w:hint="eastAsia"/>
                <w:color w:val="auto"/>
                <w:sz w:val="24"/>
                <w:szCs w:val="24"/>
                <w:highlight w:val="none"/>
                <w:u w:val="none" w:color="auto"/>
              </w:rPr>
              <w:t>1.</w:t>
            </w:r>
            <w:r>
              <w:rPr>
                <w:rFonts w:hint="eastAsia"/>
                <w:color w:val="auto"/>
                <w:sz w:val="24"/>
                <w:szCs w:val="24"/>
                <w:highlight w:val="none"/>
                <w:u w:val="none" w:color="auto"/>
                <w:lang w:val="en-US" w:eastAsia="zh-CN"/>
              </w:rPr>
              <w:t>6</w:t>
            </w:r>
            <w:r>
              <w:rPr>
                <w:rFonts w:hint="eastAsia"/>
                <w:color w:val="auto"/>
                <w:sz w:val="24"/>
                <w:szCs w:val="24"/>
                <w:highlight w:val="none"/>
                <w:u w:val="none" w:color="auto"/>
              </w:rPr>
              <w:t xml:space="preserve"> t/a，外售综合利用</w:t>
            </w:r>
            <w:r>
              <w:rPr>
                <w:rFonts w:hint="eastAsia"/>
                <w:color w:val="auto"/>
                <w:sz w:val="24"/>
                <w:highlight w:val="none"/>
                <w:u w:val="none" w:color="auto"/>
              </w:rPr>
              <w:t>。</w:t>
            </w:r>
          </w:p>
          <w:p>
            <w:pPr>
              <w:spacing w:line="360" w:lineRule="auto"/>
              <w:ind w:firstLine="482" w:firstLineChars="200"/>
              <w:rPr>
                <w:b/>
                <w:color w:val="auto"/>
                <w:sz w:val="24"/>
                <w:highlight w:val="none"/>
                <w:u w:val="none" w:color="auto"/>
              </w:rPr>
            </w:pPr>
            <w:r>
              <w:rPr>
                <w:rFonts w:hint="eastAsia"/>
                <w:b/>
                <w:color w:val="auto"/>
                <w:sz w:val="24"/>
                <w:highlight w:val="none"/>
                <w:u w:val="none" w:color="auto"/>
              </w:rPr>
              <w:t>2）危险废物</w:t>
            </w:r>
          </w:p>
          <w:p>
            <w:pPr>
              <w:spacing w:line="360" w:lineRule="auto"/>
              <w:ind w:firstLine="482" w:firstLineChars="200"/>
              <w:rPr>
                <w:b/>
                <w:bCs/>
                <w:color w:val="auto"/>
                <w:sz w:val="24"/>
                <w:highlight w:val="none"/>
                <w:u w:val="none" w:color="auto"/>
              </w:rPr>
            </w:pPr>
            <w:r>
              <w:rPr>
                <w:b/>
                <w:bCs/>
                <w:color w:val="auto"/>
                <w:sz w:val="24"/>
                <w:highlight w:val="none"/>
                <w:u w:val="none" w:color="auto"/>
              </w:rPr>
              <w:t xml:space="preserve"> </w:t>
            </w:r>
            <w:r>
              <w:rPr>
                <w:rFonts w:hint="eastAsia" w:hAnsi="宋体"/>
                <w:b/>
                <w:bCs/>
                <w:color w:val="auto"/>
                <w:sz w:val="24"/>
                <w:highlight w:val="none"/>
                <w:u w:val="none" w:color="auto"/>
              </w:rPr>
              <w:t>④</w:t>
            </w:r>
            <w:r>
              <w:rPr>
                <w:rFonts w:hAnsi="宋体"/>
                <w:b/>
                <w:bCs/>
                <w:color w:val="auto"/>
                <w:sz w:val="24"/>
                <w:highlight w:val="none"/>
                <w:u w:val="none" w:color="auto"/>
              </w:rPr>
              <w:t>废活性炭</w:t>
            </w:r>
          </w:p>
          <w:p>
            <w:pPr>
              <w:autoSpaceDE w:val="0"/>
              <w:autoSpaceDN w:val="0"/>
              <w:adjustRightInd w:val="0"/>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项目采用活性炭吸附处理有机废气，活性炭再生比较困难，需要定期进行更换。参考《简明通风设计手册》（中国建筑工业出版社），活性炭平均吸附量按 0.2t/t 活性炭计算，本项目活性炭吸附废气</w:t>
            </w:r>
            <w:r>
              <w:rPr>
                <w:rFonts w:hint="eastAsia"/>
                <w:color w:val="auto"/>
                <w:sz w:val="24"/>
                <w:highlight w:val="none"/>
                <w:u w:val="none" w:color="auto"/>
                <w:lang w:val="en-US" w:eastAsia="zh-CN"/>
              </w:rPr>
              <w:t>0.7448</w:t>
            </w:r>
            <w:r>
              <w:rPr>
                <w:rFonts w:hint="eastAsia"/>
                <w:color w:val="auto"/>
                <w:sz w:val="24"/>
                <w:highlight w:val="none"/>
                <w:u w:val="none" w:color="auto"/>
              </w:rPr>
              <w:t>t/a，则活性炭吸附装置年产生废活性炭</w:t>
            </w:r>
            <w:r>
              <w:rPr>
                <w:rFonts w:hint="eastAsia"/>
                <w:color w:val="auto"/>
                <w:sz w:val="24"/>
                <w:highlight w:val="none"/>
                <w:u w:val="none" w:color="auto"/>
                <w:lang w:val="en-US" w:eastAsia="zh-CN"/>
              </w:rPr>
              <w:t>3.724</w:t>
            </w:r>
            <w:r>
              <w:rPr>
                <w:rFonts w:hint="eastAsia"/>
                <w:color w:val="auto"/>
                <w:sz w:val="24"/>
                <w:highlight w:val="none"/>
                <w:u w:val="none" w:color="auto"/>
              </w:rPr>
              <w:t>t/a，其危废编号 HW49，废物代码 900-039-49，须交由有相应危险废物资质单位处理。</w:t>
            </w:r>
          </w:p>
          <w:p>
            <w:pPr>
              <w:autoSpaceDE w:val="0"/>
              <w:autoSpaceDN w:val="0"/>
              <w:adjustRightInd w:val="0"/>
              <w:spacing w:line="360" w:lineRule="auto"/>
              <w:ind w:firstLine="482" w:firstLineChars="200"/>
              <w:rPr>
                <w:b/>
                <w:bCs/>
                <w:color w:val="auto"/>
                <w:sz w:val="24"/>
                <w:szCs w:val="24"/>
                <w:highlight w:val="none"/>
                <w:u w:val="none" w:color="auto"/>
              </w:rPr>
            </w:pPr>
            <w:r>
              <w:rPr>
                <w:rFonts w:hint="eastAsia"/>
                <w:b/>
                <w:bCs/>
                <w:color w:val="auto"/>
                <w:sz w:val="24"/>
                <w:szCs w:val="24"/>
                <w:highlight w:val="none"/>
                <w:u w:val="none" w:color="auto"/>
              </w:rPr>
              <w:t>⑤</w:t>
            </w:r>
            <w:r>
              <w:rPr>
                <w:b/>
                <w:bCs/>
                <w:color w:val="auto"/>
                <w:sz w:val="24"/>
                <w:szCs w:val="24"/>
                <w:highlight w:val="none"/>
                <w:u w:val="none" w:color="auto"/>
              </w:rPr>
              <w:t>废机油</w:t>
            </w:r>
          </w:p>
          <w:p>
            <w:pPr>
              <w:autoSpaceDE w:val="0"/>
              <w:autoSpaceDN w:val="0"/>
              <w:adjustRightInd w:val="0"/>
              <w:spacing w:line="360" w:lineRule="auto"/>
              <w:ind w:firstLine="600" w:firstLineChars="250"/>
              <w:rPr>
                <w:color w:val="auto"/>
                <w:sz w:val="24"/>
                <w:szCs w:val="24"/>
                <w:highlight w:val="none"/>
                <w:u w:val="none" w:color="auto"/>
              </w:rPr>
            </w:pPr>
            <w:r>
              <w:rPr>
                <w:color w:val="auto"/>
                <w:sz w:val="24"/>
                <w:szCs w:val="24"/>
                <w:highlight w:val="none"/>
                <w:u w:val="none" w:color="auto"/>
              </w:rPr>
              <w:t>项目生产设备日常检修、保养过程中会产生少量的废机油，产生量约为0.1t/a，废机油属于《国家危险废物名录》（20</w:t>
            </w:r>
            <w:r>
              <w:rPr>
                <w:rFonts w:hint="eastAsia"/>
                <w:color w:val="auto"/>
                <w:sz w:val="24"/>
                <w:szCs w:val="24"/>
                <w:highlight w:val="none"/>
                <w:u w:val="none" w:color="auto"/>
              </w:rPr>
              <w:t>21</w:t>
            </w:r>
            <w:r>
              <w:rPr>
                <w:color w:val="auto"/>
                <w:sz w:val="24"/>
                <w:szCs w:val="24"/>
                <w:highlight w:val="none"/>
                <w:u w:val="none" w:color="auto"/>
              </w:rPr>
              <w:t>年）所列的危险废物（HW08 900-214-08），应妥善收集后交由有相关资质的单位处置。</w:t>
            </w:r>
          </w:p>
          <w:p>
            <w:pPr>
              <w:spacing w:line="360" w:lineRule="auto"/>
              <w:ind w:firstLine="482" w:firstLineChars="200"/>
              <w:rPr>
                <w:rFonts w:hint="default" w:ascii="Times New Roman" w:hAnsi="Times New Roman" w:eastAsia="宋体" w:cs="Times New Roman"/>
                <w:b/>
                <w:color w:val="auto"/>
                <w:sz w:val="24"/>
                <w:highlight w:val="none"/>
                <w:u w:val="none" w:color="auto"/>
                <w:lang w:val="en-US" w:eastAsia="zh-CN"/>
              </w:rPr>
            </w:pPr>
            <w:r>
              <w:rPr>
                <w:rFonts w:hint="eastAsia" w:ascii="Times New Roman" w:hAnsi="Times New Roman" w:eastAsia="宋体" w:cs="Times New Roman"/>
                <w:b/>
                <w:color w:val="auto"/>
                <w:sz w:val="24"/>
                <w:highlight w:val="none"/>
                <w:u w:val="none" w:color="auto"/>
              </w:rPr>
              <w:t>⑥废</w:t>
            </w:r>
            <w:r>
              <w:rPr>
                <w:rFonts w:hint="eastAsia" w:ascii="Times New Roman" w:hAnsi="Times New Roman" w:eastAsia="宋体" w:cs="Times New Roman"/>
                <w:b/>
                <w:color w:val="auto"/>
                <w:sz w:val="24"/>
                <w:highlight w:val="none"/>
                <w:u w:val="none" w:color="auto"/>
                <w:lang w:val="en-US" w:eastAsia="zh-CN"/>
              </w:rPr>
              <w:t>有机</w:t>
            </w:r>
            <w:r>
              <w:rPr>
                <w:rFonts w:hint="eastAsia" w:ascii="Times New Roman" w:hAnsi="Times New Roman" w:eastAsia="宋体" w:cs="Times New Roman"/>
                <w:b/>
                <w:color w:val="auto"/>
                <w:sz w:val="24"/>
                <w:highlight w:val="none"/>
                <w:u w:val="none" w:color="auto"/>
              </w:rPr>
              <w:t>溶剂包装桶</w:t>
            </w:r>
          </w:p>
          <w:p>
            <w:pPr>
              <w:spacing w:line="360" w:lineRule="auto"/>
              <w:ind w:firstLine="480" w:firstLineChars="200"/>
              <w:rPr>
                <w:rFonts w:hint="eastAsia" w:eastAsia="宋体"/>
                <w:b w:val="0"/>
                <w:bCs/>
                <w:color w:val="auto"/>
                <w:sz w:val="24"/>
                <w:highlight w:val="none"/>
                <w:u w:val="none" w:color="auto"/>
                <w:lang w:eastAsia="zh-CN"/>
              </w:rPr>
            </w:pPr>
            <w:r>
              <w:rPr>
                <w:rFonts w:hint="eastAsia" w:ascii="Times New Roman" w:hAnsi="Times New Roman" w:eastAsia="宋体" w:cs="Times New Roman"/>
                <w:b w:val="0"/>
                <w:bCs/>
                <w:color w:val="auto"/>
                <w:sz w:val="24"/>
                <w:highlight w:val="none"/>
                <w:u w:val="none" w:color="auto"/>
              </w:rPr>
              <w:t>生产过程中产生的绝缘油、稀释剂、助焊剂原料包装桶，根据业主提供的资料，废溶剂包装桶产生量约</w:t>
            </w:r>
            <w:r>
              <w:rPr>
                <w:rFonts w:hint="eastAsia" w:ascii="Times New Roman" w:hAnsi="Times New Roman" w:eastAsia="宋体" w:cs="Times New Roman"/>
                <w:b w:val="0"/>
                <w:bCs/>
                <w:color w:val="auto"/>
                <w:sz w:val="24"/>
                <w:highlight w:val="none"/>
                <w:u w:val="none" w:color="auto"/>
                <w:lang w:val="en-US" w:eastAsia="zh-CN"/>
              </w:rPr>
              <w:t>1.5</w:t>
            </w:r>
            <w:r>
              <w:rPr>
                <w:rFonts w:hint="eastAsia" w:ascii="Times New Roman" w:hAnsi="Times New Roman" w:eastAsia="宋体" w:cs="Times New Roman"/>
                <w:b w:val="0"/>
                <w:bCs/>
                <w:color w:val="auto"/>
                <w:sz w:val="24"/>
                <w:highlight w:val="none"/>
                <w:u w:val="none" w:color="auto"/>
              </w:rPr>
              <w:t>t/a，根据</w:t>
            </w:r>
            <w:r>
              <w:rPr>
                <w:rFonts w:hint="eastAsia"/>
                <w:b w:val="0"/>
                <w:bCs/>
                <w:color w:val="auto"/>
                <w:sz w:val="24"/>
                <w:highlight w:val="none"/>
                <w:u w:val="none" w:color="auto"/>
              </w:rPr>
              <w:t>《危险废物名录（2021 年版）》，废桶废物类别为 HW49其他废物、废物代码为900-041-49，统一收集至危废暂存间后，经收集后由厂家回收</w:t>
            </w:r>
            <w:r>
              <w:rPr>
                <w:rFonts w:hint="eastAsia"/>
                <w:b w:val="0"/>
                <w:bCs/>
                <w:color w:val="auto"/>
                <w:sz w:val="24"/>
                <w:highlight w:val="none"/>
                <w:u w:val="none" w:color="auto"/>
                <w:lang w:eastAsia="zh-CN"/>
              </w:rPr>
              <w:t>。</w:t>
            </w:r>
          </w:p>
          <w:p>
            <w:pPr>
              <w:spacing w:line="360" w:lineRule="auto"/>
              <w:ind w:firstLine="482" w:firstLineChars="200"/>
              <w:rPr>
                <w:b/>
                <w:color w:val="auto"/>
                <w:sz w:val="24"/>
                <w:highlight w:val="none"/>
                <w:u w:val="none" w:color="auto"/>
              </w:rPr>
            </w:pPr>
            <w:r>
              <w:rPr>
                <w:rFonts w:hint="eastAsia"/>
                <w:b/>
                <w:color w:val="auto"/>
                <w:sz w:val="24"/>
                <w:highlight w:val="none"/>
                <w:u w:val="none" w:color="auto"/>
              </w:rPr>
              <w:t>3）生活垃圾</w:t>
            </w:r>
          </w:p>
          <w:p>
            <w:pPr>
              <w:widowControl/>
              <w:spacing w:line="360" w:lineRule="auto"/>
              <w:ind w:firstLine="480" w:firstLineChars="200"/>
              <w:jc w:val="left"/>
              <w:rPr>
                <w:rFonts w:ascii="宋体" w:hAnsi="宋体" w:cs="宋体"/>
                <w:b/>
                <w:color w:val="auto"/>
                <w:kern w:val="0"/>
                <w:highlight w:val="none"/>
                <w:u w:val="none" w:color="auto"/>
                <w:lang w:bidi="ar"/>
              </w:rPr>
            </w:pPr>
            <w:r>
              <w:rPr>
                <w:color w:val="auto"/>
                <w:sz w:val="24"/>
                <w:highlight w:val="none"/>
                <w:u w:val="none" w:color="auto"/>
              </w:rPr>
              <w:t>本项目</w:t>
            </w:r>
            <w:r>
              <w:rPr>
                <w:rFonts w:hint="eastAsia"/>
                <w:color w:val="auto"/>
                <w:sz w:val="24"/>
                <w:highlight w:val="none"/>
                <w:u w:val="none" w:color="auto"/>
              </w:rPr>
              <w:t>厂区</w:t>
            </w:r>
            <w:r>
              <w:rPr>
                <w:color w:val="auto"/>
                <w:sz w:val="24"/>
                <w:highlight w:val="none"/>
                <w:u w:val="none" w:color="auto"/>
              </w:rPr>
              <w:t>员工人数为</w:t>
            </w:r>
            <w:r>
              <w:rPr>
                <w:rFonts w:hint="eastAsia"/>
                <w:color w:val="auto"/>
                <w:sz w:val="24"/>
                <w:highlight w:val="none"/>
                <w:u w:val="none" w:color="auto"/>
                <w:lang w:val="en-US" w:eastAsia="zh-CN"/>
              </w:rPr>
              <w:t>3</w:t>
            </w:r>
            <w:r>
              <w:rPr>
                <w:rFonts w:hint="eastAsia"/>
                <w:color w:val="auto"/>
                <w:sz w:val="24"/>
                <w:highlight w:val="none"/>
                <w:u w:val="none" w:color="auto"/>
              </w:rPr>
              <w:t>0</w:t>
            </w:r>
            <w:r>
              <w:rPr>
                <w:color w:val="auto"/>
                <w:sz w:val="24"/>
                <w:highlight w:val="none"/>
                <w:u w:val="none" w:color="auto"/>
              </w:rPr>
              <w:t>人</w:t>
            </w:r>
            <w:r>
              <w:rPr>
                <w:rFonts w:hint="eastAsia"/>
                <w:color w:val="auto"/>
                <w:sz w:val="24"/>
                <w:highlight w:val="none"/>
                <w:u w:val="none" w:color="auto"/>
              </w:rPr>
              <w:t>，</w:t>
            </w:r>
            <w:r>
              <w:rPr>
                <w:color w:val="auto"/>
                <w:sz w:val="24"/>
                <w:highlight w:val="none"/>
                <w:u w:val="none" w:color="auto"/>
              </w:rPr>
              <w:t>年工作</w:t>
            </w:r>
            <w:r>
              <w:rPr>
                <w:rFonts w:hint="eastAsia"/>
                <w:color w:val="auto"/>
                <w:sz w:val="24"/>
                <w:highlight w:val="none"/>
                <w:u w:val="none" w:color="auto"/>
              </w:rPr>
              <w:t>3</w:t>
            </w:r>
            <w:r>
              <w:rPr>
                <w:rFonts w:hint="eastAsia"/>
                <w:color w:val="auto"/>
                <w:sz w:val="24"/>
                <w:highlight w:val="none"/>
                <w:u w:val="none" w:color="auto"/>
                <w:lang w:val="en-US" w:eastAsia="zh-CN"/>
              </w:rPr>
              <w:t>00</w:t>
            </w:r>
            <w:r>
              <w:rPr>
                <w:color w:val="auto"/>
                <w:sz w:val="24"/>
                <w:highlight w:val="none"/>
                <w:u w:val="none" w:color="auto"/>
              </w:rPr>
              <w:t>天，平均每人每天生活垃圾产生量约0.5kg，则项目生活垃圾产生量为</w:t>
            </w:r>
            <w:r>
              <w:rPr>
                <w:rFonts w:hint="eastAsia"/>
                <w:color w:val="auto"/>
                <w:sz w:val="24"/>
                <w:highlight w:val="none"/>
                <w:u w:val="none" w:color="auto"/>
                <w:lang w:val="en-US" w:eastAsia="zh-CN"/>
              </w:rPr>
              <w:t>4.5</w:t>
            </w:r>
            <w:r>
              <w:rPr>
                <w:color w:val="auto"/>
                <w:sz w:val="24"/>
                <w:highlight w:val="none"/>
                <w:u w:val="none" w:color="auto"/>
              </w:rPr>
              <w:t>t/a，生活垃圾主要成分是有机物，如不及时清理，会滋生蚊虫、产生恶臭、影响景观、传播疾病等，对环境造成不良影响。经垃圾桶收集后，</w:t>
            </w:r>
            <w:r>
              <w:rPr>
                <w:rFonts w:hint="eastAsia"/>
                <w:color w:val="auto"/>
                <w:sz w:val="24"/>
                <w:highlight w:val="none"/>
                <w:u w:val="none" w:color="auto"/>
              </w:rPr>
              <w:t>每天</w:t>
            </w:r>
            <w:r>
              <w:rPr>
                <w:color w:val="auto"/>
                <w:sz w:val="24"/>
                <w:highlight w:val="none"/>
                <w:u w:val="none" w:color="auto"/>
              </w:rPr>
              <w:t>清理，委托当地环卫部门进行清运处理。</w:t>
            </w:r>
            <w:r>
              <w:rPr>
                <w:color w:val="auto"/>
                <w:sz w:val="24"/>
                <w:szCs w:val="24"/>
                <w:highlight w:val="none"/>
                <w:u w:val="none" w:color="auto"/>
              </w:rPr>
              <w:t xml:space="preserve"> </w:t>
            </w:r>
          </w:p>
          <w:p>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表4-1</w:t>
            </w:r>
            <w:r>
              <w:rPr>
                <w:rFonts w:hint="eastAsia"/>
                <w:b/>
                <w:bCs/>
                <w:color w:val="auto"/>
                <w:highlight w:val="none"/>
                <w:u w:val="none" w:color="auto"/>
                <w:lang w:val="en-US" w:eastAsia="zh-CN"/>
              </w:rPr>
              <w:t>1</w:t>
            </w:r>
            <w:r>
              <w:rPr>
                <w:rFonts w:hint="eastAsia"/>
                <w:b/>
                <w:bCs/>
                <w:color w:val="auto"/>
                <w:highlight w:val="none"/>
                <w:u w:val="none" w:color="auto"/>
              </w:rPr>
              <w:t xml:space="preserve">  固废产生及处置情况</w:t>
            </w:r>
          </w:p>
          <w:tbl>
            <w:tblPr>
              <w:tblStyle w:val="26"/>
              <w:tblW w:w="80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68"/>
              <w:gridCol w:w="1054"/>
              <w:gridCol w:w="1085"/>
              <w:gridCol w:w="1410"/>
              <w:gridCol w:w="1886"/>
              <w:gridCol w:w="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序号</w:t>
                  </w:r>
                </w:p>
              </w:tc>
              <w:tc>
                <w:tcPr>
                  <w:tcW w:w="136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名称</w:t>
                  </w:r>
                </w:p>
              </w:tc>
              <w:tc>
                <w:tcPr>
                  <w:tcW w:w="1054"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产生量（t/a）</w:t>
                  </w:r>
                </w:p>
              </w:tc>
              <w:tc>
                <w:tcPr>
                  <w:tcW w:w="1085"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分类编号</w:t>
                  </w:r>
                </w:p>
              </w:tc>
              <w:tc>
                <w:tcPr>
                  <w:tcW w:w="1410" w:type="dxa"/>
                  <w:tcBorders>
                    <w:tl2br w:val="nil"/>
                    <w:tr2bl w:val="nil"/>
                  </w:tcBorders>
                  <w:vAlign w:val="center"/>
                </w:tcPr>
                <w:p>
                  <w:pPr>
                    <w:jc w:val="center"/>
                    <w:rPr>
                      <w:color w:val="auto"/>
                      <w:highlight w:val="none"/>
                      <w:u w:val="none" w:color="auto"/>
                    </w:rPr>
                  </w:pPr>
                  <w:r>
                    <w:rPr>
                      <w:rFonts w:hint="eastAsia"/>
                      <w:color w:val="auto"/>
                      <w:highlight w:val="none"/>
                      <w:u w:val="none" w:color="auto"/>
                      <w:lang w:val="en-US" w:eastAsia="zh-CN"/>
                    </w:rPr>
                    <w:t>废物</w:t>
                  </w:r>
                  <w:r>
                    <w:rPr>
                      <w:rFonts w:hint="eastAsia"/>
                      <w:color w:val="auto"/>
                      <w:highlight w:val="none"/>
                      <w:u w:val="none" w:color="auto"/>
                    </w:rPr>
                    <w:t>代码</w:t>
                  </w:r>
                </w:p>
              </w:tc>
              <w:tc>
                <w:tcPr>
                  <w:tcW w:w="18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处理处置方式</w:t>
                  </w:r>
                </w:p>
              </w:tc>
              <w:tc>
                <w:tcPr>
                  <w:tcW w:w="80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1</w:t>
                  </w:r>
                </w:p>
              </w:tc>
              <w:tc>
                <w:tcPr>
                  <w:tcW w:w="1368" w:type="dxa"/>
                  <w:tcBorders>
                    <w:tl2br w:val="nil"/>
                    <w:tr2bl w:val="nil"/>
                  </w:tcBorders>
                  <w:vAlign w:val="center"/>
                </w:tcPr>
                <w:p>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val="en-US" w:eastAsia="zh-CN"/>
                    </w:rPr>
                    <w:t>废锡渣</w:t>
                  </w:r>
                </w:p>
              </w:tc>
              <w:tc>
                <w:tcPr>
                  <w:tcW w:w="1054" w:type="dxa"/>
                  <w:tcBorders>
                    <w:tl2br w:val="nil"/>
                    <w:tr2bl w:val="nil"/>
                  </w:tcBorders>
                  <w:vAlign w:val="center"/>
                </w:tcPr>
                <w:p>
                  <w:pPr>
                    <w:jc w:val="center"/>
                    <w:rPr>
                      <w:rFonts w:hint="eastAsia" w:ascii="Times New Roman" w:hAnsi="Times New Roman"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0.02</w:t>
                  </w:r>
                </w:p>
              </w:tc>
              <w:tc>
                <w:tcPr>
                  <w:tcW w:w="1085"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一般固体废物</w:t>
                  </w:r>
                </w:p>
              </w:tc>
              <w:tc>
                <w:tcPr>
                  <w:tcW w:w="1410" w:type="dxa"/>
                  <w:tcBorders>
                    <w:tl2br w:val="nil"/>
                    <w:tr2bl w:val="nil"/>
                  </w:tcBorders>
                  <w:vAlign w:val="center"/>
                </w:tcPr>
                <w:p>
                  <w:pPr>
                    <w:jc w:val="center"/>
                    <w:rPr>
                      <w:rFonts w:hAnsi="宋体"/>
                      <w:color w:val="auto"/>
                      <w:highlight w:val="none"/>
                      <w:u w:val="none" w:color="auto"/>
                    </w:rPr>
                  </w:pPr>
                  <w:r>
                    <w:rPr>
                      <w:rFonts w:hint="eastAsia" w:hAnsi="宋体"/>
                      <w:color w:val="auto"/>
                      <w:highlight w:val="none"/>
                      <w:u w:val="none" w:color="auto"/>
                    </w:rPr>
                    <w:t>900-999-99</w:t>
                  </w:r>
                </w:p>
              </w:tc>
              <w:tc>
                <w:tcPr>
                  <w:tcW w:w="1886" w:type="dxa"/>
                  <w:tcBorders>
                    <w:tl2br w:val="nil"/>
                    <w:tr2bl w:val="nil"/>
                  </w:tcBorders>
                  <w:vAlign w:val="center"/>
                </w:tcPr>
                <w:p>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rPr>
                    <w:t>统一收集后交由生产厂家回收再利用</w:t>
                  </w:r>
                </w:p>
              </w:tc>
              <w:tc>
                <w:tcPr>
                  <w:tcW w:w="80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2</w:t>
                  </w:r>
                </w:p>
              </w:tc>
              <w:tc>
                <w:tcPr>
                  <w:tcW w:w="1368" w:type="dxa"/>
                  <w:tcBorders>
                    <w:tl2br w:val="nil"/>
                    <w:tr2bl w:val="nil"/>
                  </w:tcBorders>
                  <w:vAlign w:val="center"/>
                </w:tcPr>
                <w:p>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rPr>
                    <w:t>废包装材料</w:t>
                  </w:r>
                </w:p>
              </w:tc>
              <w:tc>
                <w:tcPr>
                  <w:tcW w:w="1054" w:type="dxa"/>
                  <w:tcBorders>
                    <w:tl2br w:val="nil"/>
                    <w:tr2bl w:val="nil"/>
                  </w:tcBorders>
                  <w:vAlign w:val="center"/>
                </w:tcPr>
                <w:p>
                  <w:pPr>
                    <w:jc w:val="center"/>
                    <w:rPr>
                      <w:rFonts w:hint="eastAsia" w:ascii="Times New Roman" w:hAnsi="Times New Roman"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0.5</w:t>
                  </w:r>
                </w:p>
              </w:tc>
              <w:tc>
                <w:tcPr>
                  <w:tcW w:w="1085"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一般固体废物</w:t>
                  </w:r>
                </w:p>
              </w:tc>
              <w:tc>
                <w:tcPr>
                  <w:tcW w:w="1410" w:type="dxa"/>
                  <w:tcBorders>
                    <w:tl2br w:val="nil"/>
                    <w:tr2bl w:val="nil"/>
                  </w:tcBorders>
                  <w:vAlign w:val="center"/>
                </w:tcPr>
                <w:p>
                  <w:pPr>
                    <w:jc w:val="center"/>
                    <w:rPr>
                      <w:rFonts w:hAnsi="宋体"/>
                      <w:color w:val="auto"/>
                      <w:highlight w:val="none"/>
                      <w:u w:val="none" w:color="auto"/>
                    </w:rPr>
                  </w:pPr>
                  <w:r>
                    <w:rPr>
                      <w:rFonts w:hint="eastAsia" w:hAnsi="宋体"/>
                      <w:color w:val="auto"/>
                      <w:highlight w:val="none"/>
                      <w:u w:val="none" w:color="auto"/>
                    </w:rPr>
                    <w:t>220-001-04、292-001-06</w:t>
                  </w:r>
                </w:p>
              </w:tc>
              <w:tc>
                <w:tcPr>
                  <w:tcW w:w="1886" w:type="dxa"/>
                  <w:tcBorders>
                    <w:tl2br w:val="nil"/>
                    <w:tr2bl w:val="nil"/>
                  </w:tcBorders>
                  <w:vAlign w:val="center"/>
                </w:tcPr>
                <w:p>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rPr>
                    <w:t>进行分类回收后由废品收购单位收购利用</w:t>
                  </w:r>
                </w:p>
              </w:tc>
              <w:tc>
                <w:tcPr>
                  <w:tcW w:w="80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3</w:t>
                  </w:r>
                </w:p>
              </w:tc>
              <w:tc>
                <w:tcPr>
                  <w:tcW w:w="1368" w:type="dxa"/>
                  <w:tcBorders>
                    <w:tl2br w:val="nil"/>
                    <w:tr2bl w:val="nil"/>
                  </w:tcBorders>
                  <w:vAlign w:val="center"/>
                </w:tcPr>
                <w:p>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val="en-US" w:eastAsia="zh-CN"/>
                    </w:rPr>
                    <w:t>边角料及不合格产品</w:t>
                  </w:r>
                </w:p>
              </w:tc>
              <w:tc>
                <w:tcPr>
                  <w:tcW w:w="1054" w:type="dxa"/>
                  <w:tcBorders>
                    <w:tl2br w:val="nil"/>
                    <w:tr2bl w:val="nil"/>
                  </w:tcBorders>
                  <w:vAlign w:val="center"/>
                </w:tcPr>
                <w:p>
                  <w:pPr>
                    <w:jc w:val="center"/>
                    <w:rPr>
                      <w:rFonts w:hint="eastAsia" w:ascii="Times New Roman" w:hAnsi="Times New Roman"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1.6</w:t>
                  </w:r>
                </w:p>
              </w:tc>
              <w:tc>
                <w:tcPr>
                  <w:tcW w:w="1085"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一般固体废物</w:t>
                  </w:r>
                </w:p>
              </w:tc>
              <w:tc>
                <w:tcPr>
                  <w:tcW w:w="1410" w:type="dxa"/>
                  <w:tcBorders>
                    <w:tl2br w:val="nil"/>
                    <w:tr2bl w:val="nil"/>
                  </w:tcBorders>
                  <w:vAlign w:val="center"/>
                </w:tcPr>
                <w:p>
                  <w:pPr>
                    <w:jc w:val="center"/>
                    <w:rPr>
                      <w:rFonts w:hAnsi="宋体"/>
                      <w:color w:val="auto"/>
                      <w:highlight w:val="none"/>
                      <w:u w:val="none" w:color="auto"/>
                    </w:rPr>
                  </w:pPr>
                  <w:r>
                    <w:rPr>
                      <w:rFonts w:hint="eastAsia" w:hAnsi="宋体"/>
                      <w:color w:val="auto"/>
                      <w:highlight w:val="none"/>
                      <w:u w:val="none" w:color="auto"/>
                    </w:rPr>
                    <w:t>320-001-10</w:t>
                  </w:r>
                </w:p>
              </w:tc>
              <w:tc>
                <w:tcPr>
                  <w:tcW w:w="1886" w:type="dxa"/>
                  <w:tcBorders>
                    <w:tl2br w:val="nil"/>
                    <w:tr2bl w:val="nil"/>
                  </w:tcBorders>
                  <w:vAlign w:val="center"/>
                </w:tcPr>
                <w:p>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rPr>
                    <w:t>外售综合利用</w:t>
                  </w:r>
                </w:p>
              </w:tc>
              <w:tc>
                <w:tcPr>
                  <w:tcW w:w="80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7</w:t>
                  </w:r>
                </w:p>
              </w:tc>
              <w:tc>
                <w:tcPr>
                  <w:tcW w:w="136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生活垃圾</w:t>
                  </w:r>
                </w:p>
              </w:tc>
              <w:tc>
                <w:tcPr>
                  <w:tcW w:w="1054" w:type="dxa"/>
                  <w:tcBorders>
                    <w:tl2br w:val="nil"/>
                    <w:tr2bl w:val="nil"/>
                  </w:tcBorders>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4.5</w:t>
                  </w:r>
                </w:p>
              </w:tc>
              <w:tc>
                <w:tcPr>
                  <w:tcW w:w="1085"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一般固体废物</w:t>
                  </w:r>
                </w:p>
              </w:tc>
              <w:tc>
                <w:tcPr>
                  <w:tcW w:w="1410" w:type="dxa"/>
                  <w:tcBorders>
                    <w:tl2br w:val="nil"/>
                    <w:tr2bl w:val="nil"/>
                  </w:tcBorders>
                  <w:vAlign w:val="center"/>
                </w:tcPr>
                <w:p>
                  <w:pPr>
                    <w:jc w:val="center"/>
                    <w:rPr>
                      <w:rFonts w:hAnsi="宋体"/>
                      <w:color w:val="auto"/>
                      <w:highlight w:val="none"/>
                      <w:u w:val="none" w:color="auto"/>
                    </w:rPr>
                  </w:pPr>
                  <w:r>
                    <w:rPr>
                      <w:rFonts w:hint="eastAsia" w:hAnsi="宋体"/>
                      <w:color w:val="auto"/>
                      <w:highlight w:val="none"/>
                      <w:u w:val="none" w:color="auto"/>
                    </w:rPr>
                    <w:t>/</w:t>
                  </w:r>
                </w:p>
              </w:tc>
              <w:tc>
                <w:tcPr>
                  <w:tcW w:w="1886" w:type="dxa"/>
                  <w:tcBorders>
                    <w:tl2br w:val="nil"/>
                    <w:tr2bl w:val="nil"/>
                  </w:tcBorders>
                  <w:vAlign w:val="center"/>
                </w:tcPr>
                <w:p>
                  <w:pPr>
                    <w:jc w:val="center"/>
                    <w:rPr>
                      <w:color w:val="auto"/>
                      <w:highlight w:val="none"/>
                      <w:u w:val="none" w:color="auto"/>
                    </w:rPr>
                  </w:pPr>
                  <w:r>
                    <w:rPr>
                      <w:color w:val="auto"/>
                      <w:highlight w:val="none"/>
                      <w:u w:val="none" w:color="auto"/>
                    </w:rPr>
                    <w:t>委托当地环卫部门进行清运处理</w:t>
                  </w:r>
                </w:p>
              </w:tc>
              <w:tc>
                <w:tcPr>
                  <w:tcW w:w="80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8</w:t>
                  </w:r>
                </w:p>
              </w:tc>
              <w:tc>
                <w:tcPr>
                  <w:tcW w:w="136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废活性炭</w:t>
                  </w:r>
                </w:p>
              </w:tc>
              <w:tc>
                <w:tcPr>
                  <w:tcW w:w="1054" w:type="dxa"/>
                  <w:tcBorders>
                    <w:tl2br w:val="nil"/>
                    <w:tr2bl w:val="nil"/>
                  </w:tcBorders>
                  <w:vAlign w:val="center"/>
                </w:tcPr>
                <w:p>
                  <w:pPr>
                    <w:jc w:val="center"/>
                    <w:rPr>
                      <w:rFonts w:hint="default" w:eastAsia="宋体"/>
                      <w:color w:val="auto"/>
                      <w:highlight w:val="none"/>
                      <w:u w:val="none" w:color="auto"/>
                      <w:lang w:val="en-US" w:eastAsia="zh-CN"/>
                    </w:rPr>
                  </w:pPr>
                  <w:r>
                    <w:rPr>
                      <w:rFonts w:hint="eastAsia"/>
                      <w:color w:val="auto"/>
                      <w:sz w:val="21"/>
                      <w:szCs w:val="21"/>
                      <w:highlight w:val="none"/>
                      <w:u w:val="none" w:color="auto"/>
                      <w:lang w:val="en-US" w:eastAsia="zh-CN"/>
                    </w:rPr>
                    <w:t>3.724</w:t>
                  </w:r>
                </w:p>
              </w:tc>
              <w:tc>
                <w:tcPr>
                  <w:tcW w:w="1085" w:type="dxa"/>
                  <w:vMerge w:val="restart"/>
                  <w:tcBorders>
                    <w:tl2br w:val="nil"/>
                    <w:tr2bl w:val="nil"/>
                  </w:tcBorders>
                  <w:vAlign w:val="center"/>
                </w:tcPr>
                <w:p>
                  <w:pPr>
                    <w:jc w:val="center"/>
                    <w:rPr>
                      <w:color w:val="auto"/>
                      <w:highlight w:val="none"/>
                      <w:u w:val="none" w:color="auto"/>
                    </w:rPr>
                  </w:pPr>
                  <w:r>
                    <w:rPr>
                      <w:rFonts w:hint="eastAsia"/>
                      <w:color w:val="auto"/>
                      <w:highlight w:val="none"/>
                      <w:u w:val="none" w:color="auto"/>
                    </w:rPr>
                    <w:t>危险废物</w:t>
                  </w:r>
                </w:p>
              </w:tc>
              <w:tc>
                <w:tcPr>
                  <w:tcW w:w="1410" w:type="dxa"/>
                  <w:tcBorders>
                    <w:tl2br w:val="nil"/>
                    <w:tr2bl w:val="nil"/>
                  </w:tcBorders>
                  <w:vAlign w:val="center"/>
                </w:tcPr>
                <w:p>
                  <w:pPr>
                    <w:jc w:val="center"/>
                    <w:rPr>
                      <w:rFonts w:hAnsi="宋体"/>
                      <w:color w:val="auto"/>
                      <w:highlight w:val="none"/>
                      <w:u w:val="none" w:color="auto"/>
                    </w:rPr>
                  </w:pPr>
                  <w:r>
                    <w:rPr>
                      <w:color w:val="auto"/>
                      <w:highlight w:val="none"/>
                      <w:u w:val="none" w:color="auto"/>
                    </w:rPr>
                    <w:t>900-039-49</w:t>
                  </w:r>
                </w:p>
              </w:tc>
              <w:tc>
                <w:tcPr>
                  <w:tcW w:w="1886" w:type="dxa"/>
                  <w:vMerge w:val="restart"/>
                  <w:tcBorders>
                    <w:tl2br w:val="nil"/>
                    <w:tr2bl w:val="nil"/>
                  </w:tcBorders>
                  <w:vAlign w:val="center"/>
                </w:tcPr>
                <w:p>
                  <w:pPr>
                    <w:jc w:val="center"/>
                    <w:rPr>
                      <w:color w:val="auto"/>
                      <w:highlight w:val="none"/>
                      <w:u w:val="none" w:color="auto"/>
                    </w:rPr>
                  </w:pPr>
                  <w:r>
                    <w:rPr>
                      <w:rFonts w:hint="eastAsia"/>
                      <w:color w:val="auto"/>
                      <w:sz w:val="21"/>
                      <w:szCs w:val="21"/>
                      <w:highlight w:val="none"/>
                      <w:u w:val="none" w:color="auto"/>
                      <w:lang w:eastAsia="zh-CN"/>
                    </w:rPr>
                    <w:t>用密闭容器暂存在危废暂存间，</w:t>
                  </w:r>
                  <w:r>
                    <w:rPr>
                      <w:rFonts w:hint="eastAsia"/>
                      <w:color w:val="auto"/>
                      <w:sz w:val="21"/>
                      <w:szCs w:val="21"/>
                      <w:highlight w:val="none"/>
                      <w:u w:val="none" w:color="auto"/>
                    </w:rPr>
                    <w:t>定期交有危险废物</w:t>
                  </w:r>
                  <w:r>
                    <w:rPr>
                      <w:rFonts w:hint="eastAsia" w:hAnsi="宋体"/>
                      <w:color w:val="auto"/>
                      <w:sz w:val="21"/>
                      <w:szCs w:val="21"/>
                      <w:highlight w:val="none"/>
                      <w:u w:val="none" w:color="auto"/>
                    </w:rPr>
                    <w:t>处理资</w:t>
                  </w:r>
                  <w:r>
                    <w:rPr>
                      <w:rFonts w:hint="eastAsia" w:hAnsi="宋体"/>
                      <w:color w:val="auto"/>
                      <w:highlight w:val="none"/>
                      <w:u w:val="none" w:color="auto"/>
                    </w:rPr>
                    <w:t>质的单位处理，不自行处理和外排</w:t>
                  </w:r>
                </w:p>
              </w:tc>
              <w:tc>
                <w:tcPr>
                  <w:tcW w:w="80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6"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9</w:t>
                  </w:r>
                </w:p>
              </w:tc>
              <w:tc>
                <w:tcPr>
                  <w:tcW w:w="136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废机油</w:t>
                  </w:r>
                </w:p>
              </w:tc>
              <w:tc>
                <w:tcPr>
                  <w:tcW w:w="1054" w:type="dxa"/>
                  <w:tcBorders>
                    <w:tl2br w:val="nil"/>
                    <w:tr2bl w:val="nil"/>
                  </w:tcBorders>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0.1</w:t>
                  </w:r>
                </w:p>
              </w:tc>
              <w:tc>
                <w:tcPr>
                  <w:tcW w:w="1085" w:type="dxa"/>
                  <w:vMerge w:val="continue"/>
                  <w:tcBorders>
                    <w:tl2br w:val="nil"/>
                    <w:tr2bl w:val="nil"/>
                  </w:tcBorders>
                  <w:vAlign w:val="center"/>
                </w:tcPr>
                <w:p>
                  <w:pPr>
                    <w:jc w:val="center"/>
                    <w:rPr>
                      <w:color w:val="auto"/>
                      <w:highlight w:val="none"/>
                      <w:u w:val="none" w:color="auto"/>
                    </w:rPr>
                  </w:pPr>
                </w:p>
              </w:tc>
              <w:tc>
                <w:tcPr>
                  <w:tcW w:w="1410" w:type="dxa"/>
                  <w:tcBorders>
                    <w:tl2br w:val="nil"/>
                    <w:tr2bl w:val="nil"/>
                  </w:tcBorders>
                  <w:vAlign w:val="center"/>
                </w:tcPr>
                <w:p>
                  <w:pPr>
                    <w:jc w:val="center"/>
                    <w:rPr>
                      <w:color w:val="auto"/>
                      <w:highlight w:val="none"/>
                      <w:u w:val="none" w:color="auto"/>
                    </w:rPr>
                  </w:pPr>
                  <w:r>
                    <w:rPr>
                      <w:color w:val="auto"/>
                      <w:highlight w:val="none"/>
                      <w:u w:val="none" w:color="auto"/>
                    </w:rPr>
                    <w:t>900-214-08</w:t>
                  </w:r>
                </w:p>
              </w:tc>
              <w:tc>
                <w:tcPr>
                  <w:tcW w:w="1886" w:type="dxa"/>
                  <w:vMerge w:val="continue"/>
                  <w:tcBorders>
                    <w:tl2br w:val="nil"/>
                    <w:tr2bl w:val="nil"/>
                  </w:tcBorders>
                  <w:vAlign w:val="center"/>
                </w:tcPr>
                <w:p>
                  <w:pPr>
                    <w:jc w:val="center"/>
                    <w:rPr>
                      <w:color w:val="auto"/>
                      <w:highlight w:val="none"/>
                      <w:u w:val="none" w:color="auto"/>
                    </w:rPr>
                  </w:pPr>
                </w:p>
              </w:tc>
              <w:tc>
                <w:tcPr>
                  <w:tcW w:w="808"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6" w:type="dxa"/>
                  <w:tcBorders>
                    <w:tl2br w:val="nil"/>
                    <w:tr2bl w:val="nil"/>
                  </w:tcBorders>
                  <w:vAlign w:val="center"/>
                </w:tcPr>
                <w:p>
                  <w:pPr>
                    <w:jc w:val="center"/>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10</w:t>
                  </w:r>
                </w:p>
              </w:tc>
              <w:tc>
                <w:tcPr>
                  <w:tcW w:w="1368" w:type="dxa"/>
                  <w:tcBorders>
                    <w:tl2br w:val="nil"/>
                    <w:tr2bl w:val="nil"/>
                  </w:tcBorders>
                  <w:vAlign w:val="center"/>
                </w:tcPr>
                <w:p>
                  <w:pPr>
                    <w:jc w:val="center"/>
                    <w:rPr>
                      <w:rFonts w:hint="default" w:eastAsia="宋体"/>
                      <w:color w:val="auto"/>
                      <w:sz w:val="21"/>
                      <w:szCs w:val="21"/>
                      <w:highlight w:val="none"/>
                      <w:u w:val="none" w:color="auto"/>
                      <w:lang w:val="en-US" w:eastAsia="zh-CN"/>
                    </w:rPr>
                  </w:pPr>
                  <w:r>
                    <w:rPr>
                      <w:rFonts w:hint="eastAsia" w:ascii="Times New Roman" w:hAnsi="Times New Roman" w:eastAsia="宋体" w:cs="Times New Roman"/>
                      <w:color w:val="auto"/>
                      <w:highlight w:val="none"/>
                      <w:u w:val="none" w:color="auto"/>
                    </w:rPr>
                    <w:t>废</w:t>
                  </w:r>
                  <w:r>
                    <w:rPr>
                      <w:rFonts w:hint="eastAsia" w:ascii="Times New Roman" w:hAnsi="Times New Roman" w:eastAsia="宋体" w:cs="Times New Roman"/>
                      <w:color w:val="auto"/>
                      <w:highlight w:val="none"/>
                      <w:u w:val="none" w:color="auto"/>
                      <w:lang w:val="en-US" w:eastAsia="zh-CN"/>
                    </w:rPr>
                    <w:t>有机</w:t>
                  </w:r>
                  <w:r>
                    <w:rPr>
                      <w:rFonts w:hint="eastAsia" w:ascii="Times New Roman" w:hAnsi="Times New Roman" w:eastAsia="宋体" w:cs="Times New Roman"/>
                      <w:color w:val="auto"/>
                      <w:highlight w:val="none"/>
                      <w:u w:val="none" w:color="auto"/>
                    </w:rPr>
                    <w:t>溶剂包装桶</w:t>
                  </w:r>
                </w:p>
              </w:tc>
              <w:tc>
                <w:tcPr>
                  <w:tcW w:w="1054" w:type="dxa"/>
                  <w:tcBorders>
                    <w:tl2br w:val="nil"/>
                    <w:tr2bl w:val="nil"/>
                  </w:tcBorders>
                  <w:vAlign w:val="center"/>
                </w:tcPr>
                <w:p>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1.5</w:t>
                  </w:r>
                </w:p>
              </w:tc>
              <w:tc>
                <w:tcPr>
                  <w:tcW w:w="1085" w:type="dxa"/>
                  <w:vMerge w:val="continue"/>
                  <w:tcBorders>
                    <w:tl2br w:val="nil"/>
                    <w:tr2bl w:val="nil"/>
                  </w:tcBorders>
                  <w:vAlign w:val="center"/>
                </w:tcPr>
                <w:p>
                  <w:pPr>
                    <w:jc w:val="center"/>
                    <w:rPr>
                      <w:color w:val="auto"/>
                      <w:sz w:val="21"/>
                      <w:szCs w:val="21"/>
                      <w:highlight w:val="none"/>
                      <w:u w:val="none" w:color="auto"/>
                    </w:rPr>
                  </w:pPr>
                </w:p>
              </w:tc>
              <w:tc>
                <w:tcPr>
                  <w:tcW w:w="1410" w:type="dxa"/>
                  <w:tcBorders>
                    <w:tl2br w:val="nil"/>
                    <w:tr2bl w:val="nil"/>
                  </w:tcBorders>
                  <w:vAlign w:val="center"/>
                </w:tcPr>
                <w:p>
                  <w:pPr>
                    <w:jc w:val="center"/>
                    <w:rPr>
                      <w:color w:val="auto"/>
                      <w:sz w:val="21"/>
                      <w:szCs w:val="21"/>
                      <w:highlight w:val="none"/>
                      <w:u w:val="none" w:color="auto"/>
                    </w:rPr>
                  </w:pPr>
                  <w:r>
                    <w:rPr>
                      <w:rFonts w:hint="eastAsia"/>
                      <w:b w:val="0"/>
                      <w:bCs/>
                      <w:color w:val="auto"/>
                      <w:sz w:val="21"/>
                      <w:szCs w:val="21"/>
                      <w:highlight w:val="none"/>
                      <w:u w:val="none" w:color="auto"/>
                    </w:rPr>
                    <w:t>900-041-49</w:t>
                  </w:r>
                </w:p>
              </w:tc>
              <w:tc>
                <w:tcPr>
                  <w:tcW w:w="1886" w:type="dxa"/>
                  <w:vMerge w:val="continue"/>
                  <w:tcBorders>
                    <w:tl2br w:val="nil"/>
                    <w:tr2bl w:val="nil"/>
                  </w:tcBorders>
                  <w:vAlign w:val="center"/>
                </w:tcPr>
                <w:p>
                  <w:pPr>
                    <w:jc w:val="center"/>
                    <w:rPr>
                      <w:color w:val="auto"/>
                      <w:highlight w:val="none"/>
                      <w:u w:val="none" w:color="auto"/>
                    </w:rPr>
                  </w:pPr>
                </w:p>
              </w:tc>
              <w:tc>
                <w:tcPr>
                  <w:tcW w:w="808" w:type="dxa"/>
                  <w:tcBorders>
                    <w:tl2br w:val="nil"/>
                    <w:tr2bl w:val="nil"/>
                  </w:tcBorders>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0</w:t>
                  </w:r>
                </w:p>
              </w:tc>
            </w:tr>
          </w:tbl>
          <w:p>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5</w:t>
            </w:r>
            <w:r>
              <w:rPr>
                <w:rFonts w:hint="eastAsia"/>
                <w:b/>
                <w:bCs/>
                <w:color w:val="auto"/>
                <w:sz w:val="24"/>
                <w:highlight w:val="none"/>
                <w:u w:val="none" w:color="auto"/>
              </w:rPr>
              <w:t>.2固废处理处置措施</w:t>
            </w:r>
          </w:p>
          <w:p>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①一般工业固废</w:t>
            </w:r>
          </w:p>
          <w:p>
            <w:pPr>
              <w:spacing w:line="360" w:lineRule="auto"/>
              <w:ind w:firstLine="480" w:firstLineChars="200"/>
              <w:jc w:val="left"/>
              <w:rPr>
                <w:color w:val="auto"/>
                <w:sz w:val="24"/>
                <w:szCs w:val="24"/>
                <w:highlight w:val="none"/>
                <w:u w:val="none" w:color="auto"/>
              </w:rPr>
            </w:pPr>
            <w:r>
              <w:rPr>
                <w:rFonts w:hint="eastAsia"/>
                <w:color w:val="auto"/>
                <w:sz w:val="24"/>
                <w:highlight w:val="none"/>
                <w:u w:val="none" w:color="auto"/>
              </w:rPr>
              <w:t>本项目产</w:t>
            </w:r>
            <w:r>
              <w:rPr>
                <w:rFonts w:hint="eastAsia"/>
                <w:color w:val="auto"/>
                <w:sz w:val="24"/>
                <w:szCs w:val="24"/>
                <w:highlight w:val="none"/>
                <w:u w:val="none" w:color="auto"/>
              </w:rPr>
              <w:t>生的</w:t>
            </w:r>
            <w:r>
              <w:rPr>
                <w:rFonts w:hint="eastAsia"/>
                <w:color w:val="auto"/>
                <w:sz w:val="24"/>
                <w:highlight w:val="none"/>
                <w:u w:val="none" w:color="auto"/>
                <w:lang w:val="en-US" w:eastAsia="zh-CN"/>
              </w:rPr>
              <w:t>废锡渣、废包装袋、边角料及不合格产品</w:t>
            </w:r>
            <w:r>
              <w:rPr>
                <w:rFonts w:hint="eastAsia"/>
                <w:color w:val="auto"/>
                <w:sz w:val="24"/>
                <w:szCs w:val="24"/>
                <w:highlight w:val="none"/>
                <w:u w:val="none" w:color="auto"/>
              </w:rPr>
              <w:t>属于一般固废，由本项</w:t>
            </w:r>
            <w:r>
              <w:rPr>
                <w:rFonts w:hint="eastAsia" w:ascii="Times New Roman" w:hAnsi="Times New Roman" w:cs="Times New Roman"/>
                <w:color w:val="auto"/>
                <w:sz w:val="24"/>
                <w:szCs w:val="24"/>
                <w:highlight w:val="none"/>
                <w:u w:val="none" w:color="auto"/>
              </w:rPr>
              <w:t>目企业收集后暂存于一般固废暂存区。</w:t>
            </w:r>
            <w:r>
              <w:rPr>
                <w:rFonts w:hint="eastAsia" w:ascii="Times New Roman" w:hAnsi="Times New Roman" w:cs="Times New Roman"/>
                <w:color w:val="auto"/>
                <w:sz w:val="24"/>
                <w:szCs w:val="24"/>
                <w:highlight w:val="none"/>
                <w:u w:val="none" w:color="auto"/>
                <w:lang w:val="en-US" w:eastAsia="zh-CN"/>
              </w:rPr>
              <w:t>废锡渣</w:t>
            </w:r>
            <w:r>
              <w:rPr>
                <w:rFonts w:hint="eastAsia" w:ascii="Times New Roman" w:hAnsi="Times New Roman" w:cs="Times New Roman"/>
                <w:color w:val="auto"/>
                <w:sz w:val="24"/>
                <w:szCs w:val="24"/>
                <w:highlight w:val="none"/>
                <w:u w:val="none" w:color="auto"/>
              </w:rPr>
              <w:t>统一收集后交由生产厂家回收再利用；废包装材料进行分类回收后由废品收购单位收购利用；</w:t>
            </w:r>
            <w:r>
              <w:rPr>
                <w:rFonts w:hint="eastAsia" w:ascii="Times New Roman" w:hAnsi="Times New Roman" w:cs="Times New Roman"/>
                <w:color w:val="auto"/>
                <w:sz w:val="24"/>
                <w:szCs w:val="24"/>
                <w:highlight w:val="none"/>
                <w:u w:val="none" w:color="auto"/>
                <w:lang w:val="en-US" w:eastAsia="zh-CN"/>
              </w:rPr>
              <w:t>边角料及不合格产品</w:t>
            </w:r>
            <w:r>
              <w:rPr>
                <w:rFonts w:hint="eastAsia" w:ascii="Times New Roman" w:hAnsi="Times New Roman" w:cs="Times New Roman"/>
                <w:color w:val="auto"/>
                <w:sz w:val="24"/>
                <w:szCs w:val="24"/>
                <w:highlight w:val="none"/>
                <w:u w:val="none" w:color="auto"/>
              </w:rPr>
              <w:t>外售综合利用。</w:t>
            </w:r>
          </w:p>
          <w:p>
            <w:pPr>
              <w:spacing w:line="360" w:lineRule="auto"/>
              <w:ind w:firstLine="480" w:firstLineChars="200"/>
              <w:rPr>
                <w:color w:val="auto"/>
                <w:sz w:val="24"/>
                <w:szCs w:val="24"/>
                <w:highlight w:val="none"/>
                <w:u w:val="none" w:color="auto"/>
              </w:rPr>
            </w:pPr>
            <w:r>
              <w:rPr>
                <w:rFonts w:hint="eastAsia"/>
                <w:color w:val="auto"/>
                <w:sz w:val="24"/>
                <w:szCs w:val="24"/>
                <w:highlight w:val="none"/>
                <w:u w:val="none" w:color="auto"/>
              </w:rPr>
              <w:t>贮存场所的建设需满足一般工业固体废物贮存和填埋污染控制标准（GB18599-2020）的要求。为加强监督管理，贮存、处置场应按 GB15562.2 设置环境保护图形标志，不相容的一般工业固体废物应设置不同的分区进行贮存，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pPr>
              <w:spacing w:line="360" w:lineRule="auto"/>
              <w:ind w:firstLine="480" w:firstLineChars="200"/>
              <w:jc w:val="left"/>
              <w:rPr>
                <w:color w:val="auto"/>
                <w:sz w:val="24"/>
                <w:szCs w:val="24"/>
                <w:highlight w:val="none"/>
                <w:u w:val="none" w:color="auto"/>
              </w:rPr>
            </w:pPr>
            <w:r>
              <w:rPr>
                <w:rFonts w:hint="eastAsia"/>
                <w:color w:val="auto"/>
                <w:sz w:val="24"/>
                <w:szCs w:val="24"/>
                <w:highlight w:val="none"/>
                <w:u w:val="none" w:color="auto"/>
              </w:rPr>
              <w:t>②危险固废</w:t>
            </w:r>
          </w:p>
          <w:p>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本项目产生的危险固废主要是机修废机油、废活性</w:t>
            </w:r>
            <w:r>
              <w:rPr>
                <w:rFonts w:hint="eastAsia"/>
                <w:color w:val="auto"/>
                <w:sz w:val="24"/>
                <w:szCs w:val="24"/>
                <w:highlight w:val="none"/>
                <w:u w:val="none" w:color="auto"/>
              </w:rPr>
              <w:t>炭</w:t>
            </w:r>
            <w:r>
              <w:rPr>
                <w:rFonts w:hint="eastAsia"/>
                <w:color w:val="auto"/>
                <w:sz w:val="24"/>
                <w:szCs w:val="24"/>
                <w:highlight w:val="none"/>
                <w:u w:val="none" w:color="auto"/>
                <w:lang w:eastAsia="zh-CN"/>
              </w:rPr>
              <w:t>、</w:t>
            </w:r>
            <w:r>
              <w:rPr>
                <w:rFonts w:hint="eastAsia" w:ascii="Times New Roman" w:hAnsi="Times New Roman" w:eastAsia="宋体" w:cs="Times New Roman"/>
                <w:color w:val="auto"/>
                <w:sz w:val="24"/>
                <w:szCs w:val="24"/>
                <w:highlight w:val="none"/>
                <w:u w:val="none" w:color="auto"/>
              </w:rPr>
              <w:t>废</w:t>
            </w:r>
            <w:r>
              <w:rPr>
                <w:rFonts w:hint="eastAsia" w:ascii="Times New Roman" w:hAnsi="Times New Roman" w:eastAsia="宋体" w:cs="Times New Roman"/>
                <w:color w:val="auto"/>
                <w:sz w:val="24"/>
                <w:szCs w:val="24"/>
                <w:highlight w:val="none"/>
                <w:u w:val="none" w:color="auto"/>
                <w:lang w:val="en-US" w:eastAsia="zh-CN"/>
              </w:rPr>
              <w:t>有机</w:t>
            </w:r>
            <w:r>
              <w:rPr>
                <w:rFonts w:hint="eastAsia" w:ascii="Times New Roman" w:hAnsi="Times New Roman" w:eastAsia="宋体" w:cs="Times New Roman"/>
                <w:color w:val="auto"/>
                <w:sz w:val="24"/>
                <w:szCs w:val="24"/>
                <w:highlight w:val="none"/>
                <w:u w:val="none" w:color="auto"/>
              </w:rPr>
              <w:t>溶剂包装桶</w:t>
            </w:r>
            <w:r>
              <w:rPr>
                <w:rFonts w:hint="eastAsia"/>
                <w:color w:val="auto"/>
                <w:sz w:val="24"/>
                <w:szCs w:val="24"/>
                <w:highlight w:val="none"/>
                <w:u w:val="none" w:color="auto"/>
              </w:rPr>
              <w:t>，</w:t>
            </w:r>
            <w:r>
              <w:rPr>
                <w:rFonts w:hint="eastAsia"/>
                <w:color w:val="auto"/>
                <w:sz w:val="24"/>
                <w:highlight w:val="none"/>
                <w:u w:val="none" w:color="auto"/>
              </w:rPr>
              <w:t>本项目企业应按照《中华人民共和国固体废物污染环境防治法》及</w:t>
            </w:r>
            <w:r>
              <w:rPr>
                <w:rFonts w:hint="eastAsia"/>
                <w:color w:val="auto"/>
                <w:sz w:val="24"/>
                <w:highlight w:val="none"/>
                <w:u w:val="none" w:color="auto"/>
                <w:lang w:eastAsia="zh-CN"/>
              </w:rPr>
              <w:t>《</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)、《建设项目危险废物环境影响评价指南》等相关要求，在项目厂房内设置危废仓，并在危废仓醒目的地方设置危险废物警告标识。本项目企业产生的危废应定期委托有资质具备相应处理能力的公司进行处置。</w:t>
            </w:r>
          </w:p>
          <w:p>
            <w:pPr>
              <w:spacing w:line="360" w:lineRule="auto"/>
              <w:ind w:firstLine="482" w:firstLineChars="200"/>
              <w:jc w:val="left"/>
              <w:rPr>
                <w:b/>
                <w:bCs/>
                <w:color w:val="auto"/>
                <w:sz w:val="24"/>
                <w:highlight w:val="none"/>
                <w:u w:val="none" w:color="auto"/>
              </w:rPr>
            </w:pPr>
            <w:r>
              <w:rPr>
                <w:b/>
                <w:bCs/>
                <w:color w:val="auto"/>
                <w:sz w:val="24"/>
                <w:highlight w:val="none"/>
                <w:u w:val="none" w:color="auto"/>
              </w:rPr>
              <w:t>本项目危废贮存场所应按以下要求设置：</w:t>
            </w:r>
          </w:p>
          <w:p>
            <w:pPr>
              <w:spacing w:line="360" w:lineRule="auto"/>
              <w:ind w:firstLine="480" w:firstLineChars="200"/>
              <w:rPr>
                <w:color w:val="auto"/>
                <w:sz w:val="24"/>
                <w:highlight w:val="none"/>
                <w:u w:val="none" w:color="auto"/>
              </w:rPr>
            </w:pPr>
            <w:r>
              <w:rPr>
                <w:rFonts w:hint="eastAsia"/>
                <w:color w:val="auto"/>
                <w:sz w:val="24"/>
                <w:highlight w:val="none"/>
                <w:u w:val="none" w:color="auto"/>
              </w:rPr>
              <w:t>1）</w:t>
            </w:r>
            <w:r>
              <w:rPr>
                <w:color w:val="auto"/>
                <w:sz w:val="24"/>
                <w:highlight w:val="none"/>
                <w:u w:val="none" w:color="auto"/>
              </w:rPr>
              <w:t>产生危废的车间，必须使用专用储存设施，并将危险废物装入专用容器中，无法装入常用容器的危险废物可用防漏胶袋等盛装，盛装危险废物的容器和胶带必须贴符合</w:t>
            </w:r>
            <w:r>
              <w:rPr>
                <w:rFonts w:hint="eastAsia"/>
                <w:color w:val="auto"/>
                <w:sz w:val="24"/>
                <w:highlight w:val="none"/>
                <w:u w:val="none" w:color="auto"/>
                <w:lang w:eastAsia="zh-CN"/>
              </w:rPr>
              <w:t>《</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rFonts w:hint="eastAsia"/>
                <w:color w:val="auto"/>
                <w:sz w:val="24"/>
                <w:highlight w:val="none"/>
                <w:u w:val="none" w:color="auto"/>
                <w:lang w:val="en-US" w:eastAsia="zh-CN"/>
              </w:rPr>
              <w:t>所示</w:t>
            </w:r>
            <w:r>
              <w:rPr>
                <w:color w:val="auto"/>
                <w:sz w:val="24"/>
                <w:highlight w:val="none"/>
                <w:u w:val="none" w:color="auto"/>
              </w:rPr>
              <w:t>的标签等，防止造成二次污染。危险废物暂存时需有塑料内衬密封，并设有专用暂存区，不得混存，且须做好防淋防渗措施，以避免固废中的挥发物质对环境造成污染。</w:t>
            </w:r>
          </w:p>
          <w:p>
            <w:pPr>
              <w:spacing w:line="360" w:lineRule="auto"/>
              <w:ind w:firstLine="480" w:firstLineChars="200"/>
              <w:rPr>
                <w:color w:val="auto"/>
                <w:sz w:val="24"/>
                <w:highlight w:val="none"/>
                <w:u w:val="none" w:color="auto"/>
              </w:rPr>
            </w:pPr>
            <w:r>
              <w:rPr>
                <w:rFonts w:hint="eastAsia"/>
                <w:color w:val="auto"/>
                <w:sz w:val="24"/>
                <w:highlight w:val="none"/>
                <w:u w:val="none" w:color="auto"/>
              </w:rPr>
              <w:t>2）</w:t>
            </w:r>
            <w:r>
              <w:rPr>
                <w:color w:val="auto"/>
                <w:sz w:val="24"/>
                <w:highlight w:val="none"/>
                <w:u w:val="none" w:color="auto"/>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pPr>
              <w:spacing w:line="360" w:lineRule="auto"/>
              <w:ind w:firstLine="480" w:firstLineChars="200"/>
              <w:rPr>
                <w:color w:val="auto"/>
                <w:sz w:val="24"/>
                <w:highlight w:val="none"/>
                <w:u w:val="none" w:color="auto"/>
              </w:rPr>
            </w:pPr>
            <w:r>
              <w:rPr>
                <w:rFonts w:hint="eastAsia"/>
                <w:color w:val="auto"/>
                <w:sz w:val="24"/>
                <w:highlight w:val="none"/>
                <w:u w:val="none" w:color="auto"/>
              </w:rPr>
              <w:t>3）</w:t>
            </w:r>
            <w:r>
              <w:rPr>
                <w:color w:val="auto"/>
                <w:sz w:val="24"/>
                <w:highlight w:val="none"/>
                <w:u w:val="none" w:color="auto"/>
              </w:rPr>
              <w:t>危险废物的收集和转运过程中，应采取相应的安全防护和污染防治措施，包括防爆、 防火、防中毒、防感染、防泄露、防飞扬、防雨或其它防止污染环境的措施。</w:t>
            </w:r>
          </w:p>
          <w:p>
            <w:pPr>
              <w:spacing w:line="360" w:lineRule="auto"/>
              <w:ind w:firstLine="480" w:firstLineChars="200"/>
              <w:rPr>
                <w:color w:val="auto"/>
                <w:sz w:val="24"/>
                <w:highlight w:val="none"/>
                <w:u w:val="none" w:color="auto"/>
              </w:rPr>
            </w:pPr>
            <w:r>
              <w:rPr>
                <w:rFonts w:hint="eastAsia"/>
                <w:color w:val="auto"/>
                <w:sz w:val="24"/>
                <w:highlight w:val="none"/>
                <w:u w:val="none" w:color="auto"/>
              </w:rPr>
              <w:t>4）</w:t>
            </w:r>
            <w:r>
              <w:rPr>
                <w:color w:val="auto"/>
                <w:sz w:val="24"/>
                <w:highlight w:val="none"/>
                <w:u w:val="none" w:color="auto"/>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pPr>
              <w:spacing w:line="360" w:lineRule="auto"/>
              <w:ind w:firstLine="480" w:firstLineChars="200"/>
              <w:rPr>
                <w:color w:val="auto"/>
                <w:sz w:val="24"/>
                <w:highlight w:val="none"/>
                <w:u w:val="none" w:color="auto"/>
              </w:rPr>
            </w:pPr>
            <w:r>
              <w:rPr>
                <w:rFonts w:hint="eastAsia"/>
                <w:color w:val="auto"/>
                <w:sz w:val="24"/>
                <w:highlight w:val="none"/>
                <w:u w:val="none" w:color="auto"/>
              </w:rPr>
              <w:t>5）</w:t>
            </w:r>
            <w:r>
              <w:rPr>
                <w:color w:val="auto"/>
                <w:sz w:val="24"/>
                <w:highlight w:val="none"/>
                <w:u w:val="none" w:color="auto"/>
              </w:rPr>
              <w:t>地面与墙角要用坚固、防渗、防腐的材料建造；危险废物存放间场地防渗处理后，渗透系统要小于1×10</w:t>
            </w:r>
            <w:r>
              <w:rPr>
                <w:color w:val="auto"/>
                <w:sz w:val="24"/>
                <w:highlight w:val="none"/>
                <w:u w:val="none" w:color="auto"/>
                <w:vertAlign w:val="superscript"/>
              </w:rPr>
              <w:t>-10</w:t>
            </w:r>
            <w:r>
              <w:rPr>
                <w:color w:val="auto"/>
                <w:sz w:val="24"/>
                <w:highlight w:val="none"/>
                <w:u w:val="none" w:color="auto"/>
              </w:rPr>
              <w:t>cm/s。</w:t>
            </w:r>
          </w:p>
          <w:p>
            <w:pPr>
              <w:spacing w:line="360" w:lineRule="auto"/>
              <w:ind w:firstLine="480" w:firstLineChars="200"/>
              <w:rPr>
                <w:color w:val="auto"/>
                <w:sz w:val="24"/>
                <w:highlight w:val="none"/>
                <w:u w:val="none" w:color="auto"/>
              </w:rPr>
            </w:pPr>
            <w:r>
              <w:rPr>
                <w:rFonts w:hint="eastAsia"/>
                <w:color w:val="auto"/>
                <w:sz w:val="24"/>
                <w:highlight w:val="none"/>
                <w:u w:val="none" w:color="auto"/>
              </w:rPr>
              <w:t>6）</w:t>
            </w:r>
            <w:r>
              <w:rPr>
                <w:color w:val="auto"/>
                <w:sz w:val="24"/>
                <w:highlight w:val="none"/>
                <w:u w:val="none" w:color="auto"/>
              </w:rPr>
              <w:t>公司应设置专门的危险固废处置机构，作为厂内环境管理、监测的重要组成部分，主要负责危险固废的收集、贮存及处置。</w:t>
            </w:r>
          </w:p>
          <w:p>
            <w:pPr>
              <w:spacing w:line="360" w:lineRule="auto"/>
              <w:ind w:firstLine="480" w:firstLineChars="200"/>
              <w:rPr>
                <w:color w:val="auto"/>
                <w:sz w:val="24"/>
                <w:highlight w:val="none"/>
                <w:u w:val="none" w:color="auto"/>
              </w:rPr>
            </w:pPr>
            <w:r>
              <w:rPr>
                <w:rFonts w:hint="eastAsia"/>
                <w:color w:val="auto"/>
                <w:sz w:val="24"/>
                <w:highlight w:val="none"/>
                <w:u w:val="none" w:color="auto"/>
              </w:rPr>
              <w:t>7）</w:t>
            </w:r>
            <w:r>
              <w:rPr>
                <w:color w:val="auto"/>
                <w:sz w:val="24"/>
                <w:highlight w:val="none"/>
                <w:u w:val="none" w:color="auto"/>
              </w:rPr>
              <w:t>按月统计公司各车间的危险废物种类、产生量、暂存时间、交由处置时间等除此之外，危险废物存放间还要记录危险废物的名称、来源、数量、特性和包装容器的类别、入库日期、存放库位、出库日期及接受单位名称。</w:t>
            </w:r>
          </w:p>
          <w:p>
            <w:pPr>
              <w:tabs>
                <w:tab w:val="left" w:pos="1440"/>
                <w:tab w:val="left" w:pos="1800"/>
              </w:tabs>
              <w:adjustRightInd w:val="0"/>
              <w:spacing w:line="360" w:lineRule="auto"/>
              <w:ind w:firstLine="482" w:firstLineChars="200"/>
              <w:jc w:val="left"/>
              <w:rPr>
                <w:b/>
                <w:bCs/>
                <w:color w:val="auto"/>
                <w:sz w:val="24"/>
                <w:highlight w:val="none"/>
                <w:u w:val="none" w:color="auto"/>
              </w:rPr>
            </w:pPr>
            <w:r>
              <w:rPr>
                <w:b/>
                <w:bCs/>
                <w:color w:val="auto"/>
                <w:sz w:val="24"/>
                <w:highlight w:val="none"/>
                <w:u w:val="none" w:color="auto"/>
              </w:rPr>
              <w:t>贮存安全管理规定：</w:t>
            </w:r>
          </w:p>
          <w:p>
            <w:pPr>
              <w:spacing w:line="360" w:lineRule="auto"/>
              <w:ind w:firstLine="480" w:firstLineChars="200"/>
              <w:rPr>
                <w:color w:val="auto"/>
                <w:sz w:val="24"/>
                <w:highlight w:val="none"/>
                <w:u w:val="none" w:color="auto"/>
              </w:rPr>
            </w:pPr>
            <w:r>
              <w:rPr>
                <w:color w:val="auto"/>
                <w:sz w:val="24"/>
                <w:highlight w:val="none"/>
                <w:u w:val="none" w:color="auto"/>
              </w:rPr>
              <w:t>根据</w:t>
            </w:r>
            <w:r>
              <w:rPr>
                <w:rFonts w:hint="eastAsia"/>
                <w:color w:val="auto"/>
                <w:sz w:val="24"/>
                <w:highlight w:val="none"/>
                <w:u w:val="none" w:color="auto"/>
                <w:lang w:eastAsia="zh-CN"/>
              </w:rPr>
              <w:t>《</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，本项目产生的废润滑油和废机油应存放于阴凉、通风、干燥的场所，储存于专用收集容器，防止阳光直射，保持容器密封。</w:t>
            </w:r>
          </w:p>
          <w:p>
            <w:pPr>
              <w:spacing w:line="360" w:lineRule="auto"/>
              <w:ind w:firstLine="482" w:firstLineChars="200"/>
              <w:rPr>
                <w:b/>
                <w:bCs/>
                <w:color w:val="auto"/>
                <w:sz w:val="24"/>
                <w:highlight w:val="none"/>
                <w:u w:val="none" w:color="auto"/>
              </w:rPr>
            </w:pPr>
            <w:r>
              <w:rPr>
                <w:b/>
                <w:bCs/>
                <w:color w:val="auto"/>
                <w:sz w:val="24"/>
                <w:highlight w:val="none"/>
                <w:u w:val="none" w:color="auto"/>
              </w:rPr>
              <w:t>运输注意事项：</w:t>
            </w:r>
          </w:p>
          <w:p>
            <w:pPr>
              <w:spacing w:line="360" w:lineRule="auto"/>
              <w:ind w:firstLine="480" w:firstLineChars="200"/>
              <w:jc w:val="left"/>
              <w:rPr>
                <w:color w:val="auto"/>
                <w:sz w:val="24"/>
                <w:highlight w:val="none"/>
                <w:u w:val="none" w:color="auto"/>
              </w:rPr>
            </w:pPr>
            <w:r>
              <w:rPr>
                <w:color w:val="auto"/>
                <w:sz w:val="24"/>
                <w:highlight w:val="none"/>
                <w:u w:val="none" w:color="auto"/>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③生活垃圾</w:t>
            </w:r>
          </w:p>
          <w:p>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本项目生活垃圾由建设单位收集后，暂存于生活垃圾桶，每天交环卫部门统一处理。</w:t>
            </w:r>
          </w:p>
          <w:p>
            <w:pPr>
              <w:spacing w:line="360" w:lineRule="auto"/>
              <w:ind w:firstLine="480" w:firstLineChars="200"/>
              <w:jc w:val="left"/>
              <w:rPr>
                <w:color w:val="auto"/>
                <w:highlight w:val="none"/>
                <w:u w:val="none" w:color="auto"/>
              </w:rPr>
            </w:pPr>
            <w:r>
              <w:rPr>
                <w:rFonts w:hint="eastAsia"/>
                <w:color w:val="auto"/>
                <w:sz w:val="24"/>
                <w:highlight w:val="none"/>
                <w:u w:val="none" w:color="auto"/>
              </w:rPr>
              <w:t>综上所述，本项目固废均得到合理处置，不会造成二次污染，对项目周边的环境影响很</w:t>
            </w:r>
            <w:r>
              <w:rPr>
                <w:rFonts w:hint="eastAsia"/>
                <w:color w:val="auto"/>
                <w:sz w:val="24"/>
                <w:szCs w:val="24"/>
                <w:highlight w:val="none"/>
                <w:u w:val="none" w:color="auto"/>
              </w:rPr>
              <w:t>小</w:t>
            </w:r>
            <w:r>
              <w:rPr>
                <w:rFonts w:hint="eastAsia"/>
                <w:color w:val="auto"/>
                <w:highlight w:val="none"/>
                <w:u w:val="none" w:color="auto"/>
              </w:rPr>
              <w:t>。</w:t>
            </w:r>
          </w:p>
          <w:p>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表4-1</w:t>
            </w:r>
            <w:r>
              <w:rPr>
                <w:rFonts w:hint="eastAsia"/>
                <w:b/>
                <w:bCs/>
                <w:color w:val="auto"/>
                <w:highlight w:val="none"/>
                <w:u w:val="none" w:color="auto"/>
                <w:lang w:val="en-US" w:eastAsia="zh-CN"/>
              </w:rPr>
              <w:t xml:space="preserve">2 </w:t>
            </w:r>
            <w:r>
              <w:rPr>
                <w:rFonts w:hint="eastAsia"/>
                <w:b/>
                <w:bCs/>
                <w:color w:val="auto"/>
                <w:highlight w:val="none"/>
                <w:u w:val="none" w:color="auto"/>
              </w:rPr>
              <w:t xml:space="preserve"> 建设项目危险废物产生及处置情况汇总表</w:t>
            </w:r>
          </w:p>
          <w:tbl>
            <w:tblPr>
              <w:tblStyle w:val="26"/>
              <w:tblW w:w="80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74"/>
              <w:gridCol w:w="674"/>
              <w:gridCol w:w="674"/>
              <w:gridCol w:w="757"/>
              <w:gridCol w:w="675"/>
              <w:gridCol w:w="754"/>
              <w:gridCol w:w="361"/>
              <w:gridCol w:w="647"/>
              <w:gridCol w:w="580"/>
              <w:gridCol w:w="744"/>
              <w:gridCol w:w="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贮存场所名称</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危险废物名称</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危险废物类别</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危险废物代码</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产生量t/a</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产生工序及装置</w:t>
                  </w:r>
                </w:p>
              </w:tc>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有害成分</w:t>
                  </w:r>
                </w:p>
              </w:tc>
              <w:tc>
                <w:tcPr>
                  <w:tcW w:w="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形态</w:t>
                  </w: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贮存方式</w:t>
                  </w:r>
                </w:p>
              </w:tc>
              <w:tc>
                <w:tcPr>
                  <w:tcW w:w="5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产废周期</w:t>
                  </w:r>
                </w:p>
              </w:tc>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危险特性</w:t>
                  </w:r>
                </w:p>
              </w:tc>
              <w:tc>
                <w:tcPr>
                  <w:tcW w:w="879" w:type="dxa"/>
                  <w:tcBorders>
                    <w:tl2br w:val="nil"/>
                    <w:tr2bl w:val="nil"/>
                  </w:tcBorders>
                  <w:vAlign w:val="center"/>
                </w:tcPr>
                <w:p>
                  <w:pPr>
                    <w:jc w:val="center"/>
                    <w:rPr>
                      <w:color w:val="auto"/>
                      <w:highlight w:val="none"/>
                      <w:u w:val="none" w:color="auto"/>
                    </w:rPr>
                  </w:pPr>
                  <w:r>
                    <w:rPr>
                      <w:rFonts w:hint="eastAsia"/>
                      <w:color w:val="auto"/>
                      <w:highlight w:val="none"/>
                      <w:u w:val="none" w:color="auto"/>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危废仓</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机修废机油</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highlight w:val="none"/>
                      <w:u w:val="none" w:color="auto"/>
                      <w:lang w:val="zh-CN"/>
                    </w:rPr>
                  </w:pPr>
                  <w:r>
                    <w:rPr>
                      <w:rFonts w:hAnsi="宋体"/>
                      <w:color w:val="auto"/>
                      <w:highlight w:val="none"/>
                      <w:u w:val="none" w:color="auto"/>
                      <w:lang w:val="zh-CN"/>
                    </w:rPr>
                    <w:t>HW08</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highlight w:val="none"/>
                      <w:u w:val="none" w:color="auto"/>
                    </w:rPr>
                    <w:t>900-214-08</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eastAsia="zh-CN"/>
                    </w:rPr>
                  </w:pPr>
                  <w:r>
                    <w:rPr>
                      <w:rFonts w:hint="eastAsia"/>
                      <w:color w:val="auto"/>
                      <w:highlight w:val="none"/>
                      <w:u w:val="none" w:color="auto"/>
                    </w:rPr>
                    <w:t>0.</w:t>
                  </w:r>
                  <w:r>
                    <w:rPr>
                      <w:rFonts w:hint="eastAsia"/>
                      <w:color w:val="auto"/>
                      <w:highlight w:val="none"/>
                      <w:u w:val="none" w:color="auto"/>
                      <w:lang w:val="en-US" w:eastAsia="zh-CN"/>
                    </w:rPr>
                    <w:t>1</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机械维修</w:t>
                  </w:r>
                </w:p>
              </w:tc>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47" w:type="dxa"/>
                  <w:tcBorders>
                    <w:tl2br w:val="nil"/>
                    <w:tr2bl w:val="nil"/>
                  </w:tcBorders>
                  <w:vAlign w:val="center"/>
                </w:tcPr>
                <w:p>
                  <w:pPr>
                    <w:keepNext w:val="0"/>
                    <w:keepLines w:val="0"/>
                    <w:pageBreakBefore w:val="0"/>
                    <w:widowControl w:val="0"/>
                    <w:tabs>
                      <w:tab w:val="left" w:pos="213"/>
                    </w:tabs>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桶装</w:t>
                  </w:r>
                </w:p>
              </w:tc>
              <w:tc>
                <w:tcPr>
                  <w:tcW w:w="5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879" w:type="dxa"/>
                  <w:vMerge w:val="restart"/>
                  <w:tcBorders>
                    <w:tl2br w:val="nil"/>
                    <w:tr2bl w:val="nil"/>
                  </w:tcBorders>
                  <w:vAlign w:val="center"/>
                </w:tcPr>
                <w:p>
                  <w:pPr>
                    <w:spacing w:line="360" w:lineRule="auto"/>
                    <w:jc w:val="center"/>
                    <w:rPr>
                      <w:color w:val="auto"/>
                      <w:highlight w:val="none"/>
                      <w:u w:val="none" w:color="auto"/>
                    </w:rPr>
                  </w:pPr>
                  <w:r>
                    <w:rPr>
                      <w:rFonts w:hint="eastAsia"/>
                      <w:color w:val="auto"/>
                      <w:highlight w:val="none"/>
                      <w:u w:val="none" w:color="auto"/>
                    </w:rPr>
                    <w:t>委托有资质单位处理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废活性炭</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highlight w:val="none"/>
                      <w:u w:val="none" w:color="auto"/>
                      <w:lang w:val="zh-CN"/>
                    </w:rPr>
                  </w:pPr>
                  <w:r>
                    <w:rPr>
                      <w:rFonts w:hAnsi="宋体"/>
                      <w:color w:val="auto"/>
                      <w:highlight w:val="none"/>
                      <w:u w:val="none" w:color="auto"/>
                      <w:lang w:val="zh-CN"/>
                    </w:rPr>
                    <w:t>HW49</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ascii="Calibri" w:hAnsi="宋体"/>
                      <w:color w:val="auto"/>
                      <w:highlight w:val="none"/>
                      <w:u w:val="none" w:color="auto"/>
                      <w:lang w:val="zh-CN"/>
                    </w:rPr>
                    <w:t>900-039-49</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sz w:val="21"/>
                      <w:szCs w:val="21"/>
                      <w:highlight w:val="none"/>
                      <w:u w:val="none" w:color="auto"/>
                      <w:lang w:val="en-US" w:eastAsia="zh-CN"/>
                    </w:rPr>
                    <w:t>3.724</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废气治理设施</w:t>
                  </w:r>
                </w:p>
              </w:tc>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有机废气</w:t>
                  </w:r>
                </w:p>
              </w:tc>
              <w:tc>
                <w:tcPr>
                  <w:tcW w:w="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固态</w:t>
                  </w:r>
                </w:p>
              </w:tc>
              <w:tc>
                <w:tcPr>
                  <w:tcW w:w="647" w:type="dxa"/>
                  <w:tcBorders>
                    <w:tl2br w:val="nil"/>
                    <w:tr2bl w:val="nil"/>
                  </w:tcBorders>
                  <w:vAlign w:val="center"/>
                </w:tcPr>
                <w:p>
                  <w:pPr>
                    <w:keepNext w:val="0"/>
                    <w:keepLines w:val="0"/>
                    <w:pageBreakBefore w:val="0"/>
                    <w:widowControl w:val="0"/>
                    <w:tabs>
                      <w:tab w:val="left" w:pos="213"/>
                    </w:tabs>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桶装</w:t>
                  </w:r>
                </w:p>
              </w:tc>
              <w:tc>
                <w:tcPr>
                  <w:tcW w:w="5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auto"/>
                      <w:spacing w:val="-10"/>
                      <w:highlight w:val="none"/>
                      <w:u w:val="none" w:color="auto"/>
                    </w:rPr>
                    <w:t>T，I</w:t>
                  </w:r>
                </w:p>
              </w:tc>
              <w:tc>
                <w:tcPr>
                  <w:tcW w:w="879" w:type="dxa"/>
                  <w:vMerge w:val="continue"/>
                  <w:tcBorders>
                    <w:tl2br w:val="nil"/>
                    <w:tr2bl w:val="nil"/>
                  </w:tcBorders>
                  <w:vAlign w:val="center"/>
                </w:tcPr>
                <w:p>
                  <w:pPr>
                    <w:spacing w:line="360" w:lineRule="auto"/>
                    <w:jc w:val="center"/>
                    <w:rPr>
                      <w:color w:val="auto"/>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ascii="Times New Roman" w:hAnsi="Times New Roman" w:eastAsia="宋体" w:cs="Times New Roman"/>
                      <w:color w:val="auto"/>
                      <w:highlight w:val="none"/>
                      <w:u w:val="none" w:color="auto"/>
                    </w:rPr>
                    <w:t>废</w:t>
                  </w:r>
                  <w:r>
                    <w:rPr>
                      <w:rFonts w:hint="eastAsia" w:ascii="Times New Roman" w:hAnsi="Times New Roman" w:eastAsia="宋体" w:cs="Times New Roman"/>
                      <w:color w:val="auto"/>
                      <w:highlight w:val="none"/>
                      <w:u w:val="none" w:color="auto"/>
                      <w:lang w:val="en-US" w:eastAsia="zh-CN"/>
                    </w:rPr>
                    <w:t>有机</w:t>
                  </w:r>
                  <w:r>
                    <w:rPr>
                      <w:rFonts w:hint="eastAsia" w:ascii="Times New Roman" w:hAnsi="Times New Roman" w:eastAsia="宋体" w:cs="Times New Roman"/>
                      <w:color w:val="auto"/>
                      <w:highlight w:val="none"/>
                      <w:u w:val="none" w:color="auto"/>
                    </w:rPr>
                    <w:t>溶剂包装桶</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highlight w:val="none"/>
                      <w:u w:val="none" w:color="auto"/>
                      <w:lang w:val="zh-CN"/>
                    </w:rPr>
                  </w:pPr>
                  <w:r>
                    <w:rPr>
                      <w:rFonts w:hAnsi="宋体"/>
                      <w:color w:val="auto"/>
                      <w:highlight w:val="none"/>
                      <w:u w:val="none" w:color="auto"/>
                      <w:lang w:val="zh-CN"/>
                    </w:rPr>
                    <w:t>HW49</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宋体"/>
                      <w:color w:val="auto"/>
                      <w:sz w:val="21"/>
                      <w:szCs w:val="21"/>
                      <w:highlight w:val="none"/>
                      <w:u w:val="none" w:color="auto"/>
                      <w:lang w:val="zh-CN"/>
                    </w:rPr>
                  </w:pPr>
                  <w:r>
                    <w:rPr>
                      <w:rFonts w:hint="eastAsia"/>
                      <w:b w:val="0"/>
                      <w:bCs/>
                      <w:color w:val="auto"/>
                      <w:sz w:val="21"/>
                      <w:szCs w:val="21"/>
                      <w:highlight w:val="none"/>
                      <w:u w:val="none" w:color="auto"/>
                    </w:rPr>
                    <w:t>900-041-49</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highlight w:val="none"/>
                      <w:u w:val="none" w:color="auto"/>
                      <w:lang w:val="en-US" w:eastAsia="zh-CN"/>
                    </w:rPr>
                  </w:pPr>
                  <w:r>
                    <w:rPr>
                      <w:rFonts w:hint="eastAsia"/>
                      <w:color w:val="auto"/>
                      <w:highlight w:val="none"/>
                      <w:u w:val="none" w:color="auto"/>
                      <w:lang w:val="en-US" w:eastAsia="zh-CN"/>
                    </w:rPr>
                    <w:t>1.5</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生产工序</w:t>
                  </w:r>
                </w:p>
              </w:tc>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有机溶剂</w:t>
                  </w:r>
                </w:p>
              </w:tc>
              <w:tc>
                <w:tcPr>
                  <w:tcW w:w="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val="en-US" w:eastAsia="zh-CN"/>
                    </w:rPr>
                  </w:pPr>
                  <w:r>
                    <w:rPr>
                      <w:rFonts w:hint="eastAsia"/>
                      <w:color w:val="auto"/>
                      <w:highlight w:val="none"/>
                      <w:u w:val="none" w:color="auto"/>
                      <w:lang w:val="en-US" w:eastAsia="zh-CN"/>
                    </w:rPr>
                    <w:t>固态</w:t>
                  </w:r>
                </w:p>
              </w:tc>
              <w:tc>
                <w:tcPr>
                  <w:tcW w:w="647" w:type="dxa"/>
                  <w:tcBorders>
                    <w:tl2br w:val="nil"/>
                    <w:tr2bl w:val="nil"/>
                  </w:tcBorders>
                  <w:vAlign w:val="center"/>
                </w:tcPr>
                <w:p>
                  <w:pPr>
                    <w:keepNext w:val="0"/>
                    <w:keepLines w:val="0"/>
                    <w:pageBreakBefore w:val="0"/>
                    <w:widowControl w:val="0"/>
                    <w:tabs>
                      <w:tab w:val="left" w:pos="213"/>
                    </w:tabs>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val="en-US" w:eastAsia="zh-CN"/>
                    </w:rPr>
                  </w:pPr>
                  <w:r>
                    <w:rPr>
                      <w:rFonts w:hint="eastAsia"/>
                      <w:color w:val="auto"/>
                      <w:highlight w:val="none"/>
                      <w:u w:val="none" w:color="auto"/>
                      <w:lang w:val="en-US" w:eastAsia="zh-CN"/>
                    </w:rPr>
                    <w:t>桶装</w:t>
                  </w:r>
                </w:p>
              </w:tc>
              <w:tc>
                <w:tcPr>
                  <w:tcW w:w="5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1年/次</w:t>
                  </w:r>
                </w:p>
              </w:tc>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pacing w:val="-10"/>
                      <w:highlight w:val="none"/>
                      <w:u w:val="none" w:color="auto"/>
                      <w:lang w:val="en-US" w:eastAsia="zh-CN"/>
                    </w:rPr>
                  </w:pPr>
                  <w:r>
                    <w:rPr>
                      <w:rFonts w:hint="eastAsia"/>
                      <w:color w:val="auto"/>
                      <w:spacing w:val="-10"/>
                      <w:highlight w:val="none"/>
                      <w:u w:val="none" w:color="auto"/>
                      <w:lang w:val="en-US" w:eastAsia="zh-CN"/>
                    </w:rPr>
                    <w:t>T/In</w:t>
                  </w:r>
                </w:p>
              </w:tc>
              <w:tc>
                <w:tcPr>
                  <w:tcW w:w="879" w:type="dxa"/>
                  <w:vMerge w:val="continue"/>
                  <w:tcBorders>
                    <w:tl2br w:val="nil"/>
                    <w:tr2bl w:val="nil"/>
                  </w:tcBorders>
                  <w:vAlign w:val="center"/>
                </w:tcPr>
                <w:p>
                  <w:pPr>
                    <w:spacing w:line="360" w:lineRule="auto"/>
                    <w:jc w:val="center"/>
                    <w:rPr>
                      <w:color w:val="auto"/>
                      <w:highlight w:val="none"/>
                      <w:u w:val="none" w:color="auto"/>
                    </w:rPr>
                  </w:pPr>
                </w:p>
              </w:tc>
            </w:tr>
          </w:tbl>
          <w:p>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6</w:t>
            </w:r>
            <w:r>
              <w:rPr>
                <w:rFonts w:hint="eastAsia"/>
                <w:b/>
                <w:bCs/>
                <w:color w:val="auto"/>
                <w:sz w:val="24"/>
                <w:highlight w:val="none"/>
                <w:u w:val="none" w:color="auto"/>
              </w:rPr>
              <w:t>、环境风险评价</w:t>
            </w:r>
          </w:p>
          <w:p>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（1）一般性原则</w:t>
            </w:r>
          </w:p>
          <w:p>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环境风险评价的目的是分析和预测建设项目存在的潜在危险、有害因素，建设项目的建设和运行期间可能发生的突发性事件或事故(一般不包括人为破坏及自然灾害)，引起有毒有害和易燃易爆等物质泄</w:t>
            </w:r>
            <w:r>
              <w:rPr>
                <w:rFonts w:hint="eastAsia"/>
                <w:color w:val="auto"/>
                <w:sz w:val="24"/>
                <w:highlight w:val="none"/>
                <w:u w:val="none" w:color="auto"/>
                <w:lang w:val="en-US" w:eastAsia="zh-CN"/>
              </w:rPr>
              <w:t>漏</w:t>
            </w:r>
            <w:r>
              <w:rPr>
                <w:rFonts w:hint="eastAsia"/>
                <w:color w:val="auto"/>
                <w:sz w:val="24"/>
                <w:highlight w:val="none"/>
                <w:u w:val="none" w:color="auto"/>
              </w:rPr>
              <w:t>，所造成的人身安全与环境影响和损害程度，提出合理可行的防范、应急与减缓措施，以使建设项目事故率、损失和环境影响达到可接受的水平。</w:t>
            </w:r>
          </w:p>
          <w:p>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危险物质数量与临界量比值（Q）</w:t>
            </w:r>
          </w:p>
          <w:p>
            <w:pPr>
              <w:spacing w:line="360" w:lineRule="auto"/>
              <w:ind w:firstLine="480" w:firstLineChars="200"/>
              <w:rPr>
                <w:color w:val="auto"/>
                <w:sz w:val="24"/>
                <w:highlight w:val="none"/>
                <w:u w:val="none" w:color="auto"/>
              </w:rPr>
            </w:pPr>
            <w:r>
              <w:rPr>
                <w:color w:val="auto"/>
                <w:sz w:val="24"/>
                <w:highlight w:val="none"/>
                <w:u w:val="none" w:color="auto"/>
              </w:rPr>
              <w:t>经过对建设项目的初步工程分析，进行物质危险性判定，判定依据见表</w:t>
            </w:r>
            <w:r>
              <w:rPr>
                <w:rFonts w:hint="eastAsia"/>
                <w:color w:val="auto"/>
                <w:sz w:val="24"/>
                <w:highlight w:val="none"/>
                <w:u w:val="none" w:color="auto"/>
              </w:rPr>
              <w:t>4-1</w:t>
            </w:r>
            <w:r>
              <w:rPr>
                <w:rFonts w:hint="eastAsia"/>
                <w:color w:val="auto"/>
                <w:sz w:val="24"/>
                <w:highlight w:val="none"/>
                <w:u w:val="none" w:color="auto"/>
                <w:lang w:val="en-US" w:eastAsia="zh-CN"/>
              </w:rPr>
              <w:t>3</w:t>
            </w:r>
            <w:r>
              <w:rPr>
                <w:color w:val="auto"/>
                <w:sz w:val="24"/>
                <w:highlight w:val="none"/>
                <w:u w:val="none" w:color="auto"/>
              </w:rPr>
              <w:t>。</w:t>
            </w:r>
          </w:p>
          <w:p>
            <w:pPr>
              <w:ind w:firstLine="422" w:firstLineChars="200"/>
              <w:jc w:val="center"/>
              <w:rPr>
                <w:b/>
                <w:color w:val="auto"/>
                <w:highlight w:val="none"/>
                <w:u w:val="none" w:color="auto"/>
              </w:rPr>
            </w:pPr>
            <w:r>
              <w:rPr>
                <w:b/>
                <w:color w:val="auto"/>
                <w:highlight w:val="none"/>
                <w:u w:val="none" w:color="auto"/>
              </w:rPr>
              <w:t>表</w:t>
            </w:r>
            <w:r>
              <w:rPr>
                <w:rFonts w:hint="eastAsia"/>
                <w:b/>
                <w:color w:val="auto"/>
                <w:highlight w:val="none"/>
                <w:u w:val="none" w:color="auto"/>
              </w:rPr>
              <w:t>4-1</w:t>
            </w:r>
            <w:r>
              <w:rPr>
                <w:rFonts w:hint="eastAsia"/>
                <w:b/>
                <w:color w:val="auto"/>
                <w:highlight w:val="none"/>
                <w:u w:val="none" w:color="auto"/>
                <w:lang w:val="en-US" w:eastAsia="zh-CN"/>
              </w:rPr>
              <w:t>3</w:t>
            </w:r>
            <w:r>
              <w:rPr>
                <w:b/>
                <w:color w:val="auto"/>
                <w:highlight w:val="none"/>
                <w:u w:val="none" w:color="auto"/>
              </w:rPr>
              <w:t xml:space="preserve"> </w:t>
            </w:r>
            <w:r>
              <w:rPr>
                <w:rFonts w:hint="eastAsia"/>
                <w:b/>
                <w:color w:val="auto"/>
                <w:highlight w:val="none"/>
                <w:u w:val="none" w:color="auto"/>
              </w:rPr>
              <w:t xml:space="preserve"> </w:t>
            </w:r>
            <w:r>
              <w:rPr>
                <w:b/>
                <w:color w:val="auto"/>
                <w:highlight w:val="none"/>
                <w:u w:val="none" w:color="auto"/>
              </w:rPr>
              <w:t>物质危险性判定依据</w:t>
            </w:r>
          </w:p>
          <w:tbl>
            <w:tblPr>
              <w:tblStyle w:val="26"/>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059" w:type="dxa"/>
                  <w:vAlign w:val="center"/>
                </w:tcPr>
                <w:p>
                  <w:pPr>
                    <w:widowControl/>
                    <w:jc w:val="center"/>
                    <w:rPr>
                      <w:color w:val="auto"/>
                      <w:highlight w:val="none"/>
                      <w:u w:val="none" w:color="auto"/>
                    </w:rPr>
                  </w:pPr>
                </w:p>
              </w:tc>
              <w:tc>
                <w:tcPr>
                  <w:tcW w:w="883" w:type="dxa"/>
                  <w:vAlign w:val="center"/>
                </w:tcPr>
                <w:p>
                  <w:pPr>
                    <w:widowControl/>
                    <w:jc w:val="center"/>
                    <w:rPr>
                      <w:color w:val="auto"/>
                      <w:highlight w:val="none"/>
                      <w:u w:val="none" w:color="auto"/>
                    </w:rPr>
                  </w:pPr>
                  <w:r>
                    <w:rPr>
                      <w:color w:val="auto"/>
                      <w:highlight w:val="none"/>
                      <w:u w:val="none" w:color="auto"/>
                    </w:rPr>
                    <w:t>序号</w:t>
                  </w:r>
                </w:p>
              </w:tc>
              <w:tc>
                <w:tcPr>
                  <w:tcW w:w="1884" w:type="dxa"/>
                  <w:vAlign w:val="center"/>
                </w:tcPr>
                <w:p>
                  <w:pPr>
                    <w:widowControl/>
                    <w:jc w:val="center"/>
                    <w:rPr>
                      <w:color w:val="auto"/>
                      <w:highlight w:val="none"/>
                      <w:u w:val="none" w:color="auto"/>
                    </w:rPr>
                  </w:pPr>
                  <w:r>
                    <w:rPr>
                      <w:color w:val="auto"/>
                      <w:highlight w:val="none"/>
                      <w:u w:val="none" w:color="auto"/>
                    </w:rPr>
                    <w:t>LD50（大鼠经口）mg/kg</w:t>
                  </w:r>
                </w:p>
              </w:tc>
              <w:tc>
                <w:tcPr>
                  <w:tcW w:w="1884" w:type="dxa"/>
                  <w:vAlign w:val="center"/>
                </w:tcPr>
                <w:p>
                  <w:pPr>
                    <w:widowControl/>
                    <w:jc w:val="center"/>
                    <w:rPr>
                      <w:color w:val="auto"/>
                      <w:highlight w:val="none"/>
                      <w:u w:val="none" w:color="auto"/>
                    </w:rPr>
                  </w:pPr>
                  <w:r>
                    <w:rPr>
                      <w:color w:val="auto"/>
                      <w:highlight w:val="none"/>
                      <w:u w:val="none" w:color="auto"/>
                    </w:rPr>
                    <w:t>LD50（大鼠经皮）</w:t>
                  </w:r>
                </w:p>
                <w:p>
                  <w:pPr>
                    <w:widowControl/>
                    <w:jc w:val="center"/>
                    <w:rPr>
                      <w:color w:val="auto"/>
                      <w:highlight w:val="none"/>
                      <w:u w:val="none" w:color="auto"/>
                    </w:rPr>
                  </w:pPr>
                  <w:r>
                    <w:rPr>
                      <w:color w:val="auto"/>
                      <w:highlight w:val="none"/>
                      <w:u w:val="none" w:color="auto"/>
                    </w:rPr>
                    <w:t>mg/kg</w:t>
                  </w:r>
                </w:p>
              </w:tc>
              <w:tc>
                <w:tcPr>
                  <w:tcW w:w="2227" w:type="dxa"/>
                  <w:vAlign w:val="center"/>
                </w:tcPr>
                <w:p>
                  <w:pPr>
                    <w:widowControl/>
                    <w:jc w:val="center"/>
                    <w:rPr>
                      <w:color w:val="auto"/>
                      <w:highlight w:val="none"/>
                      <w:u w:val="none" w:color="auto"/>
                    </w:rPr>
                  </w:pPr>
                  <w:r>
                    <w:rPr>
                      <w:color w:val="auto"/>
                      <w:highlight w:val="none"/>
                      <w:u w:val="none" w:color="auto"/>
                    </w:rPr>
                    <w:t>LD50（小鼠吸入，4小时）mg/kg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restart"/>
                  <w:vAlign w:val="center"/>
                </w:tcPr>
                <w:p>
                  <w:pPr>
                    <w:widowControl/>
                    <w:jc w:val="center"/>
                    <w:rPr>
                      <w:color w:val="auto"/>
                      <w:highlight w:val="none"/>
                      <w:u w:val="none" w:color="auto"/>
                    </w:rPr>
                  </w:pPr>
                  <w:r>
                    <w:rPr>
                      <w:color w:val="auto"/>
                      <w:highlight w:val="none"/>
                      <w:u w:val="none" w:color="auto"/>
                    </w:rPr>
                    <w:t>有毒</w:t>
                  </w:r>
                </w:p>
                <w:p>
                  <w:pPr>
                    <w:widowControl/>
                    <w:jc w:val="center"/>
                    <w:rPr>
                      <w:color w:val="auto"/>
                      <w:highlight w:val="none"/>
                      <w:u w:val="none" w:color="auto"/>
                    </w:rPr>
                  </w:pPr>
                  <w:r>
                    <w:rPr>
                      <w:color w:val="auto"/>
                      <w:highlight w:val="none"/>
                      <w:u w:val="none" w:color="auto"/>
                    </w:rPr>
                    <w:t>物质</w:t>
                  </w:r>
                </w:p>
              </w:tc>
              <w:tc>
                <w:tcPr>
                  <w:tcW w:w="883" w:type="dxa"/>
                  <w:vAlign w:val="center"/>
                </w:tcPr>
                <w:p>
                  <w:pPr>
                    <w:widowControl/>
                    <w:jc w:val="center"/>
                    <w:rPr>
                      <w:color w:val="auto"/>
                      <w:highlight w:val="none"/>
                      <w:u w:val="none" w:color="auto"/>
                    </w:rPr>
                  </w:pPr>
                  <w:r>
                    <w:rPr>
                      <w:color w:val="auto"/>
                      <w:highlight w:val="none"/>
                      <w:u w:val="none" w:color="auto"/>
                    </w:rPr>
                    <w:t>1</w:t>
                  </w:r>
                </w:p>
              </w:tc>
              <w:tc>
                <w:tcPr>
                  <w:tcW w:w="1884" w:type="dxa"/>
                  <w:vAlign w:val="center"/>
                </w:tcPr>
                <w:p>
                  <w:pPr>
                    <w:widowControl/>
                    <w:jc w:val="center"/>
                    <w:rPr>
                      <w:color w:val="auto"/>
                      <w:highlight w:val="none"/>
                      <w:u w:val="none" w:color="auto"/>
                    </w:rPr>
                  </w:pPr>
                  <w:r>
                    <w:rPr>
                      <w:color w:val="auto"/>
                      <w:highlight w:val="none"/>
                      <w:u w:val="none" w:color="auto"/>
                    </w:rPr>
                    <w:t>＜5</w:t>
                  </w:r>
                </w:p>
              </w:tc>
              <w:tc>
                <w:tcPr>
                  <w:tcW w:w="1884" w:type="dxa"/>
                  <w:vAlign w:val="center"/>
                </w:tcPr>
                <w:p>
                  <w:pPr>
                    <w:widowControl/>
                    <w:jc w:val="center"/>
                    <w:rPr>
                      <w:color w:val="auto"/>
                      <w:highlight w:val="none"/>
                      <w:u w:val="none" w:color="auto"/>
                    </w:rPr>
                  </w:pPr>
                  <w:r>
                    <w:rPr>
                      <w:color w:val="auto"/>
                      <w:highlight w:val="none"/>
                      <w:u w:val="none" w:color="auto"/>
                    </w:rPr>
                    <w:t>＜1</w:t>
                  </w:r>
                </w:p>
              </w:tc>
              <w:tc>
                <w:tcPr>
                  <w:tcW w:w="2227" w:type="dxa"/>
                  <w:vAlign w:val="center"/>
                </w:tcPr>
                <w:p>
                  <w:pPr>
                    <w:widowControl/>
                    <w:jc w:val="center"/>
                    <w:rPr>
                      <w:color w:val="auto"/>
                      <w:highlight w:val="none"/>
                      <w:u w:val="none" w:color="auto"/>
                    </w:rPr>
                  </w:pPr>
                  <w:r>
                    <w:rPr>
                      <w:color w:val="auto"/>
                      <w:highlight w:val="none"/>
                      <w:u w:val="none" w:color="auto"/>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pPr>
                    <w:widowControl/>
                    <w:jc w:val="center"/>
                    <w:rPr>
                      <w:color w:val="auto"/>
                      <w:highlight w:val="none"/>
                      <w:u w:val="none" w:color="auto"/>
                    </w:rPr>
                  </w:pPr>
                </w:p>
              </w:tc>
              <w:tc>
                <w:tcPr>
                  <w:tcW w:w="883" w:type="dxa"/>
                  <w:vAlign w:val="center"/>
                </w:tcPr>
                <w:p>
                  <w:pPr>
                    <w:widowControl/>
                    <w:jc w:val="center"/>
                    <w:rPr>
                      <w:color w:val="auto"/>
                      <w:highlight w:val="none"/>
                      <w:u w:val="none" w:color="auto"/>
                    </w:rPr>
                  </w:pPr>
                  <w:r>
                    <w:rPr>
                      <w:color w:val="auto"/>
                      <w:highlight w:val="none"/>
                      <w:u w:val="none" w:color="auto"/>
                    </w:rPr>
                    <w:t>2</w:t>
                  </w:r>
                </w:p>
              </w:tc>
              <w:tc>
                <w:tcPr>
                  <w:tcW w:w="1884" w:type="dxa"/>
                  <w:vAlign w:val="center"/>
                </w:tcPr>
                <w:p>
                  <w:pPr>
                    <w:widowControl/>
                    <w:jc w:val="center"/>
                    <w:rPr>
                      <w:color w:val="auto"/>
                      <w:highlight w:val="none"/>
                      <w:u w:val="none" w:color="auto"/>
                    </w:rPr>
                  </w:pPr>
                  <w:r>
                    <w:rPr>
                      <w:color w:val="auto"/>
                      <w:highlight w:val="none"/>
                      <w:u w:val="none" w:color="auto"/>
                    </w:rPr>
                    <w:t>5＜LD50＜25</w:t>
                  </w:r>
                </w:p>
              </w:tc>
              <w:tc>
                <w:tcPr>
                  <w:tcW w:w="1884" w:type="dxa"/>
                  <w:vAlign w:val="center"/>
                </w:tcPr>
                <w:p>
                  <w:pPr>
                    <w:widowControl/>
                    <w:jc w:val="center"/>
                    <w:rPr>
                      <w:color w:val="auto"/>
                      <w:highlight w:val="none"/>
                      <w:u w:val="none" w:color="auto"/>
                    </w:rPr>
                  </w:pPr>
                  <w:r>
                    <w:rPr>
                      <w:color w:val="auto"/>
                      <w:highlight w:val="none"/>
                      <w:u w:val="none" w:color="auto"/>
                    </w:rPr>
                    <w:t>10＜LD50＜25</w:t>
                  </w:r>
                </w:p>
              </w:tc>
              <w:tc>
                <w:tcPr>
                  <w:tcW w:w="2227" w:type="dxa"/>
                  <w:vAlign w:val="center"/>
                </w:tcPr>
                <w:p>
                  <w:pPr>
                    <w:widowControl/>
                    <w:jc w:val="center"/>
                    <w:rPr>
                      <w:color w:val="auto"/>
                      <w:highlight w:val="none"/>
                      <w:u w:val="none" w:color="auto"/>
                    </w:rPr>
                  </w:pPr>
                  <w:r>
                    <w:rPr>
                      <w:color w:val="auto"/>
                      <w:highlight w:val="none"/>
                      <w:u w:val="none" w:color="auto"/>
                    </w:rPr>
                    <w:t>0.1＜LD50＜0.5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pPr>
                    <w:widowControl/>
                    <w:jc w:val="center"/>
                    <w:rPr>
                      <w:color w:val="auto"/>
                      <w:highlight w:val="none"/>
                      <w:u w:val="none" w:color="auto"/>
                    </w:rPr>
                  </w:pPr>
                </w:p>
              </w:tc>
              <w:tc>
                <w:tcPr>
                  <w:tcW w:w="883" w:type="dxa"/>
                  <w:vAlign w:val="center"/>
                </w:tcPr>
                <w:p>
                  <w:pPr>
                    <w:widowControl/>
                    <w:jc w:val="center"/>
                    <w:rPr>
                      <w:color w:val="auto"/>
                      <w:highlight w:val="none"/>
                      <w:u w:val="none" w:color="auto"/>
                    </w:rPr>
                  </w:pPr>
                  <w:r>
                    <w:rPr>
                      <w:color w:val="auto"/>
                      <w:highlight w:val="none"/>
                      <w:u w:val="none" w:color="auto"/>
                    </w:rPr>
                    <w:t>3</w:t>
                  </w:r>
                </w:p>
              </w:tc>
              <w:tc>
                <w:tcPr>
                  <w:tcW w:w="1884" w:type="dxa"/>
                  <w:vAlign w:val="center"/>
                </w:tcPr>
                <w:p>
                  <w:pPr>
                    <w:widowControl/>
                    <w:jc w:val="center"/>
                    <w:rPr>
                      <w:color w:val="auto"/>
                      <w:highlight w:val="none"/>
                      <w:u w:val="none" w:color="auto"/>
                    </w:rPr>
                  </w:pPr>
                  <w:r>
                    <w:rPr>
                      <w:color w:val="auto"/>
                      <w:highlight w:val="none"/>
                      <w:u w:val="none" w:color="auto"/>
                    </w:rPr>
                    <w:t>25＜LD50＜200</w:t>
                  </w:r>
                </w:p>
              </w:tc>
              <w:tc>
                <w:tcPr>
                  <w:tcW w:w="1884" w:type="dxa"/>
                  <w:vAlign w:val="center"/>
                </w:tcPr>
                <w:p>
                  <w:pPr>
                    <w:widowControl/>
                    <w:jc w:val="center"/>
                    <w:rPr>
                      <w:color w:val="auto"/>
                      <w:highlight w:val="none"/>
                      <w:u w:val="none" w:color="auto"/>
                    </w:rPr>
                  </w:pPr>
                  <w:r>
                    <w:rPr>
                      <w:color w:val="auto"/>
                      <w:highlight w:val="none"/>
                      <w:u w:val="none" w:color="auto"/>
                    </w:rPr>
                    <w:t>10＜LD50＜400</w:t>
                  </w:r>
                </w:p>
              </w:tc>
              <w:tc>
                <w:tcPr>
                  <w:tcW w:w="2227" w:type="dxa"/>
                  <w:vAlign w:val="center"/>
                </w:tcPr>
                <w:p>
                  <w:pPr>
                    <w:widowControl/>
                    <w:jc w:val="center"/>
                    <w:rPr>
                      <w:color w:val="auto"/>
                      <w:highlight w:val="none"/>
                      <w:u w:val="none" w:color="auto"/>
                    </w:rPr>
                  </w:pPr>
                  <w:r>
                    <w:rPr>
                      <w:color w:val="auto"/>
                      <w:highlight w:val="none"/>
                      <w:u w:val="none" w:color="auto"/>
                    </w:rPr>
                    <w:t>0.5＜LD50＜2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restart"/>
                  <w:vAlign w:val="center"/>
                </w:tcPr>
                <w:p>
                  <w:pPr>
                    <w:widowControl/>
                    <w:jc w:val="center"/>
                    <w:rPr>
                      <w:color w:val="auto"/>
                      <w:highlight w:val="none"/>
                      <w:u w:val="none" w:color="auto"/>
                    </w:rPr>
                  </w:pPr>
                  <w:r>
                    <w:rPr>
                      <w:color w:val="auto"/>
                      <w:highlight w:val="none"/>
                      <w:u w:val="none" w:color="auto"/>
                    </w:rPr>
                    <w:t>易燃</w:t>
                  </w:r>
                </w:p>
                <w:p>
                  <w:pPr>
                    <w:widowControl/>
                    <w:jc w:val="center"/>
                    <w:rPr>
                      <w:color w:val="auto"/>
                      <w:highlight w:val="none"/>
                      <w:u w:val="none" w:color="auto"/>
                    </w:rPr>
                  </w:pPr>
                  <w:r>
                    <w:rPr>
                      <w:color w:val="auto"/>
                      <w:highlight w:val="none"/>
                      <w:u w:val="none" w:color="auto"/>
                    </w:rPr>
                    <w:t>物质</w:t>
                  </w:r>
                </w:p>
              </w:tc>
              <w:tc>
                <w:tcPr>
                  <w:tcW w:w="883" w:type="dxa"/>
                  <w:vAlign w:val="center"/>
                </w:tcPr>
                <w:p>
                  <w:pPr>
                    <w:widowControl/>
                    <w:jc w:val="center"/>
                    <w:rPr>
                      <w:color w:val="auto"/>
                      <w:highlight w:val="none"/>
                      <w:u w:val="none" w:color="auto"/>
                    </w:rPr>
                  </w:pPr>
                  <w:r>
                    <w:rPr>
                      <w:color w:val="auto"/>
                      <w:highlight w:val="none"/>
                      <w:u w:val="none" w:color="auto"/>
                    </w:rPr>
                    <w:t>1</w:t>
                  </w:r>
                </w:p>
              </w:tc>
              <w:tc>
                <w:tcPr>
                  <w:tcW w:w="5995" w:type="dxa"/>
                  <w:gridSpan w:val="3"/>
                  <w:vAlign w:val="center"/>
                </w:tcPr>
                <w:p>
                  <w:pPr>
                    <w:widowControl/>
                    <w:jc w:val="center"/>
                    <w:rPr>
                      <w:color w:val="auto"/>
                      <w:highlight w:val="none"/>
                      <w:u w:val="none" w:color="auto"/>
                    </w:rPr>
                  </w:pPr>
                  <w:r>
                    <w:rPr>
                      <w:color w:val="auto"/>
                      <w:highlight w:val="none"/>
                      <w:u w:val="none" w:color="auto"/>
                    </w:rPr>
                    <w:t>可燃气体—在常压下以气态存在并与空气混合形成可燃混合物；其沸点（常压下）是20℃或20℃以下的物质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pPr>
                    <w:widowControl/>
                    <w:jc w:val="center"/>
                    <w:rPr>
                      <w:color w:val="auto"/>
                      <w:highlight w:val="none"/>
                      <w:u w:val="none" w:color="auto"/>
                    </w:rPr>
                  </w:pPr>
                </w:p>
              </w:tc>
              <w:tc>
                <w:tcPr>
                  <w:tcW w:w="883" w:type="dxa"/>
                  <w:vAlign w:val="center"/>
                </w:tcPr>
                <w:p>
                  <w:pPr>
                    <w:widowControl/>
                    <w:jc w:val="center"/>
                    <w:rPr>
                      <w:color w:val="auto"/>
                      <w:highlight w:val="none"/>
                      <w:u w:val="none" w:color="auto"/>
                    </w:rPr>
                  </w:pPr>
                  <w:r>
                    <w:rPr>
                      <w:color w:val="auto"/>
                      <w:highlight w:val="none"/>
                      <w:u w:val="none" w:color="auto"/>
                    </w:rPr>
                    <w:t>2</w:t>
                  </w:r>
                </w:p>
              </w:tc>
              <w:tc>
                <w:tcPr>
                  <w:tcW w:w="5995" w:type="dxa"/>
                  <w:gridSpan w:val="3"/>
                  <w:vAlign w:val="center"/>
                </w:tcPr>
                <w:p>
                  <w:pPr>
                    <w:widowControl/>
                    <w:jc w:val="center"/>
                    <w:rPr>
                      <w:color w:val="auto"/>
                      <w:highlight w:val="none"/>
                      <w:u w:val="none" w:color="auto"/>
                    </w:rPr>
                  </w:pPr>
                  <w:r>
                    <w:rPr>
                      <w:color w:val="auto"/>
                      <w:highlight w:val="none"/>
                      <w:u w:val="none" w:color="auto"/>
                    </w:rPr>
                    <w:t>易燃液体—闪点低于21℃，沸点高于20℃的物质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continue"/>
                  <w:vAlign w:val="center"/>
                </w:tcPr>
                <w:p>
                  <w:pPr>
                    <w:widowControl/>
                    <w:jc w:val="center"/>
                    <w:rPr>
                      <w:color w:val="auto"/>
                      <w:highlight w:val="none"/>
                      <w:u w:val="none" w:color="auto"/>
                    </w:rPr>
                  </w:pPr>
                </w:p>
              </w:tc>
              <w:tc>
                <w:tcPr>
                  <w:tcW w:w="883" w:type="dxa"/>
                  <w:vAlign w:val="center"/>
                </w:tcPr>
                <w:p>
                  <w:pPr>
                    <w:widowControl/>
                    <w:jc w:val="center"/>
                    <w:rPr>
                      <w:color w:val="auto"/>
                      <w:highlight w:val="none"/>
                      <w:u w:val="none" w:color="auto"/>
                    </w:rPr>
                  </w:pPr>
                  <w:r>
                    <w:rPr>
                      <w:color w:val="auto"/>
                      <w:highlight w:val="none"/>
                      <w:u w:val="none" w:color="auto"/>
                    </w:rPr>
                    <w:t>3</w:t>
                  </w:r>
                </w:p>
              </w:tc>
              <w:tc>
                <w:tcPr>
                  <w:tcW w:w="5995" w:type="dxa"/>
                  <w:gridSpan w:val="3"/>
                  <w:vAlign w:val="center"/>
                </w:tcPr>
                <w:p>
                  <w:pPr>
                    <w:widowControl/>
                    <w:jc w:val="center"/>
                    <w:rPr>
                      <w:color w:val="auto"/>
                      <w:highlight w:val="none"/>
                      <w:u w:val="none" w:color="auto"/>
                    </w:rPr>
                  </w:pPr>
                  <w:r>
                    <w:rPr>
                      <w:color w:val="auto"/>
                      <w:highlight w:val="none"/>
                      <w:u w:val="none" w:color="auto"/>
                    </w:rPr>
                    <w:t>可燃液体—闪点低于55℃，压力下保持液态，在实际操作条件下（如高温高压）可以引起重大事故的物质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942" w:type="dxa"/>
                  <w:gridSpan w:val="2"/>
                  <w:vAlign w:val="center"/>
                </w:tcPr>
                <w:p>
                  <w:pPr>
                    <w:widowControl/>
                    <w:jc w:val="center"/>
                    <w:rPr>
                      <w:color w:val="auto"/>
                      <w:highlight w:val="none"/>
                      <w:u w:val="none" w:color="auto"/>
                    </w:rPr>
                  </w:pPr>
                  <w:r>
                    <w:rPr>
                      <w:color w:val="auto"/>
                      <w:highlight w:val="none"/>
                      <w:u w:val="none" w:color="auto"/>
                    </w:rPr>
                    <w:t>爆炸性物质</w:t>
                  </w:r>
                </w:p>
              </w:tc>
              <w:tc>
                <w:tcPr>
                  <w:tcW w:w="5995" w:type="dxa"/>
                  <w:gridSpan w:val="3"/>
                  <w:vAlign w:val="center"/>
                </w:tcPr>
                <w:p>
                  <w:pPr>
                    <w:widowControl/>
                    <w:jc w:val="center"/>
                    <w:rPr>
                      <w:color w:val="auto"/>
                      <w:highlight w:val="none"/>
                      <w:u w:val="none" w:color="auto"/>
                    </w:rPr>
                  </w:pPr>
                  <w:r>
                    <w:rPr>
                      <w:color w:val="auto"/>
                      <w:highlight w:val="none"/>
                      <w:u w:val="none" w:color="auto"/>
                    </w:rPr>
                    <w:t>在火焰影响下可以爆炸，或者对冲击、摩擦比硝基苯更为敏感的物质</w:t>
                  </w:r>
                </w:p>
              </w:tc>
            </w:tr>
          </w:tbl>
          <w:p>
            <w:pPr>
              <w:spacing w:line="360" w:lineRule="auto"/>
              <w:ind w:firstLine="480" w:firstLineChars="200"/>
              <w:rPr>
                <w:color w:val="auto"/>
                <w:sz w:val="24"/>
                <w:highlight w:val="none"/>
                <w:u w:val="none" w:color="auto"/>
              </w:rPr>
            </w:pPr>
            <w:r>
              <w:rPr>
                <w:color w:val="auto"/>
                <w:sz w:val="24"/>
                <w:highlight w:val="none"/>
                <w:u w:val="none" w:color="auto"/>
              </w:rPr>
              <w:t>凡符合上表中有毒有害物质判定标准序号为1、2号的物质，属于剧毒物质；符合有毒有害物质判定标准序号为3号的属于一般毒物；凡符合上表中易燃物质和爆炸性物质标准的物质，均视为火灾、爆炸等危险物质。</w:t>
            </w:r>
          </w:p>
          <w:p>
            <w:pPr>
              <w:spacing w:line="360" w:lineRule="auto"/>
              <w:ind w:firstLine="480" w:firstLineChars="200"/>
              <w:rPr>
                <w:color w:val="auto"/>
                <w:sz w:val="24"/>
                <w:highlight w:val="none"/>
                <w:u w:val="none" w:color="auto"/>
              </w:rPr>
            </w:pPr>
            <w:r>
              <w:rPr>
                <w:rFonts w:hint="eastAsia"/>
                <w:color w:val="auto"/>
                <w:sz w:val="24"/>
                <w:highlight w:val="none"/>
                <w:u w:val="none" w:color="auto"/>
              </w:rPr>
              <w:t>参考</w:t>
            </w:r>
            <w:r>
              <w:rPr>
                <w:color w:val="auto"/>
                <w:sz w:val="24"/>
                <w:highlight w:val="none"/>
                <w:u w:val="none" w:color="auto"/>
              </w:rPr>
              <w:t>《建设项目环境风险评价技术导则》（HJ169-2018）附录B</w:t>
            </w:r>
            <w:r>
              <w:rPr>
                <w:rFonts w:hint="eastAsia"/>
                <w:color w:val="auto"/>
                <w:sz w:val="24"/>
                <w:highlight w:val="none"/>
                <w:u w:val="none" w:color="auto"/>
              </w:rPr>
              <w:t>重点关注的危险物质及临界量B.1突发</w:t>
            </w:r>
            <w:r>
              <w:rPr>
                <w:rFonts w:hint="eastAsia"/>
                <w:color w:val="auto"/>
                <w:sz w:val="24"/>
                <w:szCs w:val="24"/>
                <w:highlight w:val="none"/>
                <w:u w:val="none" w:color="auto"/>
              </w:rPr>
              <w:t>环境事件风险物质及临界量表和</w:t>
            </w:r>
            <w:r>
              <w:rPr>
                <w:color w:val="auto"/>
                <w:sz w:val="24"/>
                <w:szCs w:val="24"/>
                <w:highlight w:val="none"/>
                <w:u w:val="none" w:color="auto"/>
              </w:rPr>
              <w:t>《危险化学品重大危险源辨识》（GB18218-2018）</w:t>
            </w:r>
            <w:r>
              <w:rPr>
                <w:rFonts w:hint="eastAsia"/>
                <w:color w:val="auto"/>
                <w:sz w:val="24"/>
                <w:szCs w:val="24"/>
                <w:highlight w:val="none"/>
                <w:u w:val="none" w:color="auto"/>
              </w:rPr>
              <w:t>，</w:t>
            </w:r>
            <w:r>
              <w:rPr>
                <w:rFonts w:hint="eastAsia"/>
                <w:color w:val="auto"/>
                <w:sz w:val="24"/>
                <w:highlight w:val="none"/>
                <w:u w:val="none" w:color="auto"/>
              </w:rPr>
              <w:t>本项目危险物质为废机油和乙醇，</w:t>
            </w:r>
            <w:r>
              <w:rPr>
                <w:color w:val="auto"/>
                <w:sz w:val="24"/>
                <w:highlight w:val="none"/>
                <w:u w:val="none" w:color="auto"/>
              </w:rPr>
              <w:t>本项目危险物质的储存量、临界量见下表。</w:t>
            </w:r>
          </w:p>
          <w:p>
            <w:pPr>
              <w:ind w:firstLine="373" w:firstLineChars="177"/>
              <w:jc w:val="center"/>
              <w:rPr>
                <w:b/>
                <w:bCs/>
                <w:color w:val="auto"/>
                <w:kern w:val="24"/>
                <w:highlight w:val="none"/>
                <w:u w:val="none" w:color="auto"/>
              </w:rPr>
            </w:pPr>
            <w:r>
              <w:rPr>
                <w:rFonts w:hint="eastAsia"/>
                <w:b/>
                <w:bCs/>
                <w:color w:val="auto"/>
                <w:kern w:val="24"/>
                <w:highlight w:val="none"/>
                <w:u w:val="none" w:color="auto"/>
              </w:rPr>
              <w:t>表4-1</w:t>
            </w:r>
            <w:r>
              <w:rPr>
                <w:rFonts w:hint="eastAsia"/>
                <w:b/>
                <w:bCs/>
                <w:color w:val="auto"/>
                <w:kern w:val="24"/>
                <w:highlight w:val="none"/>
                <w:u w:val="none" w:color="auto"/>
                <w:lang w:val="en-US" w:eastAsia="zh-CN"/>
              </w:rPr>
              <w:t>4</w:t>
            </w:r>
            <w:r>
              <w:rPr>
                <w:rFonts w:hint="eastAsia"/>
                <w:b/>
                <w:bCs/>
                <w:color w:val="auto"/>
                <w:kern w:val="24"/>
                <w:highlight w:val="none"/>
                <w:u w:val="none" w:color="auto"/>
              </w:rPr>
              <w:t xml:space="preserve">   项目实施后全厂主要有毒有害物质一览表</w:t>
            </w:r>
          </w:p>
          <w:tbl>
            <w:tblPr>
              <w:tblStyle w:val="26"/>
              <w:tblW w:w="7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783"/>
              <w:gridCol w:w="1463"/>
              <w:gridCol w:w="1527"/>
              <w:gridCol w:w="1130"/>
              <w:gridCol w:w="1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12" w:type="dxa"/>
                  <w:vAlign w:val="center"/>
                </w:tcPr>
                <w:p>
                  <w:pPr>
                    <w:jc w:val="center"/>
                    <w:rPr>
                      <w:rFonts w:hint="eastAsia" w:eastAsia="宋体"/>
                      <w:color w:val="auto"/>
                      <w:highlight w:val="none"/>
                      <w:u w:val="none" w:color="auto"/>
                      <w:lang w:eastAsia="zh-CN"/>
                    </w:rPr>
                  </w:pPr>
                  <w:r>
                    <w:rPr>
                      <w:rFonts w:hint="eastAsia"/>
                      <w:color w:val="auto"/>
                      <w:highlight w:val="none"/>
                      <w:u w:val="none" w:color="auto"/>
                      <w:lang w:val="en-US" w:eastAsia="zh-CN"/>
                    </w:rPr>
                    <w:t>序号</w:t>
                  </w:r>
                </w:p>
              </w:tc>
              <w:tc>
                <w:tcPr>
                  <w:tcW w:w="1783"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物质名称</w:t>
                  </w:r>
                </w:p>
              </w:tc>
              <w:tc>
                <w:tcPr>
                  <w:tcW w:w="1463"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最大存在量t</w:t>
                  </w:r>
                </w:p>
              </w:tc>
              <w:tc>
                <w:tcPr>
                  <w:tcW w:w="1527"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贮存位置</w:t>
                  </w:r>
                </w:p>
              </w:tc>
              <w:tc>
                <w:tcPr>
                  <w:tcW w:w="1130"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临界量t</w:t>
                  </w:r>
                </w:p>
              </w:tc>
              <w:tc>
                <w:tcPr>
                  <w:tcW w:w="1102"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q值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2" w:type="dxa"/>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1</w:t>
                  </w:r>
                </w:p>
              </w:tc>
              <w:tc>
                <w:tcPr>
                  <w:tcW w:w="1783" w:type="dxa"/>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凡立水（绝缘油）</w:t>
                  </w:r>
                </w:p>
              </w:tc>
              <w:tc>
                <w:tcPr>
                  <w:tcW w:w="1463"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0.2</w:t>
                  </w:r>
                </w:p>
              </w:tc>
              <w:tc>
                <w:tcPr>
                  <w:tcW w:w="1527"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原材料仓库</w:t>
                  </w:r>
                </w:p>
              </w:tc>
              <w:tc>
                <w:tcPr>
                  <w:tcW w:w="1130"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10</w:t>
                  </w:r>
                </w:p>
              </w:tc>
              <w:tc>
                <w:tcPr>
                  <w:tcW w:w="1102"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2" w:type="dxa"/>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2</w:t>
                  </w:r>
                </w:p>
              </w:tc>
              <w:tc>
                <w:tcPr>
                  <w:tcW w:w="1783" w:type="dxa"/>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胶水</w:t>
                  </w:r>
                </w:p>
              </w:tc>
              <w:tc>
                <w:tcPr>
                  <w:tcW w:w="1463"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0.05</w:t>
                  </w:r>
                </w:p>
              </w:tc>
              <w:tc>
                <w:tcPr>
                  <w:tcW w:w="1527" w:type="dxa"/>
                  <w:vAlign w:val="center"/>
                </w:tcPr>
                <w:p>
                  <w:pPr>
                    <w:jc w:val="center"/>
                    <w:rPr>
                      <w:rFonts w:hint="eastAsia"/>
                      <w:color w:val="auto"/>
                      <w:highlight w:val="none"/>
                      <w:u w:val="none" w:color="auto"/>
                    </w:rPr>
                  </w:pPr>
                  <w:r>
                    <w:rPr>
                      <w:rFonts w:hint="eastAsia"/>
                      <w:color w:val="auto"/>
                      <w:highlight w:val="none"/>
                      <w:u w:val="none" w:color="auto"/>
                      <w:lang w:val="en-US" w:eastAsia="zh-CN"/>
                    </w:rPr>
                    <w:t>原材料仓库</w:t>
                  </w:r>
                </w:p>
              </w:tc>
              <w:tc>
                <w:tcPr>
                  <w:tcW w:w="1130" w:type="dxa"/>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5</w:t>
                  </w:r>
                </w:p>
              </w:tc>
              <w:tc>
                <w:tcPr>
                  <w:tcW w:w="1102"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2" w:type="dxa"/>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3</w:t>
                  </w:r>
                </w:p>
              </w:tc>
              <w:tc>
                <w:tcPr>
                  <w:tcW w:w="1783" w:type="dxa"/>
                  <w:vAlign w:val="center"/>
                </w:tcPr>
                <w:p>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稀释剂</w:t>
                  </w:r>
                </w:p>
              </w:tc>
              <w:tc>
                <w:tcPr>
                  <w:tcW w:w="1463"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0.05</w:t>
                  </w:r>
                </w:p>
              </w:tc>
              <w:tc>
                <w:tcPr>
                  <w:tcW w:w="1527" w:type="dxa"/>
                  <w:vAlign w:val="center"/>
                </w:tcPr>
                <w:p>
                  <w:pPr>
                    <w:jc w:val="center"/>
                    <w:rPr>
                      <w:rFonts w:hint="eastAsia"/>
                      <w:color w:val="auto"/>
                      <w:highlight w:val="none"/>
                      <w:u w:val="none" w:color="auto"/>
                    </w:rPr>
                  </w:pPr>
                  <w:r>
                    <w:rPr>
                      <w:rFonts w:hint="eastAsia"/>
                      <w:color w:val="auto"/>
                      <w:highlight w:val="none"/>
                      <w:u w:val="none" w:color="auto"/>
                      <w:lang w:val="en-US" w:eastAsia="zh-CN"/>
                    </w:rPr>
                    <w:t>原材料仓库</w:t>
                  </w:r>
                </w:p>
              </w:tc>
              <w:tc>
                <w:tcPr>
                  <w:tcW w:w="1130"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10</w:t>
                  </w:r>
                </w:p>
              </w:tc>
              <w:tc>
                <w:tcPr>
                  <w:tcW w:w="1102"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15" w:type="dxa"/>
                  <w:gridSpan w:val="5"/>
                  <w:vAlign w:val="center"/>
                </w:tcPr>
                <w:p>
                  <w:pPr>
                    <w:jc w:val="center"/>
                    <w:rPr>
                      <w:color w:val="auto"/>
                      <w:highlight w:val="none"/>
                      <w:u w:val="none" w:color="auto"/>
                    </w:rPr>
                  </w:pPr>
                  <w:r>
                    <w:rPr>
                      <w:rFonts w:hint="eastAsia"/>
                      <w:color w:val="auto"/>
                      <w:highlight w:val="none"/>
                      <w:u w:val="none" w:color="auto"/>
                    </w:rPr>
                    <w:t>合计</w:t>
                  </w:r>
                </w:p>
              </w:tc>
              <w:tc>
                <w:tcPr>
                  <w:tcW w:w="1102"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0.035</w:t>
                  </w:r>
                </w:p>
              </w:tc>
            </w:tr>
          </w:tbl>
          <w:p>
            <w:pPr>
              <w:spacing w:line="360" w:lineRule="auto"/>
              <w:ind w:firstLine="480" w:firstLineChars="200"/>
              <w:rPr>
                <w:color w:val="auto"/>
                <w:sz w:val="24"/>
                <w:szCs w:val="24"/>
                <w:highlight w:val="none"/>
                <w:u w:val="none" w:color="auto"/>
              </w:rPr>
            </w:pPr>
            <w:r>
              <w:rPr>
                <w:color w:val="auto"/>
                <w:sz w:val="24"/>
                <w:szCs w:val="24"/>
                <w:highlight w:val="none"/>
                <w:u w:val="none" w:color="auto"/>
              </w:rPr>
              <w:t>单元内存在的危险物质为多品种时，则按下式计算Q值。</w:t>
            </w:r>
          </w:p>
          <w:p>
            <w:pPr>
              <w:spacing w:line="360" w:lineRule="auto"/>
              <w:ind w:firstLine="480" w:firstLineChars="200"/>
              <w:rPr>
                <w:color w:val="auto"/>
                <w:sz w:val="24"/>
                <w:szCs w:val="24"/>
                <w:highlight w:val="none"/>
                <w:u w:val="none" w:color="auto"/>
              </w:rPr>
            </w:pPr>
            <w:r>
              <w:rPr>
                <w:color w:val="auto"/>
                <w:sz w:val="24"/>
                <w:szCs w:val="24"/>
                <w:highlight w:val="none"/>
                <w:u w:val="none" w:color="auto"/>
              </w:rPr>
              <w:t>q1/Q1+q2/Q2+······+qn/Qn≥1</w:t>
            </w:r>
          </w:p>
          <w:p>
            <w:pPr>
              <w:spacing w:line="360" w:lineRule="auto"/>
              <w:ind w:firstLine="480" w:firstLineChars="200"/>
              <w:rPr>
                <w:color w:val="auto"/>
                <w:sz w:val="24"/>
                <w:szCs w:val="24"/>
                <w:highlight w:val="none"/>
                <w:u w:val="none" w:color="auto"/>
              </w:rPr>
            </w:pPr>
            <w:r>
              <w:rPr>
                <w:color w:val="auto"/>
                <w:sz w:val="24"/>
                <w:szCs w:val="24"/>
                <w:highlight w:val="none"/>
                <w:u w:val="none" w:color="auto"/>
              </w:rPr>
              <w:t>式中：q1、q2、qn为每种危险物质实际存在量，t；</w:t>
            </w:r>
          </w:p>
          <w:p>
            <w:pPr>
              <w:spacing w:line="360" w:lineRule="auto"/>
              <w:ind w:firstLine="480" w:firstLineChars="200"/>
              <w:rPr>
                <w:color w:val="auto"/>
                <w:sz w:val="24"/>
                <w:szCs w:val="24"/>
                <w:highlight w:val="none"/>
                <w:u w:val="none" w:color="auto"/>
              </w:rPr>
            </w:pPr>
            <w:r>
              <w:rPr>
                <w:color w:val="auto"/>
                <w:sz w:val="24"/>
                <w:szCs w:val="24"/>
                <w:highlight w:val="none"/>
                <w:u w:val="none" w:color="auto"/>
              </w:rPr>
              <w:t>Q1、Q2、Qn为与各种危险物质相对应的生产场所或贮存区的临界量，t。</w:t>
            </w:r>
          </w:p>
          <w:p>
            <w:pPr>
              <w:spacing w:line="360" w:lineRule="auto"/>
              <w:ind w:firstLine="480" w:firstLineChars="200"/>
              <w:rPr>
                <w:color w:val="auto"/>
                <w:sz w:val="24"/>
                <w:szCs w:val="24"/>
                <w:highlight w:val="none"/>
                <w:u w:val="none" w:color="auto"/>
              </w:rPr>
            </w:pPr>
            <w:r>
              <w:rPr>
                <w:color w:val="auto"/>
                <w:sz w:val="24"/>
                <w:szCs w:val="24"/>
                <w:highlight w:val="none"/>
                <w:u w:val="none" w:color="auto"/>
              </w:rPr>
              <w:t>由表7-</w:t>
            </w:r>
            <w:r>
              <w:rPr>
                <w:rFonts w:hint="eastAsia"/>
                <w:color w:val="auto"/>
                <w:sz w:val="24"/>
                <w:szCs w:val="24"/>
                <w:highlight w:val="none"/>
                <w:u w:val="none" w:color="auto"/>
              </w:rPr>
              <w:t>22</w:t>
            </w:r>
            <w:r>
              <w:rPr>
                <w:color w:val="auto"/>
                <w:sz w:val="24"/>
                <w:szCs w:val="24"/>
                <w:highlight w:val="none"/>
                <w:u w:val="none" w:color="auto"/>
              </w:rPr>
              <w:t>可知，Q=</w:t>
            </w:r>
            <w:r>
              <w:rPr>
                <w:rFonts w:hint="eastAsia"/>
                <w:color w:val="auto"/>
                <w:sz w:val="24"/>
                <w:szCs w:val="24"/>
                <w:highlight w:val="none"/>
                <w:u w:val="none" w:color="auto"/>
                <w:lang w:val="en-US" w:eastAsia="zh-CN"/>
              </w:rPr>
              <w:t>0.035</w:t>
            </w:r>
            <w:r>
              <w:rPr>
                <w:rFonts w:hint="eastAsia"/>
                <w:color w:val="auto"/>
                <w:sz w:val="24"/>
                <w:szCs w:val="24"/>
                <w:highlight w:val="none"/>
                <w:u w:val="none" w:color="auto"/>
              </w:rPr>
              <w:t>，</w:t>
            </w:r>
            <w:r>
              <w:rPr>
                <w:color w:val="auto"/>
                <w:sz w:val="24"/>
                <w:szCs w:val="24"/>
                <w:highlight w:val="none"/>
                <w:u w:val="none" w:color="auto"/>
              </w:rPr>
              <w:t>Q＜1。</w:t>
            </w:r>
          </w:p>
          <w:p>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（3）</w:t>
            </w:r>
            <w:r>
              <w:rPr>
                <w:b/>
                <w:bCs/>
                <w:color w:val="auto"/>
                <w:sz w:val="24"/>
                <w:highlight w:val="none"/>
                <w:u w:val="none" w:color="auto"/>
              </w:rPr>
              <w:t>环境风险识别</w:t>
            </w:r>
          </w:p>
          <w:p>
            <w:pPr>
              <w:tabs>
                <w:tab w:val="left" w:pos="1440"/>
                <w:tab w:val="left" w:pos="1800"/>
              </w:tabs>
              <w:adjustRightInd w:val="0"/>
              <w:spacing w:line="360" w:lineRule="auto"/>
              <w:ind w:firstLine="480" w:firstLineChars="200"/>
              <w:rPr>
                <w:rFonts w:hint="eastAsia"/>
                <w:b w:val="0"/>
                <w:bCs w:val="0"/>
                <w:color w:val="auto"/>
                <w:sz w:val="24"/>
                <w:highlight w:val="none"/>
                <w:u w:val="none" w:color="auto"/>
              </w:rPr>
            </w:pPr>
            <w:r>
              <w:rPr>
                <w:rFonts w:hint="eastAsia"/>
                <w:b w:val="0"/>
                <w:bCs w:val="0"/>
                <w:color w:val="auto"/>
                <w:sz w:val="24"/>
                <w:highlight w:val="none"/>
                <w:u w:val="none" w:color="auto"/>
              </w:rPr>
              <w:t>依据《建设项目环境风险评价技术导则》（HJ/T169－2018）附录B及《危险化学品名录》（2015年版）和《危险化学品重大危险源辨识》（GB18218-2009）等国家标准中规定的危险物质分类原则，对该项目使用的原料和产品的危险物质进行分类、确认，并按照标准对危险场所和装置、设备进行重大危险源识别。项目涉及的风险物质主要为绝缘漆、</w:t>
            </w:r>
            <w:r>
              <w:rPr>
                <w:rFonts w:hint="eastAsia"/>
                <w:b w:val="0"/>
                <w:bCs w:val="0"/>
                <w:color w:val="auto"/>
                <w:sz w:val="24"/>
                <w:highlight w:val="none"/>
                <w:u w:val="none" w:color="auto"/>
                <w:lang w:val="en-US" w:eastAsia="zh-CN"/>
              </w:rPr>
              <w:t>胶水、</w:t>
            </w:r>
            <w:r>
              <w:rPr>
                <w:rFonts w:hint="eastAsia"/>
                <w:b w:val="0"/>
                <w:bCs w:val="0"/>
                <w:color w:val="auto"/>
                <w:sz w:val="24"/>
                <w:highlight w:val="none"/>
                <w:u w:val="none" w:color="auto"/>
              </w:rPr>
              <w:t>稀释剂、助焊剂，属于易燃易爆物质。</w:t>
            </w:r>
          </w:p>
          <w:p>
            <w:pPr>
              <w:tabs>
                <w:tab w:val="left" w:pos="1440"/>
                <w:tab w:val="left" w:pos="1800"/>
              </w:tabs>
              <w:adjustRightInd w:val="0"/>
              <w:spacing w:line="360" w:lineRule="auto"/>
              <w:ind w:firstLine="480" w:firstLineChars="200"/>
              <w:rPr>
                <w:rFonts w:hint="eastAsia"/>
                <w:b w:val="0"/>
                <w:bCs w:val="0"/>
                <w:color w:val="auto"/>
                <w:sz w:val="24"/>
                <w:highlight w:val="none"/>
                <w:u w:val="none" w:color="auto"/>
              </w:rPr>
            </w:pPr>
            <w:r>
              <w:rPr>
                <w:rFonts w:hint="eastAsia"/>
                <w:b w:val="0"/>
                <w:bCs w:val="0"/>
                <w:color w:val="auto"/>
                <w:sz w:val="24"/>
                <w:highlight w:val="none"/>
                <w:u w:val="none" w:color="auto"/>
              </w:rPr>
              <w:t>项目风险事件主要是原辅材料绝缘漆、</w:t>
            </w:r>
            <w:r>
              <w:rPr>
                <w:rFonts w:hint="eastAsia"/>
                <w:b w:val="0"/>
                <w:bCs w:val="0"/>
                <w:color w:val="auto"/>
                <w:sz w:val="24"/>
                <w:highlight w:val="none"/>
                <w:u w:val="none" w:color="auto"/>
                <w:lang w:val="en-US" w:eastAsia="zh-CN"/>
              </w:rPr>
              <w:t>胶水、</w:t>
            </w:r>
            <w:r>
              <w:rPr>
                <w:rFonts w:hint="eastAsia"/>
                <w:b w:val="0"/>
                <w:bCs w:val="0"/>
                <w:color w:val="auto"/>
                <w:sz w:val="24"/>
                <w:highlight w:val="none"/>
                <w:u w:val="none" w:color="auto"/>
              </w:rPr>
              <w:t>稀释剂、助焊剂在储存过程中由高温或遇明火发生火灾和废气处理设备发生故障导致废气未经处理超标排放。</w:t>
            </w:r>
          </w:p>
          <w:p>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（4）环境风险分析</w:t>
            </w:r>
          </w:p>
          <w:p>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根据环境风险识别，本项目发生环境风险类型主要为火灾及废气排放事故。</w:t>
            </w:r>
          </w:p>
          <w:p>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①火灾环境影响分析及应急处理措施</w:t>
            </w:r>
          </w:p>
          <w:p>
            <w:pPr>
              <w:spacing w:line="360" w:lineRule="auto"/>
              <w:ind w:firstLine="480" w:firstLineChars="200"/>
              <w:rPr>
                <w:color w:val="auto"/>
                <w:sz w:val="24"/>
                <w:highlight w:val="none"/>
                <w:u w:val="none" w:color="auto"/>
              </w:rPr>
            </w:pPr>
            <w:r>
              <w:rPr>
                <w:color w:val="auto"/>
                <w:sz w:val="24"/>
                <w:highlight w:val="none"/>
                <w:u w:val="none" w:color="auto"/>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pPr>
              <w:pStyle w:val="2"/>
              <w:spacing w:line="360" w:lineRule="auto"/>
              <w:ind w:firstLine="480" w:firstLineChars="200"/>
              <w:rPr>
                <w:color w:val="auto"/>
                <w:highlight w:val="none"/>
                <w:u w:val="none" w:color="auto"/>
              </w:rPr>
            </w:pPr>
            <w:r>
              <w:rPr>
                <w:rFonts w:hint="eastAsia"/>
                <w:color w:val="auto"/>
                <w:kern w:val="2"/>
                <w:sz w:val="24"/>
                <w:szCs w:val="24"/>
                <w:highlight w:val="none"/>
                <w:u w:val="none" w:color="auto"/>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pPr>
              <w:spacing w:line="360" w:lineRule="auto"/>
              <w:ind w:firstLine="426" w:firstLineChars="177"/>
              <w:rPr>
                <w:b/>
                <w:bCs/>
                <w:color w:val="auto"/>
                <w:sz w:val="24"/>
                <w:highlight w:val="none"/>
                <w:u w:val="none" w:color="auto"/>
              </w:rPr>
            </w:pPr>
            <w:r>
              <w:rPr>
                <w:rFonts w:hint="eastAsia"/>
                <w:b/>
                <w:bCs/>
                <w:color w:val="auto"/>
                <w:sz w:val="24"/>
                <w:highlight w:val="none"/>
                <w:u w:val="none" w:color="auto"/>
              </w:rPr>
              <w:t>②污染防治措施事故排放境影响分析应急处理措施</w:t>
            </w:r>
          </w:p>
          <w:p>
            <w:pPr>
              <w:spacing w:line="360" w:lineRule="auto"/>
              <w:ind w:firstLine="424" w:firstLineChars="177"/>
              <w:rPr>
                <w:color w:val="auto"/>
                <w:sz w:val="24"/>
                <w:highlight w:val="none"/>
                <w:u w:val="none" w:color="auto"/>
              </w:rPr>
            </w:pPr>
            <w:r>
              <w:rPr>
                <w:rFonts w:hint="eastAsia"/>
                <w:color w:val="auto"/>
                <w:sz w:val="24"/>
                <w:highlight w:val="none"/>
                <w:u w:val="none" w:color="auto"/>
              </w:rPr>
              <w:t>当废气处理措施因设备或操作原因，造成废气未处理直接排放，生产过程中产生的</w:t>
            </w:r>
            <w:r>
              <w:rPr>
                <w:rFonts w:hint="eastAsia"/>
                <w:color w:val="auto"/>
                <w:sz w:val="24"/>
                <w:highlight w:val="none"/>
                <w:u w:val="none" w:color="auto"/>
                <w:lang w:val="en-US" w:eastAsia="zh-CN"/>
              </w:rPr>
              <w:t>废气</w:t>
            </w:r>
            <w:r>
              <w:rPr>
                <w:rFonts w:hint="eastAsia"/>
                <w:color w:val="auto"/>
                <w:sz w:val="24"/>
                <w:highlight w:val="none"/>
                <w:u w:val="none" w:color="auto"/>
              </w:rPr>
              <w:t>会飞扬，气体随风向外扩散，在不利风向时，周围的企业及员工及村庄等均会受到不同程度的影响。因此企业应加强管理，保持各废气处理设施的正常运行，杜绝非正常排放发生。</w:t>
            </w:r>
          </w:p>
          <w:p>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（5）</w:t>
            </w:r>
            <w:r>
              <w:rPr>
                <w:b/>
                <w:bCs/>
                <w:color w:val="auto"/>
                <w:sz w:val="24"/>
                <w:highlight w:val="none"/>
                <w:u w:val="none" w:color="auto"/>
              </w:rPr>
              <w:t>环境风险防范措施</w:t>
            </w:r>
          </w:p>
          <w:p>
            <w:pPr>
              <w:spacing w:line="360" w:lineRule="auto"/>
              <w:ind w:firstLine="424" w:firstLineChars="177"/>
              <w:rPr>
                <w:color w:val="auto"/>
                <w:sz w:val="24"/>
                <w:highlight w:val="none"/>
                <w:u w:val="none" w:color="auto"/>
              </w:rPr>
            </w:pPr>
            <w:r>
              <w:rPr>
                <w:rFonts w:hint="eastAsia"/>
                <w:color w:val="auto"/>
                <w:sz w:val="24"/>
                <w:highlight w:val="none"/>
                <w:u w:val="none" w:color="auto"/>
              </w:rPr>
              <w:t>1）生产车间及仓库设置自动温感、烟感报警系统，当火灾发生时，系统自动报警，自动气体灭火系统启动，能够及时扑灭火灾。</w:t>
            </w:r>
          </w:p>
          <w:p>
            <w:pPr>
              <w:spacing w:line="360" w:lineRule="auto"/>
              <w:ind w:firstLine="424" w:firstLineChars="177"/>
              <w:rPr>
                <w:color w:val="auto"/>
                <w:sz w:val="24"/>
                <w:highlight w:val="none"/>
                <w:u w:val="none" w:color="auto"/>
              </w:rPr>
            </w:pPr>
            <w:r>
              <w:rPr>
                <w:rFonts w:hint="eastAsia"/>
                <w:color w:val="auto"/>
                <w:sz w:val="24"/>
                <w:highlight w:val="none"/>
                <w:u w:val="none" w:color="auto"/>
              </w:rPr>
              <w:t>2）加强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pPr>
              <w:spacing w:line="360" w:lineRule="auto"/>
              <w:ind w:firstLine="424" w:firstLineChars="177"/>
              <w:rPr>
                <w:color w:val="auto"/>
                <w:sz w:val="24"/>
                <w:highlight w:val="none"/>
                <w:u w:val="none" w:color="auto"/>
              </w:rPr>
            </w:pPr>
            <w:r>
              <w:rPr>
                <w:rFonts w:hint="eastAsia"/>
                <w:color w:val="auto"/>
                <w:sz w:val="24"/>
                <w:highlight w:val="none"/>
                <w:u w:val="none" w:color="auto"/>
              </w:rPr>
              <w:t>3）加强安全生产教育，强化管理</w:t>
            </w:r>
          </w:p>
          <w:p>
            <w:pPr>
              <w:spacing w:line="360" w:lineRule="auto"/>
              <w:ind w:firstLine="424" w:firstLineChars="177"/>
              <w:rPr>
                <w:color w:val="auto"/>
                <w:sz w:val="24"/>
                <w:highlight w:val="none"/>
                <w:u w:val="none" w:color="auto"/>
              </w:rPr>
            </w:pPr>
            <w:r>
              <w:rPr>
                <w:rFonts w:hint="eastAsia"/>
                <w:color w:val="auto"/>
                <w:sz w:val="24"/>
                <w:highlight w:val="none"/>
                <w:u w:val="none" w:color="auto"/>
              </w:rPr>
              <w:t>安全生产是企业立厂之本，强化风险意识、加强安全管理，具体要求为：必须将“安全第一，以防为主”作为企业经营的基本原则；</w:t>
            </w:r>
          </w:p>
          <w:p>
            <w:pPr>
              <w:spacing w:line="360" w:lineRule="auto"/>
              <w:ind w:firstLine="424" w:firstLineChars="177"/>
              <w:rPr>
                <w:color w:val="auto"/>
                <w:sz w:val="24"/>
                <w:highlight w:val="none"/>
                <w:u w:val="none" w:color="auto"/>
              </w:rPr>
            </w:pPr>
            <w:r>
              <w:rPr>
                <w:rFonts w:hint="eastAsia"/>
                <w:color w:val="auto"/>
                <w:sz w:val="24"/>
                <w:highlight w:val="none"/>
                <w:u w:val="none" w:color="auto"/>
              </w:rPr>
              <w:t>4）必须进行广泛系统的培训，使所有操作人员熟悉自己的岗位，树立严谨规范的操作作风，并且在任何紧急状况下都能随时对工艺装置进行控制，并及时、独立、正确地实施相关应急措施。</w:t>
            </w:r>
          </w:p>
          <w:p>
            <w:pPr>
              <w:spacing w:line="360" w:lineRule="auto"/>
              <w:ind w:firstLine="424" w:firstLineChars="177"/>
              <w:rPr>
                <w:color w:val="auto"/>
                <w:sz w:val="24"/>
                <w:highlight w:val="none"/>
                <w:u w:val="none" w:color="auto"/>
              </w:rPr>
            </w:pPr>
            <w:r>
              <w:rPr>
                <w:rFonts w:hint="eastAsia"/>
                <w:color w:val="auto"/>
                <w:sz w:val="24"/>
                <w:highlight w:val="none"/>
                <w:u w:val="none" w:color="auto"/>
              </w:rPr>
              <w:t>5）对公司职工进行消防培训，当事故发生后能在最短时间内集合，在佩带上相应的防护设备后，随同厂内技术人员进入泄漏地点。当情况比较严重时，应在组织自救的同时，通知城市救援中心和厂外消防队，启动外界应急救援计划。</w:t>
            </w:r>
          </w:p>
          <w:p>
            <w:pPr>
              <w:spacing w:line="360" w:lineRule="auto"/>
              <w:ind w:firstLine="424" w:firstLineChars="177"/>
              <w:rPr>
                <w:color w:val="auto"/>
                <w:sz w:val="24"/>
                <w:highlight w:val="none"/>
                <w:u w:val="none" w:color="auto"/>
              </w:rPr>
            </w:pPr>
            <w:r>
              <w:rPr>
                <w:rFonts w:hint="eastAsia"/>
                <w:color w:val="auto"/>
                <w:sz w:val="24"/>
                <w:highlight w:val="none"/>
                <w:u w:val="none" w:color="auto"/>
              </w:rPr>
              <w:t>6）加强公司职员的安全意识，在生产区和仓库区内禁止明火、设置严禁烟火标志，严禁在厂区吸烟，防止因明火导致厂区火灾、爆炸。</w:t>
            </w:r>
          </w:p>
          <w:p>
            <w:pPr>
              <w:spacing w:line="360" w:lineRule="auto"/>
              <w:ind w:firstLine="424" w:firstLineChars="177"/>
              <w:rPr>
                <w:color w:val="auto"/>
                <w:sz w:val="24"/>
                <w:highlight w:val="none"/>
                <w:u w:val="none" w:color="auto"/>
              </w:rPr>
            </w:pPr>
            <w:r>
              <w:rPr>
                <w:rFonts w:hint="eastAsia"/>
                <w:color w:val="auto"/>
                <w:sz w:val="24"/>
                <w:highlight w:val="none"/>
                <w:u w:val="none" w:color="auto"/>
              </w:rPr>
              <w:t>7）生产单元、仓库内应设置火灾报警信号系统，一旦发生明火，立即启动报警装置。</w:t>
            </w:r>
          </w:p>
          <w:p>
            <w:pPr>
              <w:spacing w:line="360" w:lineRule="auto"/>
              <w:ind w:firstLine="424" w:firstLineChars="177"/>
              <w:rPr>
                <w:color w:val="auto"/>
                <w:sz w:val="24"/>
                <w:highlight w:val="none"/>
                <w:u w:val="none" w:color="auto"/>
              </w:rPr>
            </w:pPr>
            <w:r>
              <w:rPr>
                <w:rFonts w:hint="eastAsia"/>
                <w:color w:val="auto"/>
                <w:sz w:val="24"/>
                <w:highlight w:val="none"/>
                <w:u w:val="none" w:color="auto"/>
              </w:rPr>
              <w:t>8）安排专人负责全厂的安全管理，设置专职安全员。</w:t>
            </w:r>
          </w:p>
          <w:p>
            <w:pPr>
              <w:spacing w:line="360" w:lineRule="auto"/>
              <w:ind w:firstLine="424" w:firstLineChars="177"/>
              <w:rPr>
                <w:color w:val="auto"/>
                <w:sz w:val="24"/>
                <w:highlight w:val="none"/>
                <w:u w:val="none" w:color="auto"/>
              </w:rPr>
            </w:pPr>
            <w:r>
              <w:rPr>
                <w:rFonts w:hint="eastAsia"/>
                <w:color w:val="auto"/>
                <w:sz w:val="24"/>
                <w:highlight w:val="none"/>
                <w:u w:val="none" w:color="auto"/>
              </w:rPr>
              <w:t>9）按照《劳动法》有关规定，为职工提供劳动安全卫生条件和劳动防护用品。</w:t>
            </w:r>
          </w:p>
          <w:p>
            <w:pPr>
              <w:spacing w:line="360" w:lineRule="auto"/>
              <w:ind w:firstLine="480" w:firstLineChars="200"/>
              <w:rPr>
                <w:rFonts w:hint="eastAsia" w:eastAsia="宋体"/>
                <w:color w:val="auto"/>
                <w:sz w:val="24"/>
                <w:highlight w:val="none"/>
                <w:u w:val="none" w:color="auto"/>
                <w:lang w:eastAsia="zh-CN"/>
              </w:rPr>
            </w:pPr>
            <w:r>
              <w:rPr>
                <w:rFonts w:hint="eastAsia"/>
                <w:color w:val="auto"/>
                <w:sz w:val="24"/>
                <w:highlight w:val="none"/>
                <w:u w:val="none" w:color="auto"/>
              </w:rPr>
              <w:t>10）当废气处理措施因设备或操作原因，造成废气未处理直接排放时，将对周围大气环境造成一定的污染影响，因此必须杜绝废气事故排放现象。在发生事故排放时，应马上停止生产线继续工作，直到废气处理设施能正常运营后才能恢复生产。因此建设单位在日常运行中，应加强对设备的维修管理，使其在良好情况下运行，严格按照规范操作，杜绝事故排放</w:t>
            </w:r>
            <w:r>
              <w:rPr>
                <w:rFonts w:hint="eastAsia"/>
                <w:color w:val="auto"/>
                <w:sz w:val="24"/>
                <w:highlight w:val="none"/>
                <w:u w:val="none" w:color="auto"/>
                <w:lang w:eastAsia="zh-CN"/>
              </w:rPr>
              <w:t>。</w:t>
            </w:r>
          </w:p>
          <w:p>
            <w:pPr>
              <w:widowControl/>
              <w:spacing w:line="360" w:lineRule="auto"/>
              <w:rPr>
                <w:b/>
                <w:bCs/>
                <w:color w:val="auto"/>
                <w:sz w:val="24"/>
                <w:szCs w:val="24"/>
                <w:highlight w:val="none"/>
                <w:u w:val="none" w:color="auto"/>
              </w:rPr>
            </w:pPr>
            <w:r>
              <w:rPr>
                <w:rFonts w:hint="eastAsia"/>
                <w:b/>
                <w:bCs/>
                <w:color w:val="auto"/>
                <w:sz w:val="24"/>
                <w:szCs w:val="24"/>
                <w:highlight w:val="none"/>
                <w:u w:val="none" w:color="auto"/>
                <w:lang w:val="en-US" w:eastAsia="zh-CN"/>
              </w:rPr>
              <w:t>7</w:t>
            </w:r>
            <w:r>
              <w:rPr>
                <w:rFonts w:hint="eastAsia"/>
                <w:b/>
                <w:bCs/>
                <w:color w:val="auto"/>
                <w:sz w:val="24"/>
                <w:szCs w:val="24"/>
                <w:highlight w:val="none"/>
                <w:u w:val="none" w:color="auto"/>
              </w:rPr>
              <w:t>、环保投资</w:t>
            </w:r>
          </w:p>
          <w:p>
            <w:pPr>
              <w:spacing w:line="360" w:lineRule="auto"/>
              <w:ind w:firstLine="480" w:firstLineChars="200"/>
              <w:rPr>
                <w:b/>
                <w:bCs/>
                <w:color w:val="auto"/>
                <w:sz w:val="21"/>
                <w:highlight w:val="none"/>
                <w:u w:val="none" w:color="auto"/>
              </w:rPr>
            </w:pPr>
            <w:r>
              <w:rPr>
                <w:rFonts w:ascii="Times New Roman" w:hAnsi="Times New Roman" w:eastAsia="宋体" w:cs="Times New Roman"/>
                <w:bCs/>
                <w:color w:val="auto"/>
                <w:kern w:val="0"/>
                <w:sz w:val="24"/>
                <w:szCs w:val="24"/>
                <w:highlight w:val="none"/>
                <w:u w:val="none" w:color="auto"/>
                <w:lang w:val="en-US" w:eastAsia="zh-CN" w:bidi="ar-SA"/>
              </w:rPr>
              <w:t>项目总投资</w:t>
            </w:r>
            <w:r>
              <w:rPr>
                <w:rFonts w:hint="eastAsia"/>
                <w:color w:val="auto"/>
                <w:kern w:val="0"/>
                <w:sz w:val="24"/>
                <w:szCs w:val="24"/>
                <w:highlight w:val="none"/>
                <w:u w:val="none" w:color="auto"/>
                <w:lang w:val="en-US" w:eastAsia="zh-CN"/>
              </w:rPr>
              <w:t>10000</w:t>
            </w:r>
            <w:r>
              <w:rPr>
                <w:rFonts w:ascii="Times New Roman" w:hAnsi="Times New Roman" w:eastAsia="宋体" w:cs="Times New Roman"/>
                <w:bCs/>
                <w:color w:val="auto"/>
                <w:kern w:val="0"/>
                <w:sz w:val="24"/>
                <w:szCs w:val="24"/>
                <w:highlight w:val="none"/>
                <w:u w:val="none" w:color="auto"/>
                <w:lang w:val="en-US" w:eastAsia="zh-CN" w:bidi="ar-SA"/>
              </w:rPr>
              <w:t>万元，资金全部由企业自筹；其中环保投资</w:t>
            </w:r>
            <w:r>
              <w:rPr>
                <w:rFonts w:hint="eastAsia" w:cs="Times New Roman"/>
                <w:bCs/>
                <w:color w:val="auto"/>
                <w:kern w:val="0"/>
                <w:sz w:val="24"/>
                <w:szCs w:val="24"/>
                <w:highlight w:val="none"/>
                <w:u w:val="none" w:color="auto"/>
                <w:lang w:val="en-US" w:eastAsia="zh-CN" w:bidi="ar-SA"/>
              </w:rPr>
              <w:t>111</w:t>
            </w:r>
            <w:r>
              <w:rPr>
                <w:rFonts w:ascii="Times New Roman" w:hAnsi="Times New Roman" w:eastAsia="宋体" w:cs="Times New Roman"/>
                <w:bCs/>
                <w:color w:val="auto"/>
                <w:kern w:val="0"/>
                <w:sz w:val="24"/>
                <w:szCs w:val="24"/>
                <w:highlight w:val="none"/>
                <w:u w:val="none" w:color="auto"/>
                <w:lang w:val="en-US" w:eastAsia="zh-CN" w:bidi="ar-SA"/>
              </w:rPr>
              <w:t>万元，环保投资占总投资的</w:t>
            </w:r>
            <w:r>
              <w:rPr>
                <w:rFonts w:hint="eastAsia" w:cs="Times New Roman"/>
                <w:bCs/>
                <w:color w:val="auto"/>
                <w:kern w:val="0"/>
                <w:sz w:val="24"/>
                <w:szCs w:val="24"/>
                <w:highlight w:val="none"/>
                <w:u w:val="none" w:color="auto"/>
                <w:lang w:val="en-US" w:eastAsia="zh-CN" w:bidi="ar-SA"/>
              </w:rPr>
              <w:t>1.11</w:t>
            </w:r>
            <w:r>
              <w:rPr>
                <w:rFonts w:ascii="Times New Roman" w:hAnsi="Times New Roman" w:eastAsia="宋体" w:cs="Times New Roman"/>
                <w:bCs/>
                <w:color w:val="auto"/>
                <w:kern w:val="0"/>
                <w:sz w:val="24"/>
                <w:szCs w:val="24"/>
                <w:highlight w:val="none"/>
                <w:u w:val="none" w:color="auto"/>
                <w:lang w:val="en-US" w:eastAsia="zh-CN" w:bidi="ar-SA"/>
              </w:rPr>
              <w:t>%。</w:t>
            </w:r>
            <w:r>
              <w:rPr>
                <w:color w:val="auto"/>
                <w:sz w:val="24"/>
                <w:szCs w:val="24"/>
                <w:highlight w:val="none"/>
                <w:u w:val="none" w:color="auto"/>
              </w:rPr>
              <w:t>项目环保投资分项估算见表</w:t>
            </w:r>
            <w:r>
              <w:rPr>
                <w:rFonts w:hint="eastAsia"/>
                <w:color w:val="auto"/>
                <w:sz w:val="24"/>
                <w:szCs w:val="24"/>
                <w:highlight w:val="none"/>
                <w:u w:val="none" w:color="auto"/>
                <w:lang w:val="en-US" w:eastAsia="zh-CN"/>
              </w:rPr>
              <w:t>4-15</w:t>
            </w:r>
            <w:r>
              <w:rPr>
                <w:rFonts w:hint="eastAsia"/>
                <w:color w:val="auto"/>
                <w:sz w:val="24"/>
                <w:szCs w:val="24"/>
                <w:highlight w:val="none"/>
                <w:u w:val="none" w:color="auto"/>
              </w:rPr>
              <w:t>。</w:t>
            </w:r>
          </w:p>
          <w:p>
            <w:pPr>
              <w:pStyle w:val="9"/>
              <w:adjustRightInd w:val="0"/>
              <w:snapToGrid w:val="0"/>
              <w:spacing w:after="0"/>
              <w:ind w:left="0" w:leftChars="0"/>
              <w:jc w:val="center"/>
              <w:rPr>
                <w:b/>
                <w:bCs/>
                <w:color w:val="auto"/>
                <w:sz w:val="21"/>
                <w:highlight w:val="none"/>
                <w:u w:val="none" w:color="auto"/>
              </w:rPr>
            </w:pPr>
            <w:r>
              <w:rPr>
                <w:b/>
                <w:bCs/>
                <w:color w:val="auto"/>
                <w:sz w:val="21"/>
                <w:highlight w:val="none"/>
                <w:u w:val="none" w:color="auto"/>
              </w:rPr>
              <w:t>表</w:t>
            </w:r>
            <w:r>
              <w:rPr>
                <w:rFonts w:hint="eastAsia"/>
                <w:b/>
                <w:bCs/>
                <w:color w:val="auto"/>
                <w:sz w:val="21"/>
                <w:highlight w:val="none"/>
                <w:u w:val="none" w:color="auto"/>
                <w:lang w:val="en-US" w:eastAsia="zh-CN"/>
              </w:rPr>
              <w:t>4-15</w:t>
            </w:r>
            <w:r>
              <w:rPr>
                <w:rFonts w:hint="eastAsia"/>
                <w:b/>
                <w:bCs/>
                <w:color w:val="auto"/>
                <w:sz w:val="21"/>
                <w:highlight w:val="none"/>
                <w:u w:val="none" w:color="auto"/>
              </w:rPr>
              <w:t xml:space="preserve"> </w:t>
            </w:r>
            <w:r>
              <w:rPr>
                <w:b/>
                <w:bCs/>
                <w:color w:val="auto"/>
                <w:sz w:val="21"/>
                <w:highlight w:val="none"/>
                <w:u w:val="none" w:color="auto"/>
              </w:rPr>
              <w:t xml:space="preserve">  项目环保投资一览表  单位：万元</w:t>
            </w:r>
          </w:p>
          <w:tbl>
            <w:tblPr>
              <w:tblStyle w:val="26"/>
              <w:tblW w:w="8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65"/>
              <w:gridCol w:w="2339"/>
              <w:gridCol w:w="2577"/>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5" w:type="dxa"/>
                  <w:gridSpan w:val="2"/>
                  <w:noWrap w:val="0"/>
                  <w:vAlign w:val="center"/>
                </w:tcPr>
                <w:p>
                  <w:pPr>
                    <w:adjustRightInd w:val="0"/>
                    <w:snapToGrid w:val="0"/>
                    <w:spacing w:before="78" w:beforeLines="25" w:after="78" w:afterLines="25"/>
                    <w:jc w:val="center"/>
                    <w:rPr>
                      <w:color w:val="auto"/>
                      <w:highlight w:val="none"/>
                      <w:u w:val="none" w:color="auto"/>
                    </w:rPr>
                  </w:pPr>
                  <w:r>
                    <w:rPr>
                      <w:color w:val="auto"/>
                      <w:highlight w:val="none"/>
                      <w:u w:val="none" w:color="auto"/>
                    </w:rPr>
                    <w:t>项目</w:t>
                  </w:r>
                </w:p>
              </w:tc>
              <w:tc>
                <w:tcPr>
                  <w:tcW w:w="2339" w:type="dxa"/>
                  <w:noWrap w:val="0"/>
                  <w:vAlign w:val="center"/>
                </w:tcPr>
                <w:p>
                  <w:pPr>
                    <w:adjustRightInd w:val="0"/>
                    <w:snapToGrid w:val="0"/>
                    <w:spacing w:before="78" w:beforeLines="25" w:after="78" w:afterLines="25"/>
                    <w:jc w:val="center"/>
                    <w:rPr>
                      <w:color w:val="auto"/>
                      <w:highlight w:val="none"/>
                      <w:u w:val="none" w:color="auto"/>
                    </w:rPr>
                  </w:pPr>
                  <w:r>
                    <w:rPr>
                      <w:color w:val="auto"/>
                      <w:highlight w:val="none"/>
                      <w:u w:val="none" w:color="auto"/>
                    </w:rPr>
                    <w:t>污染源</w:t>
                  </w:r>
                </w:p>
              </w:tc>
              <w:tc>
                <w:tcPr>
                  <w:tcW w:w="2577" w:type="dxa"/>
                  <w:noWrap w:val="0"/>
                  <w:vAlign w:val="center"/>
                </w:tcPr>
                <w:p>
                  <w:pPr>
                    <w:adjustRightInd w:val="0"/>
                    <w:snapToGrid w:val="0"/>
                    <w:spacing w:before="78" w:beforeLines="25" w:after="78" w:afterLines="25"/>
                    <w:jc w:val="center"/>
                    <w:rPr>
                      <w:color w:val="auto"/>
                      <w:highlight w:val="none"/>
                      <w:u w:val="none" w:color="auto"/>
                    </w:rPr>
                  </w:pPr>
                  <w:r>
                    <w:rPr>
                      <w:color w:val="auto"/>
                      <w:highlight w:val="none"/>
                      <w:u w:val="none" w:color="auto"/>
                    </w:rPr>
                    <w:t>污染处理措施</w:t>
                  </w:r>
                </w:p>
              </w:tc>
              <w:tc>
                <w:tcPr>
                  <w:tcW w:w="997" w:type="dxa"/>
                  <w:noWrap w:val="0"/>
                  <w:vAlign w:val="center"/>
                </w:tcPr>
                <w:p>
                  <w:pPr>
                    <w:adjustRightInd w:val="0"/>
                    <w:snapToGrid w:val="0"/>
                    <w:spacing w:before="78" w:beforeLines="25" w:after="78" w:afterLines="25"/>
                    <w:jc w:val="center"/>
                    <w:rPr>
                      <w:color w:val="auto"/>
                      <w:highlight w:val="none"/>
                      <w:u w:val="none" w:color="auto"/>
                    </w:rPr>
                  </w:pPr>
                  <w:r>
                    <w:rPr>
                      <w:color w:val="auto"/>
                      <w:highlight w:val="none"/>
                      <w:u w:val="none" w:color="auto"/>
                    </w:rPr>
                    <w:t>投资额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0" w:type="dxa"/>
                  <w:vMerge w:val="restart"/>
                  <w:noWrap w:val="0"/>
                  <w:vAlign w:val="center"/>
                </w:tcPr>
                <w:p>
                  <w:pPr>
                    <w:adjustRightInd w:val="0"/>
                    <w:snapToGrid w:val="0"/>
                    <w:spacing w:before="78" w:beforeLines="25" w:after="78" w:afterLines="25"/>
                    <w:jc w:val="center"/>
                    <w:rPr>
                      <w:color w:val="auto"/>
                      <w:highlight w:val="none"/>
                      <w:u w:val="none" w:color="auto"/>
                    </w:rPr>
                  </w:pPr>
                  <w:r>
                    <w:rPr>
                      <w:color w:val="auto"/>
                      <w:highlight w:val="none"/>
                      <w:u w:val="none" w:color="auto"/>
                    </w:rPr>
                    <w:t>营运期</w:t>
                  </w:r>
                </w:p>
              </w:tc>
              <w:tc>
                <w:tcPr>
                  <w:tcW w:w="1365" w:type="dxa"/>
                  <w:vMerge w:val="restart"/>
                  <w:noWrap w:val="0"/>
                  <w:vAlign w:val="center"/>
                </w:tcPr>
                <w:p>
                  <w:pPr>
                    <w:adjustRightInd w:val="0"/>
                    <w:snapToGrid w:val="0"/>
                    <w:spacing w:before="78" w:beforeLines="25" w:after="78" w:afterLines="25"/>
                    <w:jc w:val="center"/>
                    <w:rPr>
                      <w:color w:val="auto"/>
                      <w:highlight w:val="none"/>
                      <w:u w:val="none" w:color="auto"/>
                    </w:rPr>
                  </w:pPr>
                  <w:r>
                    <w:rPr>
                      <w:color w:val="auto"/>
                      <w:highlight w:val="none"/>
                      <w:u w:val="none" w:color="auto"/>
                    </w:rPr>
                    <w:t>废气处理</w:t>
                  </w:r>
                </w:p>
              </w:tc>
              <w:tc>
                <w:tcPr>
                  <w:tcW w:w="2339" w:type="dxa"/>
                  <w:noWrap w:val="0"/>
                  <w:vAlign w:val="center"/>
                </w:tcPr>
                <w:p>
                  <w:pPr>
                    <w:adjustRightInd w:val="0"/>
                    <w:snapToGrid w:val="0"/>
                    <w:spacing w:before="78" w:beforeLines="25" w:after="78" w:afterLines="25"/>
                    <w:jc w:val="center"/>
                    <w:rPr>
                      <w:rFonts w:hint="default" w:ascii="Times New Roman" w:hAnsi="Times New Roman" w:cs="Times New Roman"/>
                      <w:color w:val="auto"/>
                      <w:highlight w:val="none"/>
                      <w:u w:val="none" w:color="auto"/>
                      <w:lang w:val="en-US" w:eastAsia="zh-CN"/>
                    </w:rPr>
                  </w:pPr>
                  <w:r>
                    <w:rPr>
                      <w:rFonts w:hint="eastAsia" w:cs="Times New Roman"/>
                      <w:color w:val="auto"/>
                      <w:highlight w:val="none"/>
                      <w:u w:val="none" w:color="auto"/>
                      <w:lang w:val="en-US" w:eastAsia="zh-CN"/>
                    </w:rPr>
                    <w:t>点胶废气</w:t>
                  </w:r>
                </w:p>
              </w:tc>
              <w:tc>
                <w:tcPr>
                  <w:tcW w:w="2577" w:type="dxa"/>
                  <w:vMerge w:val="restart"/>
                  <w:noWrap w:val="0"/>
                  <w:vAlign w:val="center"/>
                </w:tcPr>
                <w:p>
                  <w:pPr>
                    <w:adjustRightInd w:val="0"/>
                    <w:snapToGrid w:val="0"/>
                    <w:spacing w:before="78" w:beforeLines="25" w:after="78" w:afterLines="25"/>
                    <w:jc w:val="center"/>
                    <w:rPr>
                      <w:rFonts w:hint="default" w:ascii="Times New Roman" w:hAnsi="Times New Roman" w:cs="Times New Roman"/>
                      <w:color w:val="auto"/>
                      <w:highlight w:val="none"/>
                      <w:u w:val="none" w:color="auto"/>
                      <w:lang w:val="en-US" w:eastAsia="zh-CN"/>
                    </w:rPr>
                  </w:pPr>
                  <w:r>
                    <w:rPr>
                      <w:rFonts w:hint="eastAsia" w:cs="Times New Roman"/>
                      <w:color w:val="auto"/>
                      <w:highlight w:val="none"/>
                      <w:u w:val="none" w:color="auto"/>
                      <w:lang w:val="en-US" w:eastAsia="zh-CN"/>
                    </w:rPr>
                    <w:t>点胶废气、含浸废气及焊锡废气采用集气罩收集，隧道炉产生的烘干废气采用设备排口直连收集，上述废气一同汇入一套二级活性炭吸附装置+楼顶高空排气筒排放</w:t>
                  </w:r>
                </w:p>
              </w:tc>
              <w:tc>
                <w:tcPr>
                  <w:tcW w:w="997" w:type="dxa"/>
                  <w:vMerge w:val="restart"/>
                  <w:noWrap w:val="0"/>
                  <w:vAlign w:val="center"/>
                </w:tcPr>
                <w:p>
                  <w:pPr>
                    <w:adjustRightInd w:val="0"/>
                    <w:snapToGrid w:val="0"/>
                    <w:spacing w:before="78" w:beforeLines="25" w:after="78" w:afterLines="25"/>
                    <w:jc w:val="center"/>
                    <w:rPr>
                      <w:rFonts w:hint="default" w:ascii="Times New Roman" w:hAnsi="Times New Roman" w:cs="Times New Roman"/>
                      <w:color w:val="auto"/>
                      <w:highlight w:val="none"/>
                      <w:u w:val="none" w:color="auto"/>
                      <w:lang w:val="en-US" w:eastAsia="zh-CN"/>
                    </w:rPr>
                  </w:pPr>
                  <w:r>
                    <w:rPr>
                      <w:rFonts w:hint="eastAsia" w:cs="Times New Roman"/>
                      <w:color w:val="auto"/>
                      <w:highlight w:val="none"/>
                      <w:u w:val="none" w:color="auto"/>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2339" w:type="dxa"/>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r>
                    <w:rPr>
                      <w:rFonts w:hint="eastAsia"/>
                      <w:color w:val="auto"/>
                      <w:highlight w:val="none"/>
                      <w:u w:val="none" w:color="auto"/>
                      <w:lang w:val="en-US" w:eastAsia="zh-CN"/>
                    </w:rPr>
                    <w:t>含浸烘干废气</w:t>
                  </w:r>
                </w:p>
              </w:tc>
              <w:tc>
                <w:tcPr>
                  <w:tcW w:w="2577" w:type="dxa"/>
                  <w:vMerge w:val="continue"/>
                  <w:noWrap w:val="0"/>
                  <w:vAlign w:val="center"/>
                </w:tcPr>
                <w:p>
                  <w:pPr>
                    <w:adjustRightInd w:val="0"/>
                    <w:snapToGrid w:val="0"/>
                    <w:spacing w:before="78" w:beforeLines="25" w:after="78" w:afterLines="25"/>
                    <w:jc w:val="center"/>
                    <w:rPr>
                      <w:rFonts w:hint="default"/>
                      <w:color w:val="auto"/>
                      <w:highlight w:val="none"/>
                      <w:u w:val="none" w:color="auto"/>
                      <w:lang w:val="en-US"/>
                    </w:rPr>
                  </w:pPr>
                </w:p>
              </w:tc>
              <w:tc>
                <w:tcPr>
                  <w:tcW w:w="997" w:type="dxa"/>
                  <w:vMerge w:val="continue"/>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2339" w:type="dxa"/>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r>
                    <w:rPr>
                      <w:rFonts w:hint="eastAsia"/>
                      <w:color w:val="auto"/>
                      <w:highlight w:val="none"/>
                      <w:u w:val="none" w:color="auto"/>
                      <w:lang w:val="en-US" w:eastAsia="zh-CN"/>
                    </w:rPr>
                    <w:t>焊锡废气</w:t>
                  </w:r>
                </w:p>
              </w:tc>
              <w:tc>
                <w:tcPr>
                  <w:tcW w:w="2577" w:type="dxa"/>
                  <w:vMerge w:val="continue"/>
                  <w:noWrap w:val="0"/>
                  <w:vAlign w:val="center"/>
                </w:tcPr>
                <w:p>
                  <w:pPr>
                    <w:adjustRightInd w:val="0"/>
                    <w:snapToGrid w:val="0"/>
                    <w:spacing w:before="78" w:beforeLines="25" w:after="78" w:afterLines="25"/>
                    <w:jc w:val="center"/>
                    <w:rPr>
                      <w:rFonts w:hint="default" w:cs="Times New Roman"/>
                      <w:color w:val="auto"/>
                      <w:szCs w:val="21"/>
                      <w:highlight w:val="none"/>
                      <w:u w:val="none" w:color="auto"/>
                      <w:lang w:val="en-US" w:eastAsia="zh-CN"/>
                    </w:rPr>
                  </w:pPr>
                </w:p>
              </w:tc>
              <w:tc>
                <w:tcPr>
                  <w:tcW w:w="997" w:type="dxa"/>
                  <w:vMerge w:val="continue"/>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2339" w:type="dxa"/>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r>
                    <w:rPr>
                      <w:rFonts w:hint="eastAsia"/>
                      <w:color w:val="auto"/>
                      <w:highlight w:val="none"/>
                      <w:u w:val="none" w:color="auto"/>
                      <w:lang w:val="en-US" w:eastAsia="zh-CN"/>
                    </w:rPr>
                    <w:t>异味</w:t>
                  </w:r>
                </w:p>
              </w:tc>
              <w:tc>
                <w:tcPr>
                  <w:tcW w:w="2577" w:type="dxa"/>
                  <w:noWrap w:val="0"/>
                  <w:vAlign w:val="center"/>
                </w:tcPr>
                <w:p>
                  <w:pPr>
                    <w:adjustRightInd w:val="0"/>
                    <w:snapToGrid w:val="0"/>
                    <w:spacing w:before="78" w:beforeLines="25" w:after="78" w:afterLines="25"/>
                    <w:jc w:val="center"/>
                    <w:rPr>
                      <w:rFonts w:hint="default"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厂区通风</w:t>
                  </w:r>
                </w:p>
              </w:tc>
              <w:tc>
                <w:tcPr>
                  <w:tcW w:w="997" w:type="dxa"/>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r>
                    <w:rPr>
                      <w:rFonts w:hint="eastAsia"/>
                      <w:color w:val="auto"/>
                      <w:highlight w:val="none"/>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noWrap w:val="0"/>
                  <w:vAlign w:val="center"/>
                </w:tcPr>
                <w:p>
                  <w:pPr>
                    <w:adjustRightInd w:val="0"/>
                    <w:snapToGrid w:val="0"/>
                    <w:spacing w:before="78" w:beforeLines="25" w:after="78" w:afterLines="25"/>
                    <w:jc w:val="center"/>
                    <w:rPr>
                      <w:color w:val="auto"/>
                      <w:highlight w:val="none"/>
                      <w:u w:val="none" w:color="auto"/>
                    </w:rPr>
                  </w:pPr>
                  <w:r>
                    <w:rPr>
                      <w:color w:val="auto"/>
                      <w:highlight w:val="none"/>
                      <w:u w:val="none" w:color="auto"/>
                    </w:rPr>
                    <w:t>废水处理</w:t>
                  </w:r>
                </w:p>
              </w:tc>
              <w:tc>
                <w:tcPr>
                  <w:tcW w:w="2339" w:type="dxa"/>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r>
                    <w:rPr>
                      <w:rFonts w:hint="eastAsia"/>
                      <w:color w:val="auto"/>
                      <w:highlight w:val="none"/>
                      <w:u w:val="none" w:color="auto"/>
                      <w:lang w:val="en-US" w:eastAsia="zh-CN"/>
                    </w:rPr>
                    <w:t>生活污水</w:t>
                  </w:r>
                </w:p>
              </w:tc>
              <w:tc>
                <w:tcPr>
                  <w:tcW w:w="2577" w:type="dxa"/>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r>
                    <w:rPr>
                      <w:rFonts w:hint="eastAsia"/>
                      <w:color w:val="auto"/>
                      <w:highlight w:val="none"/>
                      <w:u w:val="none" w:color="auto"/>
                      <w:lang w:val="en-US" w:eastAsia="zh-CN"/>
                    </w:rPr>
                    <w:t>化粪池</w:t>
                  </w:r>
                </w:p>
              </w:tc>
              <w:tc>
                <w:tcPr>
                  <w:tcW w:w="997" w:type="dxa"/>
                  <w:noWrap w:val="0"/>
                  <w:vAlign w:val="center"/>
                </w:tcPr>
                <w:p>
                  <w:pPr>
                    <w:adjustRightInd w:val="0"/>
                    <w:snapToGrid w:val="0"/>
                    <w:spacing w:before="78" w:beforeLines="25" w:after="78" w:afterLines="25"/>
                    <w:jc w:val="center"/>
                    <w:rPr>
                      <w:rFonts w:hint="default"/>
                      <w:color w:val="auto"/>
                      <w:highlight w:val="none"/>
                      <w:u w:val="none" w:color="auto"/>
                      <w:lang w:val="en-US" w:eastAsia="zh-CN"/>
                    </w:rPr>
                  </w:pPr>
                  <w:r>
                    <w:rPr>
                      <w:rFonts w:hint="eastAsia"/>
                      <w:color w:val="auto"/>
                      <w:highlight w:val="none"/>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noWrap w:val="0"/>
                  <w:vAlign w:val="center"/>
                </w:tcPr>
                <w:p>
                  <w:pPr>
                    <w:adjustRightInd w:val="0"/>
                    <w:snapToGrid w:val="0"/>
                    <w:spacing w:before="78" w:beforeLines="25" w:after="78" w:afterLines="25"/>
                    <w:jc w:val="center"/>
                    <w:rPr>
                      <w:rFonts w:hint="default" w:ascii="Times New Roman" w:hAnsi="Times New Roman" w:cs="Times New Roman"/>
                      <w:color w:val="auto"/>
                      <w:highlight w:val="none"/>
                      <w:u w:val="none" w:color="auto"/>
                      <w:lang w:eastAsia="zh-CN"/>
                    </w:rPr>
                  </w:pPr>
                  <w:r>
                    <w:rPr>
                      <w:rFonts w:hint="default" w:ascii="Times New Roman" w:hAnsi="Times New Roman" w:cs="Times New Roman"/>
                      <w:color w:val="auto"/>
                      <w:highlight w:val="none"/>
                      <w:u w:val="none" w:color="auto"/>
                      <w:lang w:eastAsia="zh-CN"/>
                    </w:rPr>
                    <w:t>噪声</w:t>
                  </w:r>
                </w:p>
              </w:tc>
              <w:tc>
                <w:tcPr>
                  <w:tcW w:w="2339" w:type="dxa"/>
                  <w:noWrap w:val="0"/>
                  <w:vAlign w:val="center"/>
                </w:tcPr>
                <w:p>
                  <w:pPr>
                    <w:adjustRightInd w:val="0"/>
                    <w:snapToGrid w:val="0"/>
                    <w:spacing w:before="78" w:beforeLines="25" w:after="78" w:afterLines="25"/>
                    <w:jc w:val="center"/>
                    <w:rPr>
                      <w:rFonts w:hint="default" w:ascii="Times New Roman" w:hAnsi="Times New Roman" w:cs="Times New Roman"/>
                      <w:color w:val="auto"/>
                      <w:highlight w:val="none"/>
                      <w:u w:val="none" w:color="auto"/>
                      <w:lang w:val="en-US" w:eastAsia="zh-CN"/>
                    </w:rPr>
                  </w:pPr>
                  <w:r>
                    <w:rPr>
                      <w:rFonts w:hint="eastAsia" w:cs="Times New Roman"/>
                      <w:color w:val="auto"/>
                      <w:highlight w:val="none"/>
                      <w:u w:val="none" w:color="auto"/>
                      <w:lang w:val="en-US" w:eastAsia="zh-CN"/>
                    </w:rPr>
                    <w:t>设备噪声</w:t>
                  </w:r>
                </w:p>
              </w:tc>
              <w:tc>
                <w:tcPr>
                  <w:tcW w:w="2577" w:type="dxa"/>
                  <w:noWrap w:val="0"/>
                  <w:vAlign w:val="center"/>
                </w:tcPr>
                <w:p>
                  <w:pPr>
                    <w:adjustRightInd w:val="0"/>
                    <w:snapToGrid w:val="0"/>
                    <w:spacing w:before="78" w:beforeLines="25" w:after="78" w:afterLines="25"/>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采用低噪声设备，设备安装基础采用减震措施；生产厂房修建全封闭式，采用墙体隔声降噪；合理平面布局</w:t>
                  </w:r>
                </w:p>
              </w:tc>
              <w:tc>
                <w:tcPr>
                  <w:tcW w:w="997" w:type="dxa"/>
                  <w:noWrap w:val="0"/>
                  <w:vAlign w:val="center"/>
                </w:tcPr>
                <w:p>
                  <w:pPr>
                    <w:adjustRightInd w:val="0"/>
                    <w:snapToGrid w:val="0"/>
                    <w:spacing w:before="78" w:beforeLines="25" w:after="78" w:afterLines="25"/>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vMerge w:val="restart"/>
                  <w:noWrap w:val="0"/>
                  <w:vAlign w:val="center"/>
                </w:tcPr>
                <w:p>
                  <w:pPr>
                    <w:spacing w:line="240" w:lineRule="auto"/>
                    <w:jc w:val="center"/>
                    <w:textAlignment w:val="center"/>
                    <w:rPr>
                      <w:rFonts w:hint="eastAsia"/>
                      <w:color w:val="auto"/>
                      <w:highlight w:val="none"/>
                      <w:u w:val="none" w:color="auto"/>
                      <w:lang w:val="en-US" w:eastAsia="zh-CN"/>
                    </w:rPr>
                  </w:pPr>
                  <w:r>
                    <w:rPr>
                      <w:rFonts w:hint="eastAsia"/>
                      <w:color w:val="auto"/>
                      <w:highlight w:val="none"/>
                      <w:u w:val="none" w:color="auto"/>
                      <w:lang w:val="en-US" w:eastAsia="zh-CN"/>
                    </w:rPr>
                    <w:t>固体废弃物</w:t>
                  </w:r>
                </w:p>
              </w:tc>
              <w:tc>
                <w:tcPr>
                  <w:tcW w:w="2339" w:type="dxa"/>
                  <w:noWrap w:val="0"/>
                  <w:vAlign w:val="center"/>
                </w:tcPr>
                <w:p>
                  <w:pPr>
                    <w:spacing w:line="240" w:lineRule="auto"/>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生活垃圾</w:t>
                  </w:r>
                </w:p>
              </w:tc>
              <w:tc>
                <w:tcPr>
                  <w:tcW w:w="2577" w:type="dxa"/>
                  <w:noWrap w:val="0"/>
                  <w:vAlign w:val="center"/>
                </w:tcPr>
                <w:p>
                  <w:pPr>
                    <w:spacing w:line="240" w:lineRule="auto"/>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垃圾桶若干</w:t>
                  </w:r>
                </w:p>
              </w:tc>
              <w:tc>
                <w:tcPr>
                  <w:tcW w:w="997" w:type="dxa"/>
                  <w:noWrap w:val="0"/>
                  <w:vAlign w:val="center"/>
                </w:tcPr>
                <w:p>
                  <w:pPr>
                    <w:spacing w:line="240" w:lineRule="auto"/>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vMerge w:val="continue"/>
                  <w:noWrap w:val="0"/>
                  <w:vAlign w:val="center"/>
                </w:tcPr>
                <w:p>
                  <w:pPr>
                    <w:spacing w:line="240" w:lineRule="auto"/>
                    <w:jc w:val="center"/>
                    <w:textAlignment w:val="center"/>
                    <w:rPr>
                      <w:rFonts w:hint="eastAsia"/>
                      <w:color w:val="auto"/>
                      <w:highlight w:val="none"/>
                      <w:u w:val="none" w:color="auto"/>
                      <w:lang w:val="en-US" w:eastAsia="zh-CN"/>
                    </w:rPr>
                  </w:pPr>
                </w:p>
              </w:tc>
              <w:tc>
                <w:tcPr>
                  <w:tcW w:w="2339" w:type="dxa"/>
                  <w:noWrap w:val="0"/>
                  <w:vAlign w:val="center"/>
                </w:tcPr>
                <w:p>
                  <w:pPr>
                    <w:spacing w:line="240" w:lineRule="auto"/>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一般固废</w:t>
                  </w:r>
                </w:p>
              </w:tc>
              <w:tc>
                <w:tcPr>
                  <w:tcW w:w="2577" w:type="dxa"/>
                  <w:noWrap w:val="0"/>
                  <w:vAlign w:val="center"/>
                </w:tcPr>
                <w:p>
                  <w:pPr>
                    <w:spacing w:line="240" w:lineRule="auto"/>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设置一般固废暂存间，面积5m</w:t>
                  </w:r>
                  <w:r>
                    <w:rPr>
                      <w:rFonts w:hint="eastAsia"/>
                      <w:color w:val="auto"/>
                      <w:highlight w:val="none"/>
                      <w:u w:val="none" w:color="auto"/>
                      <w:vertAlign w:val="superscript"/>
                      <w:lang w:val="en-US" w:eastAsia="zh-CN"/>
                    </w:rPr>
                    <w:t>2</w:t>
                  </w:r>
                  <w:r>
                    <w:rPr>
                      <w:rFonts w:hint="eastAsia"/>
                      <w:color w:val="auto"/>
                      <w:highlight w:val="none"/>
                      <w:u w:val="none" w:color="auto"/>
                      <w:lang w:val="en-US" w:eastAsia="zh-CN"/>
                    </w:rPr>
                    <w:t>，地面采用一般防渗处理，张贴标识标牌及相关警示标语</w:t>
                  </w:r>
                </w:p>
              </w:tc>
              <w:tc>
                <w:tcPr>
                  <w:tcW w:w="997" w:type="dxa"/>
                  <w:noWrap w:val="0"/>
                  <w:vAlign w:val="center"/>
                </w:tcPr>
                <w:p>
                  <w:pPr>
                    <w:spacing w:line="240" w:lineRule="auto"/>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20" w:type="dxa"/>
                  <w:vMerge w:val="continue"/>
                  <w:noWrap w:val="0"/>
                  <w:vAlign w:val="center"/>
                </w:tcPr>
                <w:p>
                  <w:pPr>
                    <w:adjustRightInd w:val="0"/>
                    <w:snapToGrid w:val="0"/>
                    <w:spacing w:before="78" w:beforeLines="25" w:after="78" w:afterLines="25"/>
                    <w:jc w:val="center"/>
                    <w:rPr>
                      <w:color w:val="auto"/>
                      <w:highlight w:val="none"/>
                      <w:u w:val="none" w:color="auto"/>
                    </w:rPr>
                  </w:pPr>
                </w:p>
              </w:tc>
              <w:tc>
                <w:tcPr>
                  <w:tcW w:w="1365" w:type="dxa"/>
                  <w:vMerge w:val="continue"/>
                  <w:noWrap w:val="0"/>
                  <w:vAlign w:val="center"/>
                </w:tcPr>
                <w:p>
                  <w:pPr>
                    <w:spacing w:line="240" w:lineRule="auto"/>
                    <w:jc w:val="center"/>
                    <w:textAlignment w:val="center"/>
                    <w:rPr>
                      <w:rFonts w:hint="eastAsia"/>
                      <w:color w:val="auto"/>
                      <w:highlight w:val="none"/>
                      <w:u w:val="none" w:color="auto"/>
                      <w:lang w:val="en-US" w:eastAsia="zh-CN"/>
                    </w:rPr>
                  </w:pPr>
                </w:p>
              </w:tc>
              <w:tc>
                <w:tcPr>
                  <w:tcW w:w="2339" w:type="dxa"/>
                  <w:noWrap w:val="0"/>
                  <w:vAlign w:val="center"/>
                </w:tcPr>
                <w:p>
                  <w:pPr>
                    <w:spacing w:line="240" w:lineRule="auto"/>
                    <w:jc w:val="center"/>
                    <w:textAlignment w:val="center"/>
                    <w:rPr>
                      <w:rFonts w:hint="eastAsia"/>
                      <w:color w:val="auto"/>
                      <w:highlight w:val="none"/>
                      <w:u w:val="none" w:color="auto"/>
                      <w:lang w:val="en-US" w:eastAsia="zh-CN"/>
                    </w:rPr>
                  </w:pPr>
                  <w:r>
                    <w:rPr>
                      <w:rFonts w:hint="eastAsia"/>
                      <w:color w:val="auto"/>
                      <w:highlight w:val="none"/>
                      <w:u w:val="none" w:color="auto"/>
                      <w:lang w:val="en-US" w:eastAsia="zh-CN"/>
                    </w:rPr>
                    <w:t>废机油、废活性炭、</w:t>
                  </w:r>
                  <w:r>
                    <w:rPr>
                      <w:rFonts w:hint="eastAsia" w:ascii="Times New Roman" w:hAnsi="Times New Roman" w:eastAsia="宋体" w:cs="Times New Roman"/>
                      <w:color w:val="auto"/>
                      <w:highlight w:val="none"/>
                      <w:u w:val="none" w:color="auto"/>
                    </w:rPr>
                    <w:t>废</w:t>
                  </w:r>
                  <w:r>
                    <w:rPr>
                      <w:rFonts w:hint="eastAsia" w:ascii="Times New Roman" w:hAnsi="Times New Roman" w:eastAsia="宋体" w:cs="Times New Roman"/>
                      <w:color w:val="auto"/>
                      <w:highlight w:val="none"/>
                      <w:u w:val="none" w:color="auto"/>
                      <w:lang w:val="en-US" w:eastAsia="zh-CN"/>
                    </w:rPr>
                    <w:t>有机</w:t>
                  </w:r>
                  <w:r>
                    <w:rPr>
                      <w:rFonts w:hint="eastAsia" w:ascii="Times New Roman" w:hAnsi="Times New Roman" w:eastAsia="宋体" w:cs="Times New Roman"/>
                      <w:color w:val="auto"/>
                      <w:highlight w:val="none"/>
                      <w:u w:val="none" w:color="auto"/>
                    </w:rPr>
                    <w:t>溶剂包装桶</w:t>
                  </w:r>
                </w:p>
              </w:tc>
              <w:tc>
                <w:tcPr>
                  <w:tcW w:w="2577" w:type="dxa"/>
                  <w:noWrap w:val="0"/>
                  <w:vAlign w:val="center"/>
                </w:tcPr>
                <w:p>
                  <w:pPr>
                    <w:spacing w:line="240" w:lineRule="auto"/>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设置危废暂存间（5m</w:t>
                  </w:r>
                  <w:r>
                    <w:rPr>
                      <w:rFonts w:hint="eastAsia"/>
                      <w:color w:val="auto"/>
                      <w:highlight w:val="none"/>
                      <w:u w:val="none" w:color="auto"/>
                      <w:vertAlign w:val="superscript"/>
                      <w:lang w:val="en-US" w:eastAsia="zh-CN"/>
                    </w:rPr>
                    <w:t>2</w:t>
                  </w:r>
                  <w:r>
                    <w:rPr>
                      <w:rFonts w:hint="eastAsia"/>
                      <w:color w:val="auto"/>
                      <w:highlight w:val="none"/>
                      <w:u w:val="none" w:color="auto"/>
                      <w:lang w:val="en-US" w:eastAsia="zh-CN"/>
                    </w:rPr>
                    <w:t>），地面及墙裙采用重点防渗处理；危废分类收集、暂存；张贴危废暂存间标志牌、相关警示标语</w:t>
                  </w:r>
                </w:p>
              </w:tc>
              <w:tc>
                <w:tcPr>
                  <w:tcW w:w="997" w:type="dxa"/>
                  <w:noWrap w:val="0"/>
                  <w:vAlign w:val="center"/>
                </w:tcPr>
                <w:p>
                  <w:pPr>
                    <w:spacing w:line="240" w:lineRule="auto"/>
                    <w:jc w:val="center"/>
                    <w:textAlignment w:val="center"/>
                    <w:rPr>
                      <w:rFonts w:hint="eastAsia"/>
                      <w:color w:val="auto"/>
                      <w:highlight w:val="none"/>
                      <w:u w:val="none" w:color="auto"/>
                      <w:lang w:val="en-US" w:eastAsia="zh-CN"/>
                    </w:rPr>
                  </w:pPr>
                  <w:r>
                    <w:rPr>
                      <w:rFonts w:hint="eastAsia"/>
                      <w:color w:val="auto"/>
                      <w:highlight w:val="none"/>
                      <w:u w:val="none" w:color="auto"/>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24" w:type="dxa"/>
                  <w:gridSpan w:val="3"/>
                  <w:noWrap w:val="0"/>
                  <w:vAlign w:val="center"/>
                </w:tcPr>
                <w:p>
                  <w:pPr>
                    <w:jc w:val="center"/>
                    <w:textAlignment w:val="center"/>
                    <w:rPr>
                      <w:rFonts w:hint="eastAsia"/>
                      <w:color w:val="auto"/>
                      <w:highlight w:val="none"/>
                      <w:u w:val="none" w:color="auto"/>
                      <w:lang w:val="en-US" w:eastAsia="zh-CN"/>
                    </w:rPr>
                  </w:pPr>
                  <w:r>
                    <w:rPr>
                      <w:rFonts w:hint="eastAsia"/>
                      <w:color w:val="auto"/>
                      <w:highlight w:val="none"/>
                      <w:u w:val="none" w:color="auto"/>
                      <w:lang w:val="en-US" w:eastAsia="zh-CN"/>
                    </w:rPr>
                    <w:t>合计</w:t>
                  </w:r>
                </w:p>
              </w:tc>
              <w:tc>
                <w:tcPr>
                  <w:tcW w:w="2577" w:type="dxa"/>
                  <w:noWrap w:val="0"/>
                  <w:vAlign w:val="center"/>
                </w:tcPr>
                <w:p>
                  <w:pPr>
                    <w:jc w:val="center"/>
                    <w:textAlignment w:val="center"/>
                    <w:rPr>
                      <w:rFonts w:hint="eastAsia"/>
                      <w:color w:val="auto"/>
                      <w:highlight w:val="none"/>
                      <w:u w:val="none" w:color="auto"/>
                      <w:lang w:val="en-US" w:eastAsia="zh-CN"/>
                    </w:rPr>
                  </w:pPr>
                  <w:r>
                    <w:rPr>
                      <w:rFonts w:hint="eastAsia"/>
                      <w:color w:val="auto"/>
                      <w:highlight w:val="none"/>
                      <w:u w:val="none" w:color="auto"/>
                      <w:lang w:val="en-US" w:eastAsia="zh-CN"/>
                    </w:rPr>
                    <w:t>/</w:t>
                  </w:r>
                </w:p>
              </w:tc>
              <w:tc>
                <w:tcPr>
                  <w:tcW w:w="997" w:type="dxa"/>
                  <w:noWrap w:val="0"/>
                  <w:vAlign w:val="center"/>
                </w:tcPr>
                <w:p>
                  <w:pPr>
                    <w:jc w:val="center"/>
                    <w:textAlignment w:val="center"/>
                    <w:rPr>
                      <w:rFonts w:hint="default"/>
                      <w:color w:val="auto"/>
                      <w:highlight w:val="none"/>
                      <w:u w:val="none" w:color="auto"/>
                      <w:lang w:val="en-US" w:eastAsia="zh-CN"/>
                    </w:rPr>
                  </w:pPr>
                  <w:r>
                    <w:rPr>
                      <w:rFonts w:hint="eastAsia"/>
                      <w:color w:val="auto"/>
                      <w:highlight w:val="none"/>
                      <w:u w:val="none" w:color="auto"/>
                      <w:lang w:val="en-US" w:eastAsia="zh-CN"/>
                    </w:rPr>
                    <w:t>111</w:t>
                  </w:r>
                </w:p>
              </w:tc>
            </w:tr>
          </w:tbl>
          <w:p>
            <w:pPr>
              <w:spacing w:line="360" w:lineRule="auto"/>
              <w:rPr>
                <w:color w:val="auto"/>
                <w:kern w:val="0"/>
                <w:sz w:val="24"/>
                <w:szCs w:val="24"/>
                <w:highlight w:val="none"/>
                <w:u w:val="none" w:color="auto"/>
              </w:rPr>
            </w:pPr>
          </w:p>
        </w:tc>
      </w:tr>
    </w:tbl>
    <w:p>
      <w:pPr>
        <w:pStyle w:val="4"/>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before="0" w:after="0" w:line="360" w:lineRule="auto"/>
        <w:jc w:val="center"/>
        <w:rPr>
          <w:color w:val="auto"/>
          <w:sz w:val="32"/>
          <w:highlight w:val="none"/>
          <w:u w:val="none" w:color="auto"/>
        </w:rPr>
      </w:pPr>
      <w:bookmarkStart w:id="7" w:name="_Toc10639_WPSOffice_Level1"/>
      <w:r>
        <w:rPr>
          <w:color w:val="auto"/>
          <w:sz w:val="32"/>
          <w:highlight w:val="none"/>
          <w:u w:val="none" w:color="auto"/>
        </w:rPr>
        <w:t>五、环境保护措施监督检查清单</w:t>
      </w:r>
      <w:bookmarkEnd w:id="7"/>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25"/>
        <w:gridCol w:w="1816"/>
        <w:gridCol w:w="1630"/>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jc w:val="center"/>
        </w:trPr>
        <w:tc>
          <w:tcPr>
            <w:tcW w:w="936" w:type="dxa"/>
          </w:tcPr>
          <w:p>
            <w:pPr>
              <w:spacing w:line="360" w:lineRule="auto"/>
              <w:jc w:val="center"/>
              <w:rPr>
                <w:color w:val="auto"/>
                <w:kern w:val="0"/>
                <w:highlight w:val="none"/>
                <w:u w:val="none" w:color="auto"/>
              </w:rPr>
            </w:pPr>
            <w:r>
              <w:rPr>
                <w:rFonts w:hint="eastAsia"/>
                <w:color w:val="auto"/>
                <w:kern w:val="0"/>
                <w:highlight w:val="none"/>
                <w:u w:val="none" w:color="auto"/>
              </w:rPr>
              <w:t>要素</w:t>
            </w:r>
          </w:p>
          <w:p>
            <w:pPr>
              <w:spacing w:line="360" w:lineRule="auto"/>
              <w:jc w:val="center"/>
              <w:rPr>
                <w:color w:val="auto"/>
                <w:kern w:val="0"/>
                <w:highlight w:val="none"/>
                <w:u w:val="none" w:color="auto"/>
              </w:rPr>
            </w:pPr>
            <w:r>
              <w:rPr>
                <w:rFonts w:hint="eastAsia"/>
                <w:color w:val="auto"/>
                <w:kern w:val="0"/>
                <w:highlight w:val="none"/>
                <w:u w:val="none" w:color="auto"/>
              </w:rPr>
              <w:t>内容</w:t>
            </w:r>
          </w:p>
        </w:tc>
        <w:tc>
          <w:tcPr>
            <w:tcW w:w="1725"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排放口（编号、</w:t>
            </w:r>
          </w:p>
          <w:p>
            <w:pPr>
              <w:spacing w:line="360" w:lineRule="auto"/>
              <w:jc w:val="center"/>
              <w:rPr>
                <w:color w:val="auto"/>
                <w:kern w:val="0"/>
                <w:highlight w:val="none"/>
                <w:u w:val="none" w:color="auto"/>
              </w:rPr>
            </w:pPr>
            <w:r>
              <w:rPr>
                <w:rFonts w:hint="eastAsia"/>
                <w:color w:val="auto"/>
                <w:kern w:val="0"/>
                <w:highlight w:val="none"/>
                <w:u w:val="none" w:color="auto"/>
              </w:rPr>
              <w:t>名称）/污染源</w:t>
            </w:r>
          </w:p>
        </w:tc>
        <w:tc>
          <w:tcPr>
            <w:tcW w:w="1816"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污染物项目</w:t>
            </w:r>
          </w:p>
        </w:tc>
        <w:tc>
          <w:tcPr>
            <w:tcW w:w="1630"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环境保护措施</w:t>
            </w:r>
          </w:p>
        </w:tc>
        <w:tc>
          <w:tcPr>
            <w:tcW w:w="2964"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36" w:type="dxa"/>
            <w:vMerge w:val="restart"/>
            <w:vAlign w:val="center"/>
          </w:tcPr>
          <w:p>
            <w:pPr>
              <w:spacing w:line="360" w:lineRule="auto"/>
              <w:jc w:val="center"/>
              <w:rPr>
                <w:color w:val="auto"/>
                <w:kern w:val="0"/>
                <w:highlight w:val="none"/>
                <w:u w:val="none" w:color="auto"/>
              </w:rPr>
            </w:pPr>
            <w:r>
              <w:rPr>
                <w:rFonts w:hint="eastAsia"/>
                <w:color w:val="auto"/>
                <w:kern w:val="0"/>
                <w:highlight w:val="none"/>
                <w:u w:val="none" w:color="auto"/>
              </w:rPr>
              <w:t>大气环境</w:t>
            </w:r>
          </w:p>
        </w:tc>
        <w:tc>
          <w:tcPr>
            <w:tcW w:w="1725" w:type="dxa"/>
            <w:vAlign w:val="center"/>
          </w:tcPr>
          <w:p>
            <w:pPr>
              <w:jc w:val="center"/>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点胶工序</w:t>
            </w:r>
          </w:p>
        </w:tc>
        <w:tc>
          <w:tcPr>
            <w:tcW w:w="1816" w:type="dxa"/>
            <w:vAlign w:val="center"/>
          </w:tcPr>
          <w:p>
            <w:pPr>
              <w:jc w:val="center"/>
              <w:rPr>
                <w:rFonts w:hint="eastAsia" w:eastAsia="宋体"/>
                <w:color w:val="auto"/>
                <w:kern w:val="0"/>
                <w:highlight w:val="none"/>
                <w:u w:val="none" w:color="auto"/>
                <w:lang w:eastAsia="zh-CN"/>
              </w:rPr>
            </w:pPr>
            <w:r>
              <w:rPr>
                <w:rFonts w:hint="eastAsia"/>
                <w:color w:val="auto"/>
                <w:highlight w:val="none"/>
                <w:u w:val="none" w:color="auto"/>
                <w:lang w:val="en-US" w:eastAsia="zh-CN"/>
              </w:rPr>
              <w:t>非甲烷总烃</w:t>
            </w:r>
          </w:p>
        </w:tc>
        <w:tc>
          <w:tcPr>
            <w:tcW w:w="1630" w:type="dxa"/>
            <w:vMerge w:val="restart"/>
            <w:vAlign w:val="center"/>
          </w:tcPr>
          <w:p>
            <w:pPr>
              <w:jc w:val="center"/>
              <w:rPr>
                <w:rFonts w:hint="default" w:eastAsia="宋体"/>
                <w:color w:val="auto"/>
                <w:kern w:val="0"/>
                <w:highlight w:val="none"/>
                <w:u w:val="none" w:color="auto"/>
                <w:lang w:val="en-US" w:eastAsia="zh-CN"/>
              </w:rPr>
            </w:pPr>
            <w:r>
              <w:rPr>
                <w:rFonts w:hint="eastAsia" w:cs="Times New Roman"/>
                <w:color w:val="auto"/>
                <w:highlight w:val="none"/>
                <w:u w:val="none" w:color="auto"/>
                <w:lang w:val="en-US" w:eastAsia="zh-CN"/>
              </w:rPr>
              <w:t>点胶废气、含浸废气及焊锡废气采用集气罩收集，隧道炉产生的烘干废气采用设备排口直连收集，上述废气一同汇入一套二级活性炭吸附装置+楼顶高空排气筒排放</w:t>
            </w:r>
          </w:p>
        </w:tc>
        <w:tc>
          <w:tcPr>
            <w:tcW w:w="2964" w:type="dxa"/>
            <w:vMerge w:val="restart"/>
            <w:vAlign w:val="center"/>
          </w:tcPr>
          <w:p>
            <w:pPr>
              <w:jc w:val="center"/>
              <w:rPr>
                <w:color w:val="auto"/>
                <w:kern w:val="0"/>
                <w:highlight w:val="none"/>
                <w:u w:val="none" w:color="auto"/>
              </w:rPr>
            </w:pPr>
            <w:r>
              <w:rPr>
                <w:rFonts w:hint="eastAsia"/>
                <w:color w:val="auto"/>
                <w:kern w:val="0"/>
                <w:highlight w:val="none"/>
                <w:u w:val="none" w:color="auto"/>
                <w:lang w:val="en-US" w:eastAsia="zh-CN"/>
              </w:rPr>
              <w:t>《大气污染物综合排放标准》(GB16297- 1996)中表2新污染源大气污染物排放限值要求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Merge w:val="restart"/>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含浸烘干工序</w:t>
            </w:r>
          </w:p>
        </w:tc>
        <w:tc>
          <w:tcPr>
            <w:tcW w:w="1816"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二甲苯</w:t>
            </w:r>
          </w:p>
        </w:tc>
        <w:tc>
          <w:tcPr>
            <w:tcW w:w="1630" w:type="dxa"/>
            <w:vMerge w:val="continue"/>
            <w:vAlign w:val="center"/>
          </w:tcPr>
          <w:p>
            <w:pPr>
              <w:jc w:val="center"/>
              <w:rPr>
                <w:color w:val="auto"/>
                <w:highlight w:val="none"/>
                <w:u w:val="none" w:color="auto"/>
              </w:rPr>
            </w:pPr>
          </w:p>
        </w:tc>
        <w:tc>
          <w:tcPr>
            <w:tcW w:w="2964" w:type="dxa"/>
            <w:vMerge w:val="continue"/>
            <w:vAlign w:val="center"/>
          </w:tcPr>
          <w:p>
            <w:pPr>
              <w:jc w:val="center"/>
              <w:rPr>
                <w:color w:val="auto"/>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Merge w:val="continue"/>
            <w:vAlign w:val="center"/>
          </w:tcPr>
          <w:p>
            <w:pPr>
              <w:jc w:val="center"/>
              <w:rPr>
                <w:color w:val="auto"/>
                <w:highlight w:val="none"/>
                <w:u w:val="none" w:color="auto"/>
              </w:rPr>
            </w:pPr>
          </w:p>
        </w:tc>
        <w:tc>
          <w:tcPr>
            <w:tcW w:w="1725" w:type="dxa"/>
            <w:vMerge w:val="continue"/>
            <w:vAlign w:val="center"/>
          </w:tcPr>
          <w:p>
            <w:pPr>
              <w:jc w:val="center"/>
              <w:rPr>
                <w:color w:val="auto"/>
                <w:highlight w:val="none"/>
                <w:u w:val="none" w:color="auto"/>
              </w:rPr>
            </w:pPr>
          </w:p>
        </w:tc>
        <w:tc>
          <w:tcPr>
            <w:tcW w:w="1816" w:type="dxa"/>
            <w:vAlign w:val="center"/>
          </w:tcPr>
          <w:p>
            <w:pPr>
              <w:jc w:val="center"/>
              <w:rPr>
                <w:rFonts w:hint="eastAsia"/>
                <w:color w:val="auto"/>
                <w:highlight w:val="none"/>
                <w:u w:val="none" w:color="auto"/>
                <w:lang w:val="en-US" w:eastAsia="zh-CN"/>
              </w:rPr>
            </w:pPr>
            <w:r>
              <w:rPr>
                <w:rFonts w:hint="eastAsia"/>
                <w:color w:val="auto"/>
                <w:highlight w:val="none"/>
                <w:u w:val="none" w:color="auto"/>
                <w:lang w:val="en-US" w:eastAsia="zh-CN"/>
              </w:rPr>
              <w:t>非甲烷总烃</w:t>
            </w:r>
          </w:p>
        </w:tc>
        <w:tc>
          <w:tcPr>
            <w:tcW w:w="1630" w:type="dxa"/>
            <w:vMerge w:val="continue"/>
            <w:vAlign w:val="center"/>
          </w:tcPr>
          <w:p>
            <w:pPr>
              <w:jc w:val="center"/>
              <w:rPr>
                <w:rFonts w:hint="eastAsia"/>
                <w:color w:val="auto"/>
                <w:highlight w:val="none"/>
                <w:u w:val="none" w:color="auto"/>
                <w:lang w:val="en-US" w:eastAsia="zh-CN"/>
              </w:rPr>
            </w:pPr>
          </w:p>
        </w:tc>
        <w:tc>
          <w:tcPr>
            <w:tcW w:w="2964" w:type="dxa"/>
            <w:vMerge w:val="continue"/>
            <w:vAlign w:val="center"/>
          </w:tcPr>
          <w:p>
            <w:pPr>
              <w:jc w:val="center"/>
              <w:rPr>
                <w:rFonts w:hint="eastAsia"/>
                <w:color w:val="auto"/>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焊锡工序</w:t>
            </w:r>
          </w:p>
        </w:tc>
        <w:tc>
          <w:tcPr>
            <w:tcW w:w="1816"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颗粒物（锡及其化合物）</w:t>
            </w:r>
          </w:p>
        </w:tc>
        <w:tc>
          <w:tcPr>
            <w:tcW w:w="1630" w:type="dxa"/>
            <w:vMerge w:val="continue"/>
            <w:vAlign w:val="center"/>
          </w:tcPr>
          <w:p>
            <w:pPr>
              <w:jc w:val="center"/>
              <w:rPr>
                <w:color w:val="auto"/>
                <w:highlight w:val="none"/>
                <w:u w:val="none" w:color="auto"/>
              </w:rPr>
            </w:pPr>
          </w:p>
        </w:tc>
        <w:tc>
          <w:tcPr>
            <w:tcW w:w="2964" w:type="dxa"/>
            <w:vAlign w:val="center"/>
          </w:tcPr>
          <w:p>
            <w:pPr>
              <w:jc w:val="center"/>
              <w:rPr>
                <w:color w:val="auto"/>
                <w:highlight w:val="none"/>
                <w:u w:val="none" w:color="auto"/>
              </w:rPr>
            </w:pPr>
            <w:r>
              <w:rPr>
                <w:rFonts w:hint="eastAsia"/>
                <w:color w:val="auto"/>
                <w:kern w:val="0"/>
                <w:highlight w:val="none"/>
                <w:u w:val="none" w:color="auto"/>
                <w:lang w:val="en-US" w:eastAsia="zh-CN"/>
              </w:rPr>
              <w:t>《大气污染物综合排放标准》(GB16297- 1996)中表2新污染源大气污染物排放限值要求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jc w:val="center"/>
              <w:rPr>
                <w:color w:val="auto"/>
                <w:highlight w:val="none"/>
                <w:u w:val="none" w:color="auto"/>
              </w:rPr>
            </w:pPr>
            <w:r>
              <w:rPr>
                <w:rFonts w:hint="eastAsia"/>
                <w:color w:val="auto"/>
                <w:kern w:val="0"/>
                <w:highlight w:val="none"/>
                <w:u w:val="none" w:color="auto"/>
                <w:lang w:val="en-US" w:eastAsia="zh-CN"/>
              </w:rPr>
              <w:t>点胶工序</w:t>
            </w:r>
          </w:p>
        </w:tc>
        <w:tc>
          <w:tcPr>
            <w:tcW w:w="1816" w:type="dxa"/>
            <w:vAlign w:val="center"/>
          </w:tcPr>
          <w:p>
            <w:pPr>
              <w:jc w:val="center"/>
              <w:rPr>
                <w:color w:val="auto"/>
                <w:kern w:val="0"/>
                <w:highlight w:val="none"/>
                <w:u w:val="none" w:color="auto"/>
              </w:rPr>
            </w:pPr>
            <w:r>
              <w:rPr>
                <w:rFonts w:hint="eastAsia"/>
                <w:color w:val="auto"/>
                <w:highlight w:val="none"/>
                <w:u w:val="none" w:color="auto"/>
                <w:lang w:val="en-US" w:eastAsia="zh-CN"/>
              </w:rPr>
              <w:t>未收集到的非甲烷总烃</w:t>
            </w:r>
          </w:p>
        </w:tc>
        <w:tc>
          <w:tcPr>
            <w:tcW w:w="1630" w:type="dxa"/>
            <w:vAlign w:val="center"/>
          </w:tcPr>
          <w:p>
            <w:pPr>
              <w:jc w:val="center"/>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车间通风</w:t>
            </w:r>
          </w:p>
        </w:tc>
        <w:tc>
          <w:tcPr>
            <w:tcW w:w="2964" w:type="dxa"/>
            <w:vMerge w:val="restart"/>
            <w:vAlign w:val="center"/>
          </w:tcPr>
          <w:p>
            <w:pPr>
              <w:jc w:val="center"/>
              <w:rPr>
                <w:rFonts w:hint="default" w:eastAsia="宋体"/>
                <w:color w:val="auto"/>
                <w:highlight w:val="none"/>
                <w:u w:val="none" w:color="auto"/>
                <w:lang w:val="en-US" w:eastAsia="zh-CN"/>
              </w:rPr>
            </w:pPr>
            <w:r>
              <w:rPr>
                <w:bCs/>
                <w:color w:val="auto"/>
                <w:highlight w:val="none"/>
                <w:u w:val="none" w:color="auto"/>
              </w:rPr>
              <w:t>《大气污染物综合排放标准》（GB16297-1996）</w:t>
            </w:r>
            <w:r>
              <w:rPr>
                <w:rFonts w:hint="eastAsia"/>
                <w:bCs/>
                <w:color w:val="auto"/>
                <w:highlight w:val="none"/>
                <w:u w:val="none" w:color="auto"/>
                <w:lang w:val="en-US" w:eastAsia="zh-CN"/>
              </w:rPr>
              <w:t>表2中无组织监控浓度限值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jc w:val="center"/>
              <w:rPr>
                <w:color w:val="auto"/>
                <w:highlight w:val="none"/>
                <w:u w:val="none" w:color="auto"/>
              </w:rPr>
            </w:pPr>
            <w:r>
              <w:rPr>
                <w:rFonts w:hint="eastAsia"/>
                <w:color w:val="auto"/>
                <w:highlight w:val="none"/>
                <w:u w:val="none" w:color="auto"/>
                <w:lang w:val="en-US" w:eastAsia="zh-CN"/>
              </w:rPr>
              <w:t>含浸烘干工序</w:t>
            </w:r>
          </w:p>
        </w:tc>
        <w:tc>
          <w:tcPr>
            <w:tcW w:w="1816" w:type="dxa"/>
            <w:vAlign w:val="center"/>
          </w:tcPr>
          <w:p>
            <w:pPr>
              <w:jc w:val="center"/>
              <w:rPr>
                <w:color w:val="auto"/>
                <w:kern w:val="0"/>
                <w:highlight w:val="none"/>
                <w:u w:val="none" w:color="auto"/>
              </w:rPr>
            </w:pPr>
            <w:r>
              <w:rPr>
                <w:rFonts w:hint="eastAsia"/>
                <w:color w:val="auto"/>
                <w:highlight w:val="none"/>
                <w:u w:val="none" w:color="auto"/>
                <w:lang w:val="en-US" w:eastAsia="zh-CN"/>
              </w:rPr>
              <w:t>未收集到的二甲苯、非甲烷总烃</w:t>
            </w:r>
          </w:p>
        </w:tc>
        <w:tc>
          <w:tcPr>
            <w:tcW w:w="1630" w:type="dxa"/>
            <w:vAlign w:val="center"/>
          </w:tcPr>
          <w:p>
            <w:pPr>
              <w:jc w:val="center"/>
              <w:rPr>
                <w:color w:val="auto"/>
                <w:kern w:val="0"/>
                <w:highlight w:val="none"/>
                <w:u w:val="none" w:color="auto"/>
              </w:rPr>
            </w:pPr>
            <w:r>
              <w:rPr>
                <w:rFonts w:hint="eastAsia"/>
                <w:color w:val="auto"/>
                <w:kern w:val="0"/>
                <w:highlight w:val="none"/>
                <w:u w:val="none" w:color="auto"/>
                <w:lang w:val="en-US" w:eastAsia="zh-CN"/>
              </w:rPr>
              <w:t>车间通风</w:t>
            </w:r>
          </w:p>
        </w:tc>
        <w:tc>
          <w:tcPr>
            <w:tcW w:w="2964" w:type="dxa"/>
            <w:vMerge w:val="continue"/>
            <w:vAlign w:val="center"/>
          </w:tcPr>
          <w:p>
            <w:pPr>
              <w:jc w:val="center"/>
              <w:rPr>
                <w:color w:val="auto"/>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jc w:val="center"/>
              <w:rPr>
                <w:color w:val="auto"/>
                <w:highlight w:val="none"/>
                <w:u w:val="none" w:color="auto"/>
              </w:rPr>
            </w:pPr>
            <w:r>
              <w:rPr>
                <w:rFonts w:hint="eastAsia"/>
                <w:color w:val="auto"/>
                <w:highlight w:val="none"/>
                <w:u w:val="none" w:color="auto"/>
                <w:lang w:val="en-US" w:eastAsia="zh-CN"/>
              </w:rPr>
              <w:t>焊锡工序</w:t>
            </w:r>
          </w:p>
        </w:tc>
        <w:tc>
          <w:tcPr>
            <w:tcW w:w="1816" w:type="dxa"/>
            <w:vAlign w:val="center"/>
          </w:tcPr>
          <w:p>
            <w:pPr>
              <w:jc w:val="center"/>
              <w:rPr>
                <w:color w:val="auto"/>
                <w:highlight w:val="none"/>
                <w:u w:val="none" w:color="auto"/>
              </w:rPr>
            </w:pPr>
            <w:r>
              <w:rPr>
                <w:rFonts w:hint="eastAsia"/>
                <w:color w:val="auto"/>
                <w:highlight w:val="none"/>
                <w:u w:val="none" w:color="auto"/>
                <w:lang w:val="en-US" w:eastAsia="zh-CN"/>
              </w:rPr>
              <w:t>未收集到的颗粒物（锡及其化合物）</w:t>
            </w:r>
          </w:p>
        </w:tc>
        <w:tc>
          <w:tcPr>
            <w:tcW w:w="1630" w:type="dxa"/>
            <w:vAlign w:val="center"/>
          </w:tcPr>
          <w:p>
            <w:pPr>
              <w:jc w:val="center"/>
              <w:rPr>
                <w:color w:val="auto"/>
                <w:highlight w:val="none"/>
                <w:u w:val="none" w:color="auto"/>
              </w:rPr>
            </w:pPr>
            <w:r>
              <w:rPr>
                <w:rFonts w:hint="eastAsia"/>
                <w:color w:val="auto"/>
                <w:kern w:val="0"/>
                <w:highlight w:val="none"/>
                <w:u w:val="none" w:color="auto"/>
                <w:lang w:val="en-US" w:eastAsia="zh-CN"/>
              </w:rPr>
              <w:t>车间通风</w:t>
            </w:r>
          </w:p>
        </w:tc>
        <w:tc>
          <w:tcPr>
            <w:tcW w:w="2964" w:type="dxa"/>
            <w:vMerge w:val="continue"/>
            <w:vAlign w:val="center"/>
          </w:tcPr>
          <w:p>
            <w:pPr>
              <w:jc w:val="center"/>
              <w:rPr>
                <w:rFonts w:hint="default" w:eastAsia="宋体"/>
                <w:color w:val="auto"/>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jc w:val="center"/>
              <w:rPr>
                <w:rFonts w:hint="default"/>
                <w:color w:val="auto"/>
                <w:highlight w:val="none"/>
                <w:u w:val="none" w:color="auto"/>
                <w:lang w:val="en-US" w:eastAsia="zh-CN"/>
              </w:rPr>
            </w:pPr>
            <w:r>
              <w:rPr>
                <w:rFonts w:hint="eastAsia"/>
                <w:color w:val="auto"/>
                <w:highlight w:val="none"/>
                <w:u w:val="none" w:color="auto"/>
                <w:lang w:val="en-US" w:eastAsia="zh-CN"/>
              </w:rPr>
              <w:t>异味</w:t>
            </w:r>
          </w:p>
        </w:tc>
        <w:tc>
          <w:tcPr>
            <w:tcW w:w="1816" w:type="dxa"/>
            <w:vAlign w:val="center"/>
          </w:tcPr>
          <w:p>
            <w:pPr>
              <w:jc w:val="center"/>
              <w:rPr>
                <w:rFonts w:hint="default"/>
                <w:color w:val="auto"/>
                <w:highlight w:val="none"/>
                <w:u w:val="none" w:color="auto"/>
                <w:lang w:val="en-US" w:eastAsia="zh-CN"/>
              </w:rPr>
            </w:pPr>
            <w:r>
              <w:rPr>
                <w:rFonts w:hint="eastAsia"/>
                <w:color w:val="auto"/>
                <w:highlight w:val="none"/>
                <w:u w:val="none" w:color="auto"/>
                <w:lang w:val="en-US" w:eastAsia="zh-CN"/>
              </w:rPr>
              <w:t>臭气浓度</w:t>
            </w:r>
          </w:p>
        </w:tc>
        <w:tc>
          <w:tcPr>
            <w:tcW w:w="1630" w:type="dxa"/>
            <w:vAlign w:val="center"/>
          </w:tcPr>
          <w:p>
            <w:pPr>
              <w:jc w:val="center"/>
              <w:rPr>
                <w:rFonts w:hint="eastAsia"/>
                <w:color w:val="auto"/>
                <w:kern w:val="0"/>
                <w:highlight w:val="none"/>
                <w:u w:val="none" w:color="auto"/>
                <w:lang w:val="en-US" w:eastAsia="zh-CN"/>
              </w:rPr>
            </w:pPr>
            <w:r>
              <w:rPr>
                <w:rFonts w:hint="eastAsia"/>
                <w:color w:val="auto"/>
                <w:kern w:val="0"/>
                <w:highlight w:val="none"/>
                <w:u w:val="none" w:color="auto"/>
                <w:lang w:val="en-US" w:eastAsia="zh-CN"/>
              </w:rPr>
              <w:t>车间通风</w:t>
            </w:r>
          </w:p>
        </w:tc>
        <w:tc>
          <w:tcPr>
            <w:tcW w:w="2964" w:type="dxa"/>
            <w:vAlign w:val="center"/>
          </w:tcPr>
          <w:p>
            <w:pPr>
              <w:jc w:val="center"/>
              <w:rPr>
                <w:rFonts w:hint="default" w:eastAsia="宋体"/>
                <w:color w:val="auto"/>
                <w:highlight w:val="none"/>
                <w:u w:val="none" w:color="auto"/>
                <w:lang w:val="en-US" w:eastAsia="zh-CN"/>
              </w:rPr>
            </w:pPr>
            <w:r>
              <w:rPr>
                <w:rFonts w:hint="eastAsia"/>
                <w:bCs/>
                <w:color w:val="auto"/>
                <w:highlight w:val="none"/>
                <w:u w:val="none" w:color="auto"/>
                <w:lang w:val="en-US" w:eastAsia="zh-CN"/>
              </w:rPr>
              <w:t>《恶臭污染物排放标准》（GB14554-93）标准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restart"/>
            <w:vAlign w:val="center"/>
          </w:tcPr>
          <w:p>
            <w:pPr>
              <w:spacing w:line="360" w:lineRule="auto"/>
              <w:jc w:val="center"/>
              <w:rPr>
                <w:color w:val="auto"/>
                <w:kern w:val="0"/>
                <w:highlight w:val="none"/>
                <w:u w:val="none" w:color="auto"/>
              </w:rPr>
            </w:pPr>
            <w:r>
              <w:rPr>
                <w:rFonts w:hint="eastAsia"/>
                <w:color w:val="auto"/>
                <w:kern w:val="0"/>
                <w:highlight w:val="none"/>
                <w:u w:val="none" w:color="auto"/>
              </w:rPr>
              <w:t>地表水环境</w:t>
            </w:r>
          </w:p>
        </w:tc>
        <w:tc>
          <w:tcPr>
            <w:tcW w:w="1725" w:type="dxa"/>
            <w:vMerge w:val="restart"/>
            <w:vAlign w:val="center"/>
          </w:tcPr>
          <w:p>
            <w:pPr>
              <w:spacing w:line="360" w:lineRule="auto"/>
              <w:jc w:val="center"/>
              <w:rPr>
                <w:color w:val="auto"/>
                <w:kern w:val="0"/>
                <w:highlight w:val="none"/>
                <w:u w:val="none" w:color="auto"/>
              </w:rPr>
            </w:pPr>
            <w:r>
              <w:rPr>
                <w:rFonts w:hint="eastAsia"/>
                <w:color w:val="auto"/>
                <w:kern w:val="0"/>
                <w:highlight w:val="none"/>
                <w:u w:val="none" w:color="auto"/>
              </w:rPr>
              <w:t>生活污水</w:t>
            </w:r>
          </w:p>
        </w:tc>
        <w:tc>
          <w:tcPr>
            <w:tcW w:w="1816" w:type="dxa"/>
            <w:vAlign w:val="center"/>
          </w:tcPr>
          <w:p>
            <w:pPr>
              <w:widowControl/>
              <w:jc w:val="center"/>
              <w:rPr>
                <w:color w:val="auto"/>
                <w:kern w:val="0"/>
                <w:highlight w:val="none"/>
                <w:u w:val="none" w:color="auto"/>
              </w:rPr>
            </w:pPr>
            <w:r>
              <w:rPr>
                <w:color w:val="auto"/>
                <w:kern w:val="0"/>
                <w:highlight w:val="none"/>
                <w:u w:val="none" w:color="auto"/>
              </w:rPr>
              <w:t>CODcr</w:t>
            </w:r>
          </w:p>
        </w:tc>
        <w:tc>
          <w:tcPr>
            <w:tcW w:w="1630" w:type="dxa"/>
            <w:vMerge w:val="restart"/>
            <w:vAlign w:val="center"/>
          </w:tcPr>
          <w:p>
            <w:pPr>
              <w:jc w:val="center"/>
              <w:rPr>
                <w:rFonts w:ascii="Times New Roman" w:hAnsi="Times New Roman" w:eastAsia="宋体" w:cs="Times New Roman"/>
                <w:bCs/>
                <w:color w:val="auto"/>
                <w:highlight w:val="none"/>
                <w:u w:val="none" w:color="auto"/>
              </w:rPr>
            </w:pPr>
            <w:r>
              <w:rPr>
                <w:rFonts w:hint="eastAsia" w:ascii="Times New Roman" w:hAnsi="Times New Roman" w:eastAsia="宋体" w:cs="Times New Roman"/>
                <w:bCs/>
                <w:color w:val="auto"/>
                <w:highlight w:val="none"/>
                <w:u w:val="none" w:color="auto"/>
              </w:rPr>
              <w:t>经隔油池+化粪池处理后排入市政污水管网最终进入下河线污水处理厂</w:t>
            </w:r>
          </w:p>
        </w:tc>
        <w:tc>
          <w:tcPr>
            <w:tcW w:w="2964" w:type="dxa"/>
            <w:vMerge w:val="restart"/>
            <w:vAlign w:val="center"/>
          </w:tcPr>
          <w:p>
            <w:pPr>
              <w:jc w:val="center"/>
              <w:rPr>
                <w:rFonts w:ascii="Times New Roman" w:hAnsi="Times New Roman" w:eastAsia="宋体" w:cs="Times New Roman"/>
                <w:bCs/>
                <w:color w:val="auto"/>
                <w:highlight w:val="none"/>
                <w:u w:val="none" w:color="auto"/>
              </w:rPr>
            </w:pPr>
            <w:r>
              <w:rPr>
                <w:rFonts w:hint="eastAsia" w:ascii="Times New Roman" w:hAnsi="Times New Roman" w:eastAsia="宋体" w:cs="Times New Roman"/>
                <w:bCs/>
                <w:color w:val="auto"/>
                <w:highlight w:val="none"/>
                <w:u w:val="none" w:color="auto"/>
              </w:rPr>
              <w:t>《电子工业水污染物排放标准》（GB 39731-2020）表1水污染物排放限值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pPr>
              <w:spacing w:line="360" w:lineRule="auto"/>
              <w:jc w:val="center"/>
              <w:rPr>
                <w:color w:val="auto"/>
                <w:highlight w:val="none"/>
                <w:u w:val="none" w:color="auto"/>
              </w:rPr>
            </w:pPr>
          </w:p>
        </w:tc>
        <w:tc>
          <w:tcPr>
            <w:tcW w:w="1725" w:type="dxa"/>
            <w:vMerge w:val="continue"/>
            <w:vAlign w:val="center"/>
          </w:tcPr>
          <w:p>
            <w:pPr>
              <w:spacing w:line="360" w:lineRule="auto"/>
              <w:jc w:val="center"/>
              <w:rPr>
                <w:color w:val="auto"/>
                <w:kern w:val="0"/>
                <w:highlight w:val="none"/>
                <w:u w:val="none" w:color="auto"/>
              </w:rPr>
            </w:pPr>
          </w:p>
        </w:tc>
        <w:tc>
          <w:tcPr>
            <w:tcW w:w="1816" w:type="dxa"/>
            <w:vAlign w:val="center"/>
          </w:tcPr>
          <w:p>
            <w:pPr>
              <w:widowControl/>
              <w:jc w:val="center"/>
              <w:rPr>
                <w:color w:val="auto"/>
                <w:kern w:val="0"/>
                <w:highlight w:val="none"/>
                <w:u w:val="none" w:color="auto"/>
              </w:rPr>
            </w:pPr>
            <w:r>
              <w:rPr>
                <w:color w:val="auto"/>
                <w:kern w:val="0"/>
                <w:highlight w:val="none"/>
                <w:u w:val="none" w:color="auto"/>
              </w:rPr>
              <w:t>BOD</w:t>
            </w:r>
            <w:r>
              <w:rPr>
                <w:color w:val="auto"/>
                <w:kern w:val="0"/>
                <w:highlight w:val="none"/>
                <w:u w:val="none" w:color="auto"/>
                <w:vertAlign w:val="subscript"/>
              </w:rPr>
              <w:t>5</w:t>
            </w:r>
          </w:p>
        </w:tc>
        <w:tc>
          <w:tcPr>
            <w:tcW w:w="1630" w:type="dxa"/>
            <w:vMerge w:val="continue"/>
            <w:vAlign w:val="center"/>
          </w:tcPr>
          <w:p>
            <w:pPr>
              <w:spacing w:line="360" w:lineRule="auto"/>
              <w:jc w:val="center"/>
              <w:rPr>
                <w:color w:val="auto"/>
                <w:kern w:val="0"/>
                <w:highlight w:val="none"/>
                <w:u w:val="none" w:color="auto"/>
              </w:rPr>
            </w:pPr>
          </w:p>
        </w:tc>
        <w:tc>
          <w:tcPr>
            <w:tcW w:w="2964" w:type="dxa"/>
            <w:vMerge w:val="continue"/>
          </w:tcPr>
          <w:p>
            <w:pPr>
              <w:spacing w:line="360" w:lineRule="auto"/>
              <w:jc w:val="center"/>
              <w:rPr>
                <w:color w:val="auto"/>
                <w:kern w:val="0"/>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Merge w:val="continue"/>
            <w:vAlign w:val="center"/>
          </w:tcPr>
          <w:p>
            <w:pPr>
              <w:spacing w:line="360" w:lineRule="auto"/>
              <w:jc w:val="center"/>
              <w:rPr>
                <w:color w:val="auto"/>
                <w:kern w:val="0"/>
                <w:highlight w:val="none"/>
                <w:u w:val="none" w:color="auto"/>
              </w:rPr>
            </w:pPr>
          </w:p>
        </w:tc>
        <w:tc>
          <w:tcPr>
            <w:tcW w:w="1816" w:type="dxa"/>
            <w:vAlign w:val="center"/>
          </w:tcPr>
          <w:p>
            <w:pPr>
              <w:widowControl/>
              <w:jc w:val="center"/>
              <w:rPr>
                <w:color w:val="auto"/>
                <w:kern w:val="0"/>
                <w:highlight w:val="none"/>
                <w:u w:val="none" w:color="auto"/>
              </w:rPr>
            </w:pPr>
            <w:r>
              <w:rPr>
                <w:color w:val="auto"/>
                <w:kern w:val="0"/>
                <w:highlight w:val="none"/>
                <w:u w:val="none" w:color="auto"/>
              </w:rPr>
              <w:t>SS</w:t>
            </w:r>
          </w:p>
        </w:tc>
        <w:tc>
          <w:tcPr>
            <w:tcW w:w="1630" w:type="dxa"/>
            <w:vMerge w:val="continue"/>
            <w:vAlign w:val="center"/>
          </w:tcPr>
          <w:p>
            <w:pPr>
              <w:spacing w:line="360" w:lineRule="auto"/>
              <w:jc w:val="center"/>
              <w:rPr>
                <w:color w:val="auto"/>
                <w:kern w:val="0"/>
                <w:highlight w:val="none"/>
                <w:u w:val="none" w:color="auto"/>
              </w:rPr>
            </w:pPr>
          </w:p>
        </w:tc>
        <w:tc>
          <w:tcPr>
            <w:tcW w:w="2964" w:type="dxa"/>
            <w:vMerge w:val="continue"/>
          </w:tcPr>
          <w:p>
            <w:pPr>
              <w:spacing w:line="360" w:lineRule="auto"/>
              <w:jc w:val="center"/>
              <w:rPr>
                <w:color w:val="auto"/>
                <w:kern w:val="0"/>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Merge w:val="continue"/>
            <w:vAlign w:val="center"/>
          </w:tcPr>
          <w:p>
            <w:pPr>
              <w:spacing w:line="360" w:lineRule="auto"/>
              <w:jc w:val="center"/>
              <w:rPr>
                <w:color w:val="auto"/>
                <w:kern w:val="0"/>
                <w:highlight w:val="none"/>
                <w:u w:val="none" w:color="auto"/>
              </w:rPr>
            </w:pPr>
          </w:p>
        </w:tc>
        <w:tc>
          <w:tcPr>
            <w:tcW w:w="1816" w:type="dxa"/>
            <w:vAlign w:val="center"/>
          </w:tcPr>
          <w:p>
            <w:pPr>
              <w:widowControl/>
              <w:jc w:val="center"/>
              <w:rPr>
                <w:color w:val="auto"/>
                <w:kern w:val="0"/>
                <w:highlight w:val="none"/>
                <w:u w:val="none" w:color="auto"/>
              </w:rPr>
            </w:pPr>
            <w:r>
              <w:rPr>
                <w:color w:val="auto"/>
                <w:kern w:val="0"/>
                <w:highlight w:val="none"/>
                <w:u w:val="none" w:color="auto"/>
              </w:rPr>
              <w:t>氨氮</w:t>
            </w:r>
          </w:p>
        </w:tc>
        <w:tc>
          <w:tcPr>
            <w:tcW w:w="1630" w:type="dxa"/>
            <w:vMerge w:val="continue"/>
            <w:vAlign w:val="center"/>
          </w:tcPr>
          <w:p>
            <w:pPr>
              <w:spacing w:line="360" w:lineRule="auto"/>
              <w:jc w:val="center"/>
              <w:rPr>
                <w:color w:val="auto"/>
                <w:kern w:val="0"/>
                <w:highlight w:val="none"/>
                <w:u w:val="none" w:color="auto"/>
              </w:rPr>
            </w:pPr>
          </w:p>
        </w:tc>
        <w:tc>
          <w:tcPr>
            <w:tcW w:w="2964" w:type="dxa"/>
            <w:vMerge w:val="continue"/>
          </w:tcPr>
          <w:p>
            <w:pPr>
              <w:spacing w:line="360" w:lineRule="auto"/>
              <w:jc w:val="center"/>
              <w:rPr>
                <w:color w:val="auto"/>
                <w:kern w:val="0"/>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Merge w:val="continue"/>
            <w:vAlign w:val="center"/>
          </w:tcPr>
          <w:p>
            <w:pPr>
              <w:spacing w:line="360" w:lineRule="auto"/>
              <w:jc w:val="center"/>
              <w:rPr>
                <w:color w:val="auto"/>
                <w:kern w:val="0"/>
                <w:highlight w:val="none"/>
                <w:u w:val="none" w:color="auto"/>
              </w:rPr>
            </w:pPr>
          </w:p>
        </w:tc>
        <w:tc>
          <w:tcPr>
            <w:tcW w:w="1816" w:type="dxa"/>
            <w:vAlign w:val="center"/>
          </w:tcPr>
          <w:p>
            <w:pPr>
              <w:widowControl/>
              <w:jc w:val="center"/>
              <w:rPr>
                <w:color w:val="auto"/>
                <w:kern w:val="0"/>
                <w:highlight w:val="none"/>
                <w:u w:val="none" w:color="auto"/>
              </w:rPr>
            </w:pPr>
            <w:r>
              <w:rPr>
                <w:rFonts w:hint="eastAsia"/>
                <w:color w:val="auto"/>
                <w:kern w:val="0"/>
                <w:highlight w:val="none"/>
                <w:u w:val="none" w:color="auto"/>
              </w:rPr>
              <w:t>动植物油</w:t>
            </w:r>
          </w:p>
        </w:tc>
        <w:tc>
          <w:tcPr>
            <w:tcW w:w="1630" w:type="dxa"/>
            <w:vMerge w:val="continue"/>
            <w:vAlign w:val="center"/>
          </w:tcPr>
          <w:p>
            <w:pPr>
              <w:spacing w:line="360" w:lineRule="auto"/>
              <w:jc w:val="center"/>
              <w:rPr>
                <w:color w:val="auto"/>
                <w:kern w:val="0"/>
                <w:highlight w:val="none"/>
                <w:u w:val="none" w:color="auto"/>
              </w:rPr>
            </w:pPr>
          </w:p>
        </w:tc>
        <w:tc>
          <w:tcPr>
            <w:tcW w:w="2964" w:type="dxa"/>
            <w:vMerge w:val="continue"/>
          </w:tcPr>
          <w:p>
            <w:pPr>
              <w:spacing w:line="360" w:lineRule="auto"/>
              <w:jc w:val="center"/>
              <w:rPr>
                <w:color w:val="auto"/>
                <w:kern w:val="0"/>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adjustRightInd w:val="0"/>
              <w:snapToGrid w:val="0"/>
              <w:jc w:val="center"/>
              <w:rPr>
                <w:rFonts w:hint="eastAsia" w:ascii="宋体" w:hAnsi="宋体" w:cs="宋体"/>
                <w:color w:val="auto"/>
                <w:highlight w:val="none"/>
                <w:u w:val="none" w:color="auto"/>
              </w:rPr>
            </w:pPr>
            <w:r>
              <w:rPr>
                <w:rFonts w:hint="eastAsia" w:ascii="宋体" w:hAnsi="宋体" w:cs="宋体"/>
                <w:color w:val="auto"/>
                <w:highlight w:val="none"/>
                <w:u w:val="none" w:color="auto"/>
              </w:rPr>
              <w:t>声环境</w:t>
            </w:r>
          </w:p>
        </w:tc>
        <w:tc>
          <w:tcPr>
            <w:tcW w:w="1725" w:type="dxa"/>
            <w:vAlign w:val="center"/>
          </w:tcPr>
          <w:p>
            <w:pPr>
              <w:adjustRightInd w:val="0"/>
              <w:snapToGrid w:val="0"/>
              <w:jc w:val="center"/>
              <w:rPr>
                <w:rFonts w:hint="eastAsia" w:ascii="宋体" w:hAnsi="宋体" w:cs="宋体"/>
                <w:color w:val="auto"/>
                <w:highlight w:val="none"/>
                <w:u w:val="none" w:color="auto"/>
              </w:rPr>
            </w:pPr>
            <w:r>
              <w:rPr>
                <w:rFonts w:hint="eastAsia" w:ascii="宋体" w:hAnsi="宋体" w:cs="宋体"/>
                <w:color w:val="auto"/>
                <w:highlight w:val="none"/>
                <w:u w:val="none" w:color="auto"/>
                <w:lang w:val="en-US" w:eastAsia="zh-CN"/>
              </w:rPr>
              <w:t>绕线机、拉力机、隧道炉、激光机、螺杆式空压机、手动点胶机、半成品切脚机、剥皮机、环型包胶机、电动叉车</w:t>
            </w:r>
          </w:p>
        </w:tc>
        <w:tc>
          <w:tcPr>
            <w:tcW w:w="1816" w:type="dxa"/>
            <w:vAlign w:val="center"/>
          </w:tcPr>
          <w:p>
            <w:pPr>
              <w:adjustRightInd w:val="0"/>
              <w:snapToGrid w:val="0"/>
              <w:jc w:val="center"/>
              <w:rPr>
                <w:color w:val="auto"/>
                <w:kern w:val="0"/>
                <w:highlight w:val="none"/>
                <w:u w:val="none" w:color="auto"/>
              </w:rPr>
            </w:pPr>
            <w:r>
              <w:rPr>
                <w:rFonts w:hint="eastAsia" w:ascii="宋体" w:hAnsi="宋体" w:cs="宋体"/>
                <w:color w:val="auto"/>
                <w:highlight w:val="none"/>
                <w:u w:val="none" w:color="auto"/>
              </w:rPr>
              <w:t>噪声</w:t>
            </w:r>
          </w:p>
        </w:tc>
        <w:tc>
          <w:tcPr>
            <w:tcW w:w="1630" w:type="dxa"/>
            <w:vAlign w:val="center"/>
          </w:tcPr>
          <w:p>
            <w:pPr>
              <w:adjustRightInd w:val="0"/>
              <w:snapToGrid w:val="0"/>
              <w:jc w:val="center"/>
              <w:rPr>
                <w:rFonts w:ascii="宋体" w:hAnsi="宋体" w:cs="宋体"/>
                <w:color w:val="auto"/>
                <w:highlight w:val="none"/>
                <w:u w:val="none" w:color="auto"/>
              </w:rPr>
            </w:pPr>
            <w:r>
              <w:rPr>
                <w:rFonts w:hint="eastAsia" w:ascii="宋体" w:hAnsi="宋体" w:cs="宋体"/>
                <w:color w:val="auto"/>
                <w:highlight w:val="none"/>
                <w:u w:val="none" w:color="auto"/>
              </w:rPr>
              <w:t>选用低噪声设备，隔声、建筑消声</w:t>
            </w:r>
          </w:p>
          <w:p>
            <w:pPr>
              <w:adjustRightInd w:val="0"/>
              <w:snapToGrid w:val="0"/>
              <w:jc w:val="center"/>
              <w:rPr>
                <w:color w:val="auto"/>
                <w:kern w:val="0"/>
                <w:highlight w:val="none"/>
                <w:u w:val="none" w:color="auto"/>
              </w:rPr>
            </w:pPr>
          </w:p>
        </w:tc>
        <w:tc>
          <w:tcPr>
            <w:tcW w:w="2964" w:type="dxa"/>
            <w:vAlign w:val="center"/>
          </w:tcPr>
          <w:p>
            <w:pPr>
              <w:adjustRightInd w:val="0"/>
              <w:snapToGrid w:val="0"/>
              <w:jc w:val="center"/>
              <w:rPr>
                <w:color w:val="auto"/>
                <w:kern w:val="0"/>
                <w:highlight w:val="none"/>
                <w:u w:val="none" w:color="auto"/>
              </w:rPr>
            </w:pPr>
            <w:r>
              <w:rPr>
                <w:rFonts w:hint="eastAsia"/>
                <w:color w:val="auto"/>
                <w:highlight w:val="none"/>
                <w:u w:val="none" w:color="auto"/>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spacing w:line="360" w:lineRule="auto"/>
              <w:jc w:val="center"/>
              <w:rPr>
                <w:rFonts w:hint="eastAsia"/>
                <w:color w:val="auto"/>
                <w:kern w:val="0"/>
                <w:highlight w:val="none"/>
                <w:u w:val="none" w:color="auto"/>
              </w:rPr>
            </w:pPr>
            <w:r>
              <w:rPr>
                <w:rFonts w:hint="eastAsia"/>
                <w:color w:val="auto"/>
                <w:kern w:val="0"/>
                <w:highlight w:val="none"/>
                <w:u w:val="none" w:color="auto"/>
              </w:rPr>
              <w:t>电磁</w:t>
            </w:r>
          </w:p>
          <w:p>
            <w:pPr>
              <w:spacing w:line="360" w:lineRule="auto"/>
              <w:jc w:val="center"/>
              <w:rPr>
                <w:color w:val="auto"/>
                <w:kern w:val="0"/>
                <w:highlight w:val="none"/>
                <w:u w:val="none" w:color="auto"/>
              </w:rPr>
            </w:pPr>
            <w:r>
              <w:rPr>
                <w:rFonts w:hint="eastAsia"/>
                <w:color w:val="auto"/>
                <w:kern w:val="0"/>
                <w:highlight w:val="none"/>
                <w:u w:val="none" w:color="auto"/>
              </w:rPr>
              <w:t>辐射</w:t>
            </w:r>
          </w:p>
        </w:tc>
        <w:tc>
          <w:tcPr>
            <w:tcW w:w="8135" w:type="dxa"/>
            <w:gridSpan w:val="4"/>
            <w:vAlign w:val="center"/>
          </w:tcPr>
          <w:p>
            <w:pPr>
              <w:spacing w:line="360" w:lineRule="auto"/>
              <w:jc w:val="center"/>
              <w:rPr>
                <w:color w:val="auto"/>
                <w:kern w:val="0"/>
                <w:highlight w:val="none"/>
                <w:u w:val="none" w:color="auto"/>
              </w:rPr>
            </w:pPr>
            <w:r>
              <w:rPr>
                <w:rFonts w:hint="eastAsia"/>
                <w:color w:val="auto"/>
                <w:kern w:val="0"/>
                <w:highlight w:val="none"/>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restart"/>
            <w:vAlign w:val="center"/>
          </w:tcPr>
          <w:p>
            <w:pPr>
              <w:spacing w:line="360" w:lineRule="auto"/>
              <w:jc w:val="center"/>
              <w:rPr>
                <w:color w:val="auto"/>
                <w:kern w:val="0"/>
                <w:highlight w:val="none"/>
                <w:u w:val="none" w:color="auto"/>
              </w:rPr>
            </w:pPr>
            <w:r>
              <w:rPr>
                <w:rFonts w:hint="eastAsia"/>
                <w:color w:val="auto"/>
                <w:kern w:val="0"/>
                <w:highlight w:val="none"/>
                <w:u w:val="none" w:color="auto"/>
              </w:rPr>
              <w:t>固体废物</w:t>
            </w:r>
          </w:p>
        </w:tc>
        <w:tc>
          <w:tcPr>
            <w:tcW w:w="1725" w:type="dxa"/>
            <w:vAlign w:val="center"/>
          </w:tcPr>
          <w:p>
            <w:pPr>
              <w:adjustRightInd w:val="0"/>
              <w:snapToGrid w:val="0"/>
              <w:jc w:val="center"/>
              <w:rPr>
                <w:rFonts w:hint="default" w:ascii="宋体" w:hAnsi="宋体" w:eastAsia="宋体" w:cs="宋体"/>
                <w:color w:val="auto"/>
                <w:highlight w:val="none"/>
                <w:u w:val="none" w:color="auto"/>
                <w:lang w:val="en-US" w:eastAsia="zh-CN"/>
              </w:rPr>
            </w:pPr>
            <w:r>
              <w:rPr>
                <w:rFonts w:hint="eastAsia" w:ascii="宋体" w:hAnsi="宋体" w:cs="宋体"/>
                <w:color w:val="auto"/>
                <w:highlight w:val="none"/>
                <w:u w:val="none" w:color="auto"/>
                <w:lang w:val="en-US" w:eastAsia="zh-CN"/>
              </w:rPr>
              <w:t>焊锡工序</w:t>
            </w:r>
          </w:p>
        </w:tc>
        <w:tc>
          <w:tcPr>
            <w:tcW w:w="1816" w:type="dxa"/>
            <w:vAlign w:val="center"/>
          </w:tcPr>
          <w:p>
            <w:pPr>
              <w:jc w:val="center"/>
              <w:rPr>
                <w:rFonts w:ascii="宋体" w:hAnsi="宋体" w:cs="宋体"/>
                <w:color w:val="auto"/>
                <w:highlight w:val="none"/>
                <w:u w:val="none" w:color="auto"/>
              </w:rPr>
            </w:pPr>
            <w:r>
              <w:rPr>
                <w:rFonts w:hint="eastAsia" w:ascii="Times New Roman" w:hAnsi="Times New Roman" w:cs="Times New Roman"/>
                <w:color w:val="auto"/>
                <w:highlight w:val="none"/>
                <w:u w:val="none" w:color="auto"/>
                <w:lang w:val="en-US" w:eastAsia="zh-CN"/>
              </w:rPr>
              <w:t>废锡渣</w:t>
            </w:r>
          </w:p>
        </w:tc>
        <w:tc>
          <w:tcPr>
            <w:tcW w:w="1630" w:type="dxa"/>
            <w:vAlign w:val="center"/>
          </w:tcPr>
          <w:p>
            <w:pPr>
              <w:jc w:val="center"/>
              <w:rPr>
                <w:rFonts w:ascii="宋体" w:hAnsi="宋体" w:cs="宋体"/>
                <w:color w:val="auto"/>
                <w:highlight w:val="none"/>
                <w:u w:val="none" w:color="auto"/>
              </w:rPr>
            </w:pPr>
            <w:r>
              <w:rPr>
                <w:rFonts w:hint="eastAsia" w:ascii="Times New Roman" w:hAnsi="Times New Roman" w:cs="Times New Roman"/>
                <w:color w:val="auto"/>
                <w:highlight w:val="none"/>
                <w:u w:val="none" w:color="auto"/>
              </w:rPr>
              <w:t>统一收集后交由生产厂家回收再利用</w:t>
            </w:r>
          </w:p>
        </w:tc>
        <w:tc>
          <w:tcPr>
            <w:tcW w:w="2964" w:type="dxa"/>
            <w:vMerge w:val="restart"/>
            <w:vAlign w:val="center"/>
          </w:tcPr>
          <w:p>
            <w:pPr>
              <w:spacing w:line="360" w:lineRule="auto"/>
              <w:rPr>
                <w:color w:val="auto"/>
                <w:kern w:val="0"/>
                <w:highlight w:val="none"/>
                <w:u w:val="none" w:color="auto"/>
              </w:rPr>
            </w:pPr>
            <w:r>
              <w:rPr>
                <w:rFonts w:hint="eastAsia"/>
                <w:color w:val="auto"/>
                <w:highlight w:val="none"/>
                <w:u w:val="none" w:color="auto"/>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spacing w:line="360" w:lineRule="auto"/>
              <w:jc w:val="center"/>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包装材料</w:t>
            </w:r>
          </w:p>
        </w:tc>
        <w:tc>
          <w:tcPr>
            <w:tcW w:w="1816" w:type="dxa"/>
            <w:vAlign w:val="center"/>
          </w:tcPr>
          <w:p>
            <w:pPr>
              <w:jc w:val="center"/>
              <w:rPr>
                <w:rFonts w:ascii="宋体" w:hAnsi="宋体" w:cs="宋体"/>
                <w:color w:val="auto"/>
                <w:highlight w:val="none"/>
                <w:u w:val="none" w:color="auto"/>
              </w:rPr>
            </w:pPr>
            <w:r>
              <w:rPr>
                <w:rFonts w:hint="eastAsia" w:ascii="Times New Roman" w:hAnsi="Times New Roman" w:cs="Times New Roman"/>
                <w:color w:val="auto"/>
                <w:highlight w:val="none"/>
                <w:u w:val="none" w:color="auto"/>
              </w:rPr>
              <w:t>废包装材料</w:t>
            </w:r>
          </w:p>
        </w:tc>
        <w:tc>
          <w:tcPr>
            <w:tcW w:w="1630" w:type="dxa"/>
            <w:vAlign w:val="center"/>
          </w:tcPr>
          <w:p>
            <w:pPr>
              <w:jc w:val="center"/>
              <w:rPr>
                <w:rFonts w:ascii="宋体" w:hAnsi="宋体" w:cs="宋体"/>
                <w:color w:val="auto"/>
                <w:highlight w:val="none"/>
                <w:u w:val="none" w:color="auto"/>
              </w:rPr>
            </w:pPr>
            <w:r>
              <w:rPr>
                <w:rFonts w:hint="eastAsia" w:ascii="Times New Roman" w:hAnsi="Times New Roman" w:cs="Times New Roman"/>
                <w:color w:val="auto"/>
                <w:highlight w:val="none"/>
                <w:u w:val="none" w:color="auto"/>
              </w:rPr>
              <w:t>进行分类回收后由废品收购单位收购利用</w:t>
            </w:r>
          </w:p>
        </w:tc>
        <w:tc>
          <w:tcPr>
            <w:tcW w:w="2964" w:type="dxa"/>
            <w:vMerge w:val="continue"/>
            <w:vAlign w:val="center"/>
          </w:tcPr>
          <w:p>
            <w:pPr>
              <w:spacing w:line="360" w:lineRule="auto"/>
              <w:jc w:val="center"/>
              <w:rPr>
                <w:color w:val="auto"/>
                <w:kern w:val="0"/>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spacing w:line="360" w:lineRule="auto"/>
              <w:jc w:val="center"/>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生产工序</w:t>
            </w:r>
          </w:p>
        </w:tc>
        <w:tc>
          <w:tcPr>
            <w:tcW w:w="1816" w:type="dxa"/>
            <w:vAlign w:val="center"/>
          </w:tcPr>
          <w:p>
            <w:pPr>
              <w:jc w:val="center"/>
              <w:rPr>
                <w:rFonts w:ascii="宋体" w:hAnsi="宋体" w:cs="宋体"/>
                <w:color w:val="auto"/>
                <w:highlight w:val="none"/>
                <w:u w:val="none" w:color="auto"/>
              </w:rPr>
            </w:pPr>
            <w:r>
              <w:rPr>
                <w:rFonts w:hint="eastAsia" w:ascii="Times New Roman" w:hAnsi="Times New Roman" w:cs="Times New Roman"/>
                <w:color w:val="auto"/>
                <w:highlight w:val="none"/>
                <w:u w:val="none" w:color="auto"/>
                <w:lang w:val="en-US" w:eastAsia="zh-CN"/>
              </w:rPr>
              <w:t>边角料及不合格产品</w:t>
            </w:r>
          </w:p>
        </w:tc>
        <w:tc>
          <w:tcPr>
            <w:tcW w:w="1630" w:type="dxa"/>
            <w:vAlign w:val="center"/>
          </w:tcPr>
          <w:p>
            <w:pPr>
              <w:jc w:val="center"/>
              <w:rPr>
                <w:rFonts w:ascii="宋体" w:hAnsi="宋体" w:cs="宋体"/>
                <w:color w:val="auto"/>
                <w:highlight w:val="none"/>
                <w:u w:val="none" w:color="auto"/>
              </w:rPr>
            </w:pPr>
            <w:r>
              <w:rPr>
                <w:rFonts w:hint="eastAsia" w:ascii="Times New Roman" w:hAnsi="Times New Roman" w:cs="Times New Roman"/>
                <w:color w:val="auto"/>
                <w:highlight w:val="none"/>
                <w:u w:val="none" w:color="auto"/>
              </w:rPr>
              <w:t>外售综合利用</w:t>
            </w:r>
          </w:p>
        </w:tc>
        <w:tc>
          <w:tcPr>
            <w:tcW w:w="2964" w:type="dxa"/>
            <w:vMerge w:val="continue"/>
            <w:vAlign w:val="center"/>
          </w:tcPr>
          <w:p>
            <w:pPr>
              <w:spacing w:line="360" w:lineRule="auto"/>
              <w:jc w:val="center"/>
              <w:rPr>
                <w:color w:val="auto"/>
                <w:kern w:val="0"/>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厂区员工</w:t>
            </w:r>
          </w:p>
        </w:tc>
        <w:tc>
          <w:tcPr>
            <w:tcW w:w="1816" w:type="dxa"/>
            <w:vAlign w:val="center"/>
          </w:tcPr>
          <w:p>
            <w:pPr>
              <w:jc w:val="center"/>
              <w:rPr>
                <w:color w:val="auto"/>
                <w:kern w:val="0"/>
                <w:highlight w:val="none"/>
                <w:u w:val="none" w:color="auto"/>
              </w:rPr>
            </w:pPr>
            <w:r>
              <w:rPr>
                <w:rFonts w:hint="eastAsia"/>
                <w:color w:val="auto"/>
                <w:kern w:val="0"/>
                <w:highlight w:val="none"/>
                <w:u w:val="none" w:color="auto"/>
              </w:rPr>
              <w:t>生活垃圾</w:t>
            </w:r>
          </w:p>
        </w:tc>
        <w:tc>
          <w:tcPr>
            <w:tcW w:w="1630" w:type="dxa"/>
            <w:vAlign w:val="center"/>
          </w:tcPr>
          <w:p>
            <w:pPr>
              <w:jc w:val="center"/>
              <w:rPr>
                <w:color w:val="auto"/>
                <w:kern w:val="0"/>
                <w:highlight w:val="none"/>
                <w:u w:val="none" w:color="auto"/>
              </w:rPr>
            </w:pPr>
            <w:r>
              <w:rPr>
                <w:color w:val="auto"/>
                <w:highlight w:val="none"/>
                <w:u w:val="none" w:color="auto"/>
              </w:rPr>
              <w:t>每天定期清理，统一收集送至村垃圾收集点</w:t>
            </w:r>
          </w:p>
        </w:tc>
        <w:tc>
          <w:tcPr>
            <w:tcW w:w="2964" w:type="dxa"/>
            <w:vMerge w:val="continue"/>
            <w:vAlign w:val="center"/>
          </w:tcPr>
          <w:p>
            <w:pPr>
              <w:spacing w:line="360" w:lineRule="auto"/>
              <w:jc w:val="center"/>
              <w:rPr>
                <w:color w:val="auto"/>
                <w:kern w:val="0"/>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jc w:val="center"/>
              <w:rPr>
                <w:color w:val="auto"/>
                <w:highlight w:val="none"/>
                <w:u w:val="none" w:color="auto"/>
              </w:rPr>
            </w:pPr>
            <w:r>
              <w:rPr>
                <w:rFonts w:hint="eastAsia"/>
                <w:color w:val="auto"/>
                <w:highlight w:val="none"/>
                <w:u w:val="none" w:color="auto"/>
              </w:rPr>
              <w:t>废气处理设施</w:t>
            </w:r>
          </w:p>
        </w:tc>
        <w:tc>
          <w:tcPr>
            <w:tcW w:w="1816" w:type="dxa"/>
            <w:vAlign w:val="center"/>
          </w:tcPr>
          <w:p>
            <w:pPr>
              <w:jc w:val="center"/>
              <w:rPr>
                <w:color w:val="auto"/>
                <w:highlight w:val="none"/>
                <w:u w:val="none" w:color="auto"/>
              </w:rPr>
            </w:pPr>
            <w:r>
              <w:rPr>
                <w:color w:val="auto"/>
                <w:highlight w:val="none"/>
                <w:u w:val="none" w:color="auto"/>
              </w:rPr>
              <w:t>废活性炭</w:t>
            </w:r>
          </w:p>
        </w:tc>
        <w:tc>
          <w:tcPr>
            <w:tcW w:w="1630" w:type="dxa"/>
            <w:vMerge w:val="restart"/>
            <w:vAlign w:val="center"/>
          </w:tcPr>
          <w:p>
            <w:pPr>
              <w:jc w:val="center"/>
              <w:rPr>
                <w:color w:val="auto"/>
                <w:highlight w:val="none"/>
                <w:u w:val="none" w:color="auto"/>
              </w:rPr>
            </w:pPr>
            <w:r>
              <w:rPr>
                <w:color w:val="auto"/>
                <w:highlight w:val="none"/>
                <w:u w:val="none" w:color="auto"/>
              </w:rPr>
              <w:t>经专门的收集桶收集后放置在危废暂存间中暂存，须按危险废物管理有关规定送至有资质的单位进行无害化处理</w:t>
            </w:r>
          </w:p>
        </w:tc>
        <w:tc>
          <w:tcPr>
            <w:tcW w:w="2964" w:type="dxa"/>
            <w:vMerge w:val="restart"/>
            <w:vAlign w:val="center"/>
          </w:tcPr>
          <w:p>
            <w:pPr>
              <w:spacing w:line="360" w:lineRule="auto"/>
              <w:jc w:val="center"/>
              <w:rPr>
                <w:rFonts w:hint="eastAsia"/>
                <w:color w:val="auto"/>
                <w:highlight w:val="none"/>
                <w:u w:val="none" w:color="auto"/>
                <w:lang w:eastAsia="zh-CN"/>
              </w:rPr>
            </w:pPr>
          </w:p>
          <w:p>
            <w:pPr>
              <w:spacing w:line="360" w:lineRule="auto"/>
              <w:jc w:val="both"/>
              <w:rPr>
                <w:color w:val="auto"/>
                <w:kern w:val="0"/>
                <w:highlight w:val="none"/>
                <w:u w:val="none" w:color="auto"/>
              </w:rPr>
            </w:pPr>
            <w:r>
              <w:rPr>
                <w:rFonts w:hint="eastAsia"/>
                <w:color w:val="auto"/>
                <w:highlight w:val="none"/>
                <w:u w:val="none" w:color="auto"/>
                <w:lang w:eastAsia="zh-CN"/>
              </w:rPr>
              <w:t>《</w:t>
            </w:r>
            <w:r>
              <w:rPr>
                <w:rFonts w:hint="eastAsia"/>
                <w:color w:val="auto"/>
                <w:highlight w:val="none"/>
                <w:u w:val="none" w:color="auto"/>
              </w:rPr>
              <w:t>危险废物贮存污染控制标准》(GB 18597-20</w:t>
            </w:r>
            <w:r>
              <w:rPr>
                <w:rFonts w:hint="eastAsia"/>
                <w:color w:val="auto"/>
                <w:highlight w:val="none"/>
                <w:u w:val="none" w:color="auto"/>
                <w:lang w:val="en-US" w:eastAsia="zh-CN"/>
              </w:rPr>
              <w:t>23</w:t>
            </w:r>
            <w:r>
              <w:rPr>
                <w:rFonts w:hint="eastAsia"/>
                <w:color w:val="auto"/>
                <w:highlight w:val="none"/>
                <w:u w:val="none" w:color="auto"/>
              </w:rPr>
              <w:t>)中的相关要求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生产工序</w:t>
            </w:r>
          </w:p>
        </w:tc>
        <w:tc>
          <w:tcPr>
            <w:tcW w:w="1816" w:type="dxa"/>
            <w:vAlign w:val="center"/>
          </w:tcPr>
          <w:p>
            <w:pPr>
              <w:jc w:val="center"/>
              <w:rPr>
                <w:color w:val="auto"/>
                <w:highlight w:val="none"/>
                <w:u w:val="none" w:color="auto"/>
              </w:rPr>
            </w:pPr>
            <w:r>
              <w:rPr>
                <w:rFonts w:hint="eastAsia" w:ascii="Times New Roman" w:hAnsi="Times New Roman" w:eastAsia="宋体" w:cs="Times New Roman"/>
                <w:color w:val="auto"/>
                <w:highlight w:val="none"/>
                <w:u w:val="none" w:color="auto"/>
              </w:rPr>
              <w:t>废</w:t>
            </w:r>
            <w:r>
              <w:rPr>
                <w:rFonts w:hint="eastAsia" w:ascii="Times New Roman" w:hAnsi="Times New Roman" w:eastAsia="宋体" w:cs="Times New Roman"/>
                <w:color w:val="auto"/>
                <w:highlight w:val="none"/>
                <w:u w:val="none" w:color="auto"/>
                <w:lang w:val="en-US" w:eastAsia="zh-CN"/>
              </w:rPr>
              <w:t>有机</w:t>
            </w:r>
            <w:r>
              <w:rPr>
                <w:rFonts w:hint="eastAsia" w:ascii="Times New Roman" w:hAnsi="Times New Roman" w:eastAsia="宋体" w:cs="Times New Roman"/>
                <w:color w:val="auto"/>
                <w:highlight w:val="none"/>
                <w:u w:val="none" w:color="auto"/>
              </w:rPr>
              <w:t>溶剂包装桶</w:t>
            </w:r>
          </w:p>
        </w:tc>
        <w:tc>
          <w:tcPr>
            <w:tcW w:w="1630" w:type="dxa"/>
            <w:vMerge w:val="continue"/>
            <w:vAlign w:val="center"/>
          </w:tcPr>
          <w:p>
            <w:pPr>
              <w:jc w:val="center"/>
              <w:rPr>
                <w:color w:val="auto"/>
                <w:highlight w:val="none"/>
                <w:u w:val="none" w:color="auto"/>
              </w:rPr>
            </w:pPr>
          </w:p>
        </w:tc>
        <w:tc>
          <w:tcPr>
            <w:tcW w:w="2964" w:type="dxa"/>
            <w:vMerge w:val="continue"/>
            <w:vAlign w:val="center"/>
          </w:tcPr>
          <w:p>
            <w:pPr>
              <w:spacing w:line="360" w:lineRule="auto"/>
              <w:jc w:val="both"/>
              <w:rPr>
                <w:rFonts w:hint="eastAsia"/>
                <w:color w:val="auto"/>
                <w:highlight w:val="none"/>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pPr>
              <w:spacing w:line="360" w:lineRule="auto"/>
              <w:jc w:val="center"/>
              <w:rPr>
                <w:color w:val="auto"/>
                <w:kern w:val="0"/>
                <w:highlight w:val="none"/>
                <w:u w:val="none" w:color="auto"/>
              </w:rPr>
            </w:pPr>
          </w:p>
        </w:tc>
        <w:tc>
          <w:tcPr>
            <w:tcW w:w="1725" w:type="dxa"/>
            <w:vAlign w:val="center"/>
          </w:tcPr>
          <w:p>
            <w:pPr>
              <w:spacing w:line="360" w:lineRule="auto"/>
              <w:jc w:val="center"/>
              <w:rPr>
                <w:color w:val="auto"/>
                <w:highlight w:val="none"/>
                <w:u w:val="none" w:color="auto"/>
              </w:rPr>
            </w:pPr>
            <w:r>
              <w:rPr>
                <w:rFonts w:hint="eastAsia"/>
                <w:color w:val="auto"/>
                <w:highlight w:val="none"/>
                <w:u w:val="none" w:color="auto"/>
              </w:rPr>
              <w:t>设备维修</w:t>
            </w:r>
          </w:p>
        </w:tc>
        <w:tc>
          <w:tcPr>
            <w:tcW w:w="1816" w:type="dxa"/>
            <w:vAlign w:val="center"/>
          </w:tcPr>
          <w:p>
            <w:pPr>
              <w:jc w:val="center"/>
              <w:rPr>
                <w:color w:val="auto"/>
                <w:highlight w:val="none"/>
                <w:u w:val="none" w:color="auto"/>
              </w:rPr>
            </w:pPr>
            <w:r>
              <w:rPr>
                <w:rFonts w:hint="eastAsia"/>
                <w:color w:val="auto"/>
                <w:kern w:val="0"/>
                <w:highlight w:val="none"/>
                <w:u w:val="none" w:color="auto"/>
              </w:rPr>
              <w:t>废机油</w:t>
            </w:r>
          </w:p>
        </w:tc>
        <w:tc>
          <w:tcPr>
            <w:tcW w:w="1630" w:type="dxa"/>
            <w:vMerge w:val="continue"/>
            <w:vAlign w:val="center"/>
          </w:tcPr>
          <w:p>
            <w:pPr>
              <w:jc w:val="center"/>
              <w:rPr>
                <w:color w:val="auto"/>
                <w:highlight w:val="none"/>
                <w:u w:val="none" w:color="auto"/>
              </w:rPr>
            </w:pPr>
          </w:p>
        </w:tc>
        <w:tc>
          <w:tcPr>
            <w:tcW w:w="2964" w:type="dxa"/>
            <w:vMerge w:val="continue"/>
            <w:vAlign w:val="center"/>
          </w:tcPr>
          <w:p>
            <w:pPr>
              <w:spacing w:line="360" w:lineRule="auto"/>
              <w:jc w:val="center"/>
              <w:rPr>
                <w:rFonts w:ascii="宋体" w:hAnsi="宋体" w:cs="宋体"/>
                <w:color w:val="auto"/>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土壤及地下水</w:t>
            </w:r>
          </w:p>
          <w:p>
            <w:pPr>
              <w:spacing w:line="360" w:lineRule="auto"/>
              <w:jc w:val="center"/>
              <w:rPr>
                <w:color w:val="auto"/>
                <w:kern w:val="0"/>
                <w:highlight w:val="none"/>
                <w:u w:val="none" w:color="auto"/>
              </w:rPr>
            </w:pPr>
            <w:r>
              <w:rPr>
                <w:rFonts w:hint="eastAsia"/>
                <w:color w:val="auto"/>
                <w:kern w:val="0"/>
                <w:highlight w:val="none"/>
                <w:u w:val="none" w:color="auto"/>
              </w:rPr>
              <w:t>污染防治措施</w:t>
            </w:r>
          </w:p>
        </w:tc>
        <w:tc>
          <w:tcPr>
            <w:tcW w:w="8135" w:type="dxa"/>
            <w:gridSpan w:val="4"/>
            <w:vAlign w:val="center"/>
          </w:tcPr>
          <w:p>
            <w:pPr>
              <w:spacing w:line="360" w:lineRule="auto"/>
              <w:jc w:val="center"/>
              <w:rPr>
                <w:color w:val="auto"/>
                <w:kern w:val="0"/>
                <w:highlight w:val="none"/>
                <w:u w:val="none" w:color="auto"/>
              </w:rPr>
            </w:pPr>
            <w:r>
              <w:rPr>
                <w:rFonts w:hint="eastAsia"/>
                <w:color w:val="auto"/>
                <w:kern w:val="0"/>
                <w:highlight w:val="none"/>
                <w:u w:val="none" w:color="auto"/>
              </w:rPr>
              <w:t>污水处理区硬化防渗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生态保护措施</w:t>
            </w:r>
          </w:p>
        </w:tc>
        <w:tc>
          <w:tcPr>
            <w:tcW w:w="8135" w:type="dxa"/>
            <w:gridSpan w:val="4"/>
          </w:tcPr>
          <w:p>
            <w:pPr>
              <w:adjustRightInd w:val="0"/>
              <w:snapToGrid w:val="0"/>
              <w:jc w:val="center"/>
              <w:rPr>
                <w:color w:val="auto"/>
                <w:kern w:val="0"/>
                <w:highlight w:val="none"/>
                <w:u w:val="none" w:color="auto"/>
              </w:rPr>
            </w:pPr>
            <w:r>
              <w:rPr>
                <w:rFonts w:hint="eastAsia" w:ascii="宋体" w:hAnsi="宋体" w:cs="宋体"/>
                <w:color w:val="auto"/>
                <w:highlight w:val="none"/>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环境风险</w:t>
            </w:r>
          </w:p>
          <w:p>
            <w:pPr>
              <w:spacing w:line="360" w:lineRule="auto"/>
              <w:jc w:val="center"/>
              <w:rPr>
                <w:color w:val="auto"/>
                <w:kern w:val="0"/>
                <w:highlight w:val="none"/>
                <w:u w:val="none" w:color="auto"/>
              </w:rPr>
            </w:pPr>
            <w:r>
              <w:rPr>
                <w:rFonts w:hint="eastAsia"/>
                <w:color w:val="auto"/>
                <w:kern w:val="0"/>
                <w:highlight w:val="none"/>
                <w:u w:val="none" w:color="auto"/>
              </w:rPr>
              <w:t>防范措施</w:t>
            </w:r>
          </w:p>
        </w:tc>
        <w:tc>
          <w:tcPr>
            <w:tcW w:w="8135" w:type="dxa"/>
            <w:gridSpan w:val="4"/>
            <w:vAlign w:val="center"/>
          </w:tcPr>
          <w:p>
            <w:pPr>
              <w:spacing w:line="360" w:lineRule="auto"/>
              <w:jc w:val="center"/>
              <w:rPr>
                <w:color w:val="auto"/>
                <w:kern w:val="0"/>
                <w:highlight w:val="none"/>
                <w:u w:val="none" w:color="auto"/>
              </w:rPr>
            </w:pPr>
            <w:r>
              <w:rPr>
                <w:color w:val="auto"/>
                <w:highlight w:val="none"/>
                <w:u w:val="none" w:color="auto"/>
              </w:rPr>
              <w:t>项目运行过程中存在泄</w:t>
            </w:r>
            <w:r>
              <w:rPr>
                <w:rFonts w:hint="eastAsia"/>
                <w:color w:val="auto"/>
                <w:highlight w:val="none"/>
                <w:u w:val="none" w:color="auto"/>
              </w:rPr>
              <w:t>漏</w:t>
            </w:r>
            <w:r>
              <w:rPr>
                <w:color w:val="auto"/>
                <w:highlight w:val="none"/>
                <w:u w:val="none" w:color="auto"/>
              </w:rPr>
              <w:t>、火灾风险，必须严格执行国家的技术规范和操作规程要求，落实各项安全规章制度，避免火灾</w:t>
            </w:r>
            <w:r>
              <w:rPr>
                <w:rFonts w:hint="eastAsia"/>
                <w:color w:val="auto"/>
                <w:highlight w:val="none"/>
                <w:u w:val="none" w:color="auto"/>
              </w:rPr>
              <w:t>、泄漏</w:t>
            </w:r>
            <w:r>
              <w:rPr>
                <w:color w:val="auto"/>
                <w:highlight w:val="none"/>
                <w:u w:val="none" w:color="auto"/>
              </w:rPr>
              <w:t>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spacing w:line="360" w:lineRule="auto"/>
              <w:jc w:val="center"/>
              <w:rPr>
                <w:color w:val="auto"/>
                <w:kern w:val="0"/>
                <w:highlight w:val="none"/>
                <w:u w:val="none" w:color="auto"/>
              </w:rPr>
            </w:pPr>
            <w:r>
              <w:rPr>
                <w:rFonts w:hint="eastAsia"/>
                <w:color w:val="auto"/>
                <w:kern w:val="0"/>
                <w:highlight w:val="none"/>
                <w:u w:val="none" w:color="auto"/>
              </w:rPr>
              <w:t>其他环境</w:t>
            </w:r>
          </w:p>
          <w:p>
            <w:pPr>
              <w:spacing w:line="360" w:lineRule="auto"/>
              <w:jc w:val="center"/>
              <w:rPr>
                <w:color w:val="auto"/>
                <w:kern w:val="0"/>
                <w:highlight w:val="none"/>
                <w:u w:val="none" w:color="auto"/>
              </w:rPr>
            </w:pPr>
            <w:r>
              <w:rPr>
                <w:rFonts w:hint="eastAsia"/>
                <w:color w:val="auto"/>
                <w:kern w:val="0"/>
                <w:highlight w:val="none"/>
                <w:u w:val="none" w:color="auto"/>
              </w:rPr>
              <w:t>管理要求</w:t>
            </w:r>
          </w:p>
        </w:tc>
        <w:tc>
          <w:tcPr>
            <w:tcW w:w="8135" w:type="dxa"/>
            <w:gridSpan w:val="4"/>
            <w:vAlign w:val="center"/>
          </w:tcPr>
          <w:p>
            <w:pPr>
              <w:spacing w:line="360" w:lineRule="auto"/>
              <w:jc w:val="center"/>
              <w:rPr>
                <w:color w:val="auto"/>
                <w:kern w:val="0"/>
                <w:highlight w:val="none"/>
                <w:u w:val="none" w:color="auto"/>
              </w:rPr>
            </w:pPr>
            <w:r>
              <w:rPr>
                <w:color w:val="auto"/>
                <w:kern w:val="0"/>
                <w:highlight w:val="none"/>
                <w:u w:val="none" w:color="auto"/>
              </w:rPr>
              <w:t>1、项目建成投产排污前，应办理排污许可证</w:t>
            </w:r>
          </w:p>
          <w:p>
            <w:pPr>
              <w:spacing w:line="360" w:lineRule="auto"/>
              <w:jc w:val="center"/>
              <w:rPr>
                <w:color w:val="auto"/>
                <w:kern w:val="0"/>
                <w:highlight w:val="none"/>
                <w:u w:val="none" w:color="auto"/>
              </w:rPr>
            </w:pPr>
            <w:r>
              <w:rPr>
                <w:color w:val="auto"/>
                <w:kern w:val="0"/>
                <w:highlight w:val="none"/>
                <w:u w:val="none" w:color="auto"/>
              </w:rPr>
              <w:t>2、项目建成试运行，及时进行环保竣工验收</w:t>
            </w:r>
          </w:p>
          <w:p>
            <w:pPr>
              <w:spacing w:line="360" w:lineRule="auto"/>
              <w:jc w:val="center"/>
              <w:rPr>
                <w:color w:val="auto"/>
                <w:kern w:val="0"/>
                <w:highlight w:val="none"/>
                <w:u w:val="none" w:color="auto"/>
              </w:rPr>
            </w:pPr>
            <w:r>
              <w:rPr>
                <w:color w:val="auto"/>
                <w:kern w:val="0"/>
                <w:highlight w:val="none"/>
                <w:u w:val="none" w:color="auto"/>
              </w:rPr>
              <w:t>3、项目建成后应及时完成环境风险应急预案编制并备案</w:t>
            </w:r>
            <w:r>
              <w:rPr>
                <w:rFonts w:hint="eastAsia"/>
                <w:color w:val="auto"/>
                <w:kern w:val="0"/>
                <w:highlight w:val="none"/>
                <w:u w:val="none" w:color="auto"/>
              </w:rPr>
              <w:t>。</w:t>
            </w:r>
          </w:p>
        </w:tc>
      </w:tr>
    </w:tbl>
    <w:p>
      <w:pPr>
        <w:spacing w:line="360" w:lineRule="auto"/>
        <w:jc w:val="center"/>
        <w:rPr>
          <w:color w:val="auto"/>
          <w:kern w:val="0"/>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before="0" w:after="0" w:line="360" w:lineRule="auto"/>
        <w:jc w:val="center"/>
        <w:rPr>
          <w:color w:val="auto"/>
          <w:sz w:val="32"/>
          <w:highlight w:val="none"/>
          <w:u w:val="none" w:color="auto"/>
        </w:rPr>
      </w:pPr>
      <w:bookmarkStart w:id="8" w:name="_Toc3896_WPSOffice_Level1"/>
      <w:r>
        <w:rPr>
          <w:rFonts w:hint="eastAsia"/>
          <w:color w:val="auto"/>
          <w:sz w:val="32"/>
          <w:highlight w:val="none"/>
          <w:u w:val="none" w:color="auto"/>
        </w:rPr>
        <w:t>六、结论</w:t>
      </w:r>
      <w:bookmarkEnd w:id="8"/>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pStyle w:val="4"/>
              <w:spacing w:before="0" w:after="0" w:line="360" w:lineRule="auto"/>
              <w:jc w:val="center"/>
              <w:outlineLvl w:val="0"/>
              <w:rPr>
                <w:color w:val="auto"/>
                <w:highlight w:val="none"/>
                <w:u w:val="none" w:color="auto"/>
              </w:rPr>
            </w:pPr>
          </w:p>
          <w:p>
            <w:pPr>
              <w:rPr>
                <w:color w:val="auto"/>
                <w:highlight w:val="none"/>
                <w:u w:val="none" w:color="auto"/>
              </w:rPr>
            </w:pPr>
          </w:p>
          <w:p>
            <w:pPr>
              <w:pStyle w:val="2"/>
              <w:rPr>
                <w:color w:val="auto"/>
                <w:highlight w:val="none"/>
                <w:u w:val="none" w:color="auto"/>
              </w:rPr>
            </w:pPr>
          </w:p>
          <w:p>
            <w:pPr>
              <w:rPr>
                <w:color w:val="auto"/>
                <w:highlight w:val="none"/>
                <w:u w:val="none" w:color="auto"/>
              </w:rPr>
            </w:pPr>
          </w:p>
          <w:p>
            <w:pPr>
              <w:pStyle w:val="2"/>
              <w:rPr>
                <w:color w:val="auto"/>
                <w:highlight w:val="none"/>
                <w:u w:val="none" w:color="auto"/>
              </w:rPr>
            </w:pPr>
          </w:p>
          <w:p>
            <w:pPr>
              <w:rPr>
                <w:color w:val="auto"/>
                <w:highlight w:val="none"/>
                <w:u w:val="none" w:color="auto"/>
              </w:rPr>
            </w:pPr>
          </w:p>
          <w:p>
            <w:pPr>
              <w:spacing w:line="360" w:lineRule="auto"/>
              <w:ind w:firstLine="480" w:firstLineChars="200"/>
              <w:rPr>
                <w:rFonts w:ascii="宋体" w:cs="宋体"/>
                <w:color w:val="auto"/>
                <w:sz w:val="24"/>
                <w:highlight w:val="none"/>
                <w:u w:val="none" w:color="auto"/>
              </w:rPr>
            </w:pPr>
            <w:r>
              <w:rPr>
                <w:rFonts w:hint="eastAsia"/>
                <w:color w:val="auto"/>
                <w:sz w:val="24"/>
                <w:szCs w:val="24"/>
                <w:highlight w:val="none"/>
                <w:u w:val="none" w:color="auto"/>
                <w:shd w:val="clear" w:color="auto" w:fill="FFFFFF"/>
              </w:rPr>
              <w:t>湖南友络电子有限公司电感生产项目</w:t>
            </w:r>
            <w:r>
              <w:rPr>
                <w:rFonts w:hint="eastAsia"/>
                <w:color w:val="auto"/>
                <w:sz w:val="24"/>
                <w:highlight w:val="none"/>
                <w:u w:val="none" w:color="auto"/>
              </w:rPr>
              <w:t>符合国家产业政策；项目选址符合相关规划要求；采用的工艺技术成熟可行，通过采取有效的环保措施可实现达标排放，对周边环境的影响也能控制在可接受程度。因此，建设单位在严格执行环保</w:t>
            </w:r>
            <w:r>
              <w:rPr>
                <w:color w:val="auto"/>
                <w:sz w:val="24"/>
                <w:highlight w:val="none"/>
                <w:u w:val="none" w:color="auto"/>
              </w:rPr>
              <w:t>“</w:t>
            </w:r>
            <w:r>
              <w:rPr>
                <w:rFonts w:hint="eastAsia"/>
                <w:color w:val="auto"/>
                <w:sz w:val="24"/>
                <w:highlight w:val="none"/>
                <w:u w:val="none" w:color="auto"/>
              </w:rPr>
              <w:t>三同时</w:t>
            </w:r>
            <w:r>
              <w:rPr>
                <w:color w:val="auto"/>
                <w:sz w:val="24"/>
                <w:highlight w:val="none"/>
                <w:u w:val="none" w:color="auto"/>
              </w:rPr>
              <w:t>”</w:t>
            </w:r>
            <w:r>
              <w:rPr>
                <w:rFonts w:hint="eastAsia"/>
                <w:color w:val="auto"/>
                <w:sz w:val="24"/>
                <w:highlight w:val="none"/>
                <w:u w:val="none" w:color="auto"/>
              </w:rPr>
              <w:t>制度，严格落实本报告提出的各项环保措施后，项目建设对环境的影响是可接受的。因此，从环保的角度分析，本项目的建设是可行的。</w:t>
            </w:r>
          </w:p>
          <w:p>
            <w:pPr>
              <w:pStyle w:val="2"/>
              <w:rPr>
                <w:color w:val="auto"/>
                <w:highlight w:val="none"/>
                <w:u w:val="none" w:color="auto"/>
              </w:rPr>
            </w:pPr>
          </w:p>
          <w:p>
            <w:pPr>
              <w:rPr>
                <w:color w:val="auto"/>
                <w:highlight w:val="none"/>
                <w:u w:val="none" w:color="auto"/>
              </w:rPr>
            </w:pPr>
          </w:p>
          <w:p>
            <w:pPr>
              <w:pStyle w:val="2"/>
              <w:rPr>
                <w:color w:val="auto"/>
                <w:highlight w:val="none"/>
                <w:u w:val="none" w:color="auto"/>
              </w:rPr>
            </w:pPr>
          </w:p>
          <w:p>
            <w:pPr>
              <w:rPr>
                <w:color w:val="auto"/>
                <w:highlight w:val="none"/>
                <w:u w:val="none" w:color="auto"/>
              </w:rPr>
            </w:pPr>
          </w:p>
          <w:p>
            <w:pPr>
              <w:pStyle w:val="2"/>
              <w:rPr>
                <w:color w:val="auto"/>
                <w:highlight w:val="none"/>
                <w:u w:val="none" w:color="auto"/>
              </w:rPr>
            </w:pPr>
          </w:p>
          <w:p>
            <w:pPr>
              <w:rPr>
                <w:color w:val="auto"/>
                <w:highlight w:val="none"/>
                <w:u w:val="none" w:color="auto"/>
              </w:rPr>
            </w:pPr>
          </w:p>
          <w:p>
            <w:pPr>
              <w:pStyle w:val="2"/>
              <w:rPr>
                <w:color w:val="auto"/>
                <w:highlight w:val="none"/>
                <w:u w:val="none" w:color="auto"/>
              </w:rPr>
            </w:pPr>
          </w:p>
          <w:p>
            <w:pPr>
              <w:rPr>
                <w:color w:val="auto"/>
                <w:highlight w:val="none"/>
                <w:u w:val="none" w:color="auto"/>
              </w:rPr>
            </w:pPr>
          </w:p>
          <w:p>
            <w:pPr>
              <w:pStyle w:val="2"/>
              <w:rPr>
                <w:color w:val="auto"/>
                <w:highlight w:val="none"/>
                <w:u w:val="none" w:color="auto"/>
              </w:rPr>
            </w:pPr>
          </w:p>
          <w:p>
            <w:pPr>
              <w:rPr>
                <w:color w:val="auto"/>
                <w:highlight w:val="none"/>
                <w:u w:val="none" w:color="auto"/>
              </w:rPr>
            </w:pPr>
          </w:p>
          <w:p>
            <w:pPr>
              <w:pStyle w:val="2"/>
              <w:rPr>
                <w:color w:val="auto"/>
                <w:highlight w:val="none"/>
                <w:u w:val="none" w:color="auto"/>
              </w:rPr>
            </w:pPr>
          </w:p>
          <w:p>
            <w:pPr>
              <w:rPr>
                <w:color w:val="auto"/>
                <w:highlight w:val="none"/>
                <w:u w:val="none" w:color="auto"/>
              </w:rPr>
            </w:pPr>
          </w:p>
        </w:tc>
      </w:tr>
    </w:tbl>
    <w:p>
      <w:pPr>
        <w:pStyle w:val="4"/>
        <w:spacing w:before="0" w:after="0" w:line="360" w:lineRule="auto"/>
        <w:jc w:val="center"/>
        <w:rPr>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before="0" w:after="0" w:line="360" w:lineRule="auto"/>
        <w:jc w:val="left"/>
        <w:rPr>
          <w:color w:val="auto"/>
          <w:sz w:val="32"/>
          <w:highlight w:val="none"/>
          <w:u w:val="none" w:color="auto"/>
        </w:rPr>
      </w:pPr>
      <w:bookmarkStart w:id="9" w:name="_Toc1827_WPSOffice_Level1"/>
      <w:r>
        <w:rPr>
          <w:rFonts w:hint="eastAsia"/>
          <w:color w:val="auto"/>
          <w:sz w:val="32"/>
          <w:highlight w:val="none"/>
          <w:u w:val="none" w:color="auto"/>
        </w:rPr>
        <w:t>附表</w:t>
      </w:r>
      <w:bookmarkEnd w:id="9"/>
    </w:p>
    <w:p>
      <w:pPr>
        <w:jc w:val="center"/>
        <w:rPr>
          <w:b/>
          <w:bCs/>
          <w:color w:val="auto"/>
          <w:sz w:val="28"/>
          <w:szCs w:val="28"/>
          <w:highlight w:val="none"/>
          <w:u w:val="none" w:color="auto"/>
        </w:rPr>
      </w:pPr>
      <w:bookmarkStart w:id="10" w:name="_Toc26910_WPSOffice_Level1"/>
      <w:r>
        <w:rPr>
          <w:rFonts w:hint="eastAsia"/>
          <w:b/>
          <w:bCs/>
          <w:color w:val="auto"/>
          <w:sz w:val="28"/>
          <w:szCs w:val="28"/>
          <w:highlight w:val="none"/>
          <w:u w:val="none" w:color="auto"/>
        </w:rPr>
        <w:t>建设项目污染物排放量汇总表</w:t>
      </w:r>
      <w:bookmarkEnd w:id="10"/>
    </w:p>
    <w:tbl>
      <w:tblPr>
        <w:tblStyle w:val="2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42"/>
        <w:gridCol w:w="11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88" w:type="dxa"/>
            <w:tcBorders>
              <w:tl2br w:val="single" w:color="auto" w:sz="4" w:space="0"/>
            </w:tcBorders>
            <w:tcMar>
              <w:left w:w="28" w:type="dxa"/>
              <w:right w:w="28" w:type="dxa"/>
            </w:tcMar>
            <w:vAlign w:val="center"/>
          </w:tcPr>
          <w:p>
            <w:pPr>
              <w:jc w:val="right"/>
              <w:rPr>
                <w:color w:val="auto"/>
                <w:kern w:val="0"/>
                <w:sz w:val="18"/>
                <w:szCs w:val="18"/>
                <w:highlight w:val="none"/>
                <w:u w:val="none" w:color="auto"/>
              </w:rPr>
            </w:pPr>
            <w:r>
              <w:rPr>
                <w:rFonts w:hint="eastAsia"/>
                <w:color w:val="auto"/>
                <w:kern w:val="0"/>
                <w:sz w:val="18"/>
                <w:szCs w:val="18"/>
                <w:highlight w:val="none"/>
                <w:u w:val="none" w:color="auto"/>
              </w:rPr>
              <w:t>项目</w:t>
            </w:r>
          </w:p>
          <w:p>
            <w:pPr>
              <w:rPr>
                <w:color w:val="auto"/>
                <w:kern w:val="0"/>
                <w:sz w:val="18"/>
                <w:szCs w:val="18"/>
                <w:highlight w:val="none"/>
                <w:u w:val="none" w:color="auto"/>
              </w:rPr>
            </w:pPr>
            <w:r>
              <w:rPr>
                <w:rFonts w:hint="eastAsia"/>
                <w:color w:val="auto"/>
                <w:kern w:val="0"/>
                <w:sz w:val="18"/>
                <w:szCs w:val="18"/>
                <w:highlight w:val="none"/>
                <w:u w:val="none" w:color="auto"/>
              </w:rPr>
              <w:t>分类</w:t>
            </w:r>
          </w:p>
        </w:tc>
        <w:tc>
          <w:tcPr>
            <w:tcW w:w="1417"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污染物名称</w:t>
            </w:r>
          </w:p>
        </w:tc>
        <w:tc>
          <w:tcPr>
            <w:tcW w:w="1701"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1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①</w:t>
            </w:r>
            <w:r>
              <w:rPr>
                <w:rFonts w:hint="eastAsia"/>
                <w:color w:val="auto"/>
                <w:kern w:val="0"/>
                <w:sz w:val="18"/>
                <w:szCs w:val="18"/>
                <w:highlight w:val="none"/>
                <w:u w:val="none" w:color="auto"/>
              </w:rPr>
              <w:fldChar w:fldCharType="end"/>
            </w:r>
          </w:p>
        </w:tc>
        <w:tc>
          <w:tcPr>
            <w:tcW w:w="1276"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pPr>
              <w:jc w:val="center"/>
              <w:rPr>
                <w:color w:val="auto"/>
                <w:kern w:val="0"/>
                <w:sz w:val="18"/>
                <w:szCs w:val="18"/>
                <w:highlight w:val="none"/>
                <w:u w:val="none" w:color="auto"/>
              </w:rPr>
            </w:pPr>
            <w:r>
              <w:rPr>
                <w:rFonts w:hint="eastAsia"/>
                <w:color w:val="auto"/>
                <w:kern w:val="0"/>
                <w:sz w:val="18"/>
                <w:szCs w:val="18"/>
                <w:highlight w:val="none"/>
                <w:u w:val="none" w:color="auto"/>
              </w:rPr>
              <w:t>许可排放量</w:t>
            </w:r>
          </w:p>
          <w:p>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2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②</w:t>
            </w:r>
            <w:r>
              <w:rPr>
                <w:rFonts w:hint="eastAsia"/>
                <w:color w:val="auto"/>
                <w:kern w:val="0"/>
                <w:sz w:val="18"/>
                <w:szCs w:val="18"/>
                <w:highlight w:val="none"/>
                <w:u w:val="none" w:color="auto"/>
              </w:rPr>
              <w:fldChar w:fldCharType="end"/>
            </w:r>
          </w:p>
        </w:tc>
        <w:tc>
          <w:tcPr>
            <w:tcW w:w="1701"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在建工程</w:t>
            </w:r>
          </w:p>
          <w:p>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3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③</w:t>
            </w:r>
            <w:r>
              <w:rPr>
                <w:rFonts w:hint="eastAsia"/>
                <w:color w:val="auto"/>
                <w:kern w:val="0"/>
                <w:sz w:val="18"/>
                <w:szCs w:val="18"/>
                <w:highlight w:val="none"/>
                <w:u w:val="none" w:color="auto"/>
              </w:rPr>
              <w:fldChar w:fldCharType="end"/>
            </w:r>
          </w:p>
        </w:tc>
        <w:tc>
          <w:tcPr>
            <w:tcW w:w="1559"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本项目</w:t>
            </w:r>
          </w:p>
          <w:p>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4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④</w:t>
            </w:r>
            <w:r>
              <w:rPr>
                <w:rFonts w:hint="eastAsia"/>
                <w:color w:val="auto"/>
                <w:kern w:val="0"/>
                <w:sz w:val="18"/>
                <w:szCs w:val="18"/>
                <w:highlight w:val="none"/>
                <w:u w:val="none" w:color="auto"/>
              </w:rPr>
              <w:fldChar w:fldCharType="end"/>
            </w:r>
          </w:p>
        </w:tc>
        <w:tc>
          <w:tcPr>
            <w:tcW w:w="1761"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以新带老削减量</w:t>
            </w:r>
          </w:p>
          <w:p>
            <w:pPr>
              <w:jc w:val="center"/>
              <w:rPr>
                <w:color w:val="auto"/>
                <w:kern w:val="0"/>
                <w:sz w:val="18"/>
                <w:szCs w:val="18"/>
                <w:highlight w:val="none"/>
                <w:u w:val="none" w:color="auto"/>
              </w:rPr>
            </w:pPr>
            <w:r>
              <w:rPr>
                <w:rFonts w:hint="eastAsia"/>
                <w:color w:val="auto"/>
                <w:kern w:val="0"/>
                <w:sz w:val="18"/>
                <w:szCs w:val="18"/>
                <w:highlight w:val="none"/>
                <w:u w:val="none" w:color="auto"/>
              </w:rPr>
              <w:t>（新建项目不填）</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5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⑤</w:t>
            </w:r>
            <w:r>
              <w:rPr>
                <w:rFonts w:hint="eastAsia"/>
                <w:color w:val="auto"/>
                <w:kern w:val="0"/>
                <w:sz w:val="18"/>
                <w:szCs w:val="18"/>
                <w:highlight w:val="none"/>
                <w:u w:val="none" w:color="auto"/>
              </w:rPr>
              <w:fldChar w:fldCharType="end"/>
            </w:r>
          </w:p>
        </w:tc>
        <w:tc>
          <w:tcPr>
            <w:tcW w:w="1642"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本项目建成后</w:t>
            </w:r>
          </w:p>
          <w:p>
            <w:pPr>
              <w:jc w:val="center"/>
              <w:rPr>
                <w:color w:val="auto"/>
                <w:kern w:val="0"/>
                <w:sz w:val="18"/>
                <w:szCs w:val="18"/>
                <w:highlight w:val="none"/>
                <w:u w:val="none" w:color="auto"/>
              </w:rPr>
            </w:pPr>
            <w:r>
              <w:rPr>
                <w:rFonts w:hint="eastAsia"/>
                <w:color w:val="auto"/>
                <w:kern w:val="0"/>
                <w:sz w:val="18"/>
                <w:szCs w:val="18"/>
                <w:highlight w:val="none"/>
                <w:u w:val="none" w:color="auto"/>
              </w:rPr>
              <w:t>全厂排放量（固体废物产生量）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6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⑥</w:t>
            </w:r>
            <w:r>
              <w:rPr>
                <w:rFonts w:hint="eastAsia"/>
                <w:color w:val="auto"/>
                <w:kern w:val="0"/>
                <w:sz w:val="18"/>
                <w:szCs w:val="18"/>
                <w:highlight w:val="none"/>
                <w:u w:val="none" w:color="auto"/>
              </w:rPr>
              <w:fldChar w:fldCharType="end"/>
            </w:r>
          </w:p>
        </w:tc>
        <w:tc>
          <w:tcPr>
            <w:tcW w:w="1143" w:type="dxa"/>
            <w:tcMar>
              <w:left w:w="28" w:type="dxa"/>
              <w:right w:w="28" w:type="dxa"/>
            </w:tcMar>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变化量</w:t>
            </w:r>
          </w:p>
          <w:p>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7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⑦</w:t>
            </w:r>
            <w:r>
              <w:rPr>
                <w:rFonts w:hint="eastAsia"/>
                <w:color w:val="auto"/>
                <w:kern w:val="0"/>
                <w:sz w:val="18"/>
                <w:szCs w:val="18"/>
                <w:highlight w:val="none"/>
                <w:u w:val="none" w:color="auto"/>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废气</w:t>
            </w:r>
          </w:p>
        </w:tc>
        <w:tc>
          <w:tcPr>
            <w:tcW w:w="1417" w:type="dxa"/>
            <w:vAlign w:val="center"/>
          </w:tcPr>
          <w:p>
            <w:pPr>
              <w:jc w:val="center"/>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非甲烷总烃</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276" w:type="dxa"/>
            <w:vAlign w:val="center"/>
          </w:tcPr>
          <w:p>
            <w:pPr>
              <w:jc w:val="center"/>
              <w:rPr>
                <w:color w:val="auto"/>
                <w:kern w:val="0"/>
                <w:highlight w:val="none"/>
                <w:u w:val="none" w:color="auto"/>
              </w:rPr>
            </w:pPr>
            <w:r>
              <w:rPr>
                <w:color w:val="auto"/>
                <w:kern w:val="0"/>
                <w:highlight w:val="none"/>
                <w:u w:val="none" w:color="auto"/>
              </w:rPr>
              <w:t>/</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559" w:type="dxa"/>
            <w:vAlign w:val="center"/>
          </w:tcPr>
          <w:p>
            <w:pPr>
              <w:jc w:val="center"/>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0.0533</w:t>
            </w:r>
            <w:r>
              <w:rPr>
                <w:rFonts w:hint="eastAsia"/>
                <w:color w:val="auto"/>
                <w:sz w:val="21"/>
                <w:szCs w:val="21"/>
                <w:highlight w:val="none"/>
                <w:u w:val="none" w:color="auto"/>
                <w:lang w:val="en-US" w:eastAsia="zh-CN"/>
              </w:rPr>
              <w:t xml:space="preserve"> </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color w:val="auto"/>
                <w:kern w:val="0"/>
                <w:highlight w:val="none"/>
                <w:u w:val="none" w:color="auto"/>
              </w:rPr>
              <w:t>/</w:t>
            </w:r>
          </w:p>
        </w:tc>
        <w:tc>
          <w:tcPr>
            <w:tcW w:w="1642" w:type="dxa"/>
            <w:vAlign w:val="center"/>
          </w:tcPr>
          <w:p>
            <w:pPr>
              <w:jc w:val="center"/>
              <w:rPr>
                <w:color w:val="auto"/>
                <w:kern w:val="0"/>
                <w:highlight w:val="none"/>
                <w:u w:val="none" w:color="auto"/>
              </w:rPr>
            </w:pPr>
            <w:r>
              <w:rPr>
                <w:rFonts w:hint="eastAsia"/>
                <w:color w:val="auto"/>
                <w:kern w:val="0"/>
                <w:highlight w:val="none"/>
                <w:u w:val="none" w:color="auto"/>
                <w:lang w:val="en-US" w:eastAsia="zh-CN"/>
              </w:rPr>
              <w:t>0.0533</w:t>
            </w:r>
            <w:r>
              <w:rPr>
                <w:rFonts w:hint="eastAsia"/>
                <w:color w:val="auto"/>
                <w:sz w:val="21"/>
                <w:szCs w:val="21"/>
                <w:highlight w:val="none"/>
                <w:u w:val="none" w:color="auto"/>
                <w:lang w:val="en-US" w:eastAsia="zh-CN"/>
              </w:rPr>
              <w:t xml:space="preserve"> </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widowControl/>
              <w:jc w:val="center"/>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二甲苯</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0.1128</w:t>
            </w:r>
            <w:r>
              <w:rPr>
                <w:rFonts w:hint="eastAsia"/>
                <w:color w:val="auto"/>
                <w:sz w:val="21"/>
                <w:szCs w:val="21"/>
                <w:highlight w:val="none"/>
                <w:u w:val="none" w:color="auto"/>
                <w:lang w:val="en-US" w:eastAsia="zh-CN"/>
              </w:rPr>
              <w:t xml:space="preserve"> </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jc w:val="center"/>
              <w:rPr>
                <w:color w:val="auto"/>
                <w:highlight w:val="none"/>
                <w:u w:val="none" w:color="auto"/>
              </w:rPr>
            </w:pPr>
            <w:r>
              <w:rPr>
                <w:rFonts w:hint="eastAsia"/>
                <w:color w:val="auto"/>
                <w:highlight w:val="none"/>
                <w:u w:val="none" w:color="auto"/>
                <w:lang w:val="en-US" w:eastAsia="zh-CN"/>
              </w:rPr>
              <w:t>0.1128</w:t>
            </w:r>
            <w:r>
              <w:rPr>
                <w:rFonts w:hint="eastAsia"/>
                <w:color w:val="auto"/>
                <w:sz w:val="21"/>
                <w:szCs w:val="21"/>
                <w:highlight w:val="none"/>
                <w:u w:val="none" w:color="auto"/>
                <w:lang w:val="en-US" w:eastAsia="zh-CN"/>
              </w:rPr>
              <w:t xml:space="preserve"> </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rFonts w:hint="eastAsia"/>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jc w:val="center"/>
              <w:rPr>
                <w:rFonts w:hint="default" w:eastAsia="宋体"/>
                <w:color w:val="auto"/>
                <w:kern w:val="0"/>
                <w:highlight w:val="none"/>
                <w:u w:val="none" w:color="auto"/>
                <w:lang w:val="en-US" w:eastAsia="zh-CN" w:bidi="ar"/>
              </w:rPr>
            </w:pPr>
            <w:r>
              <w:rPr>
                <w:rFonts w:hint="eastAsia"/>
                <w:color w:val="auto"/>
                <w:kern w:val="0"/>
                <w:highlight w:val="none"/>
                <w:u w:val="none" w:color="auto"/>
                <w:lang w:val="en-US" w:eastAsia="zh-CN" w:bidi="ar"/>
              </w:rPr>
              <w:t>颗粒物</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color w:val="auto"/>
                <w:kern w:val="0"/>
                <w:highlight w:val="none"/>
                <w:u w:val="none" w:color="auto"/>
              </w:rPr>
              <w:t>/</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559"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0.05</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color w:val="auto"/>
                <w:kern w:val="0"/>
                <w:highlight w:val="none"/>
                <w:u w:val="none" w:color="auto"/>
              </w:rPr>
              <w:t>/</w:t>
            </w:r>
          </w:p>
        </w:tc>
        <w:tc>
          <w:tcPr>
            <w:tcW w:w="1642" w:type="dxa"/>
            <w:vAlign w:val="center"/>
          </w:tcPr>
          <w:p>
            <w:pPr>
              <w:jc w:val="center"/>
              <w:rPr>
                <w:color w:val="auto"/>
                <w:highlight w:val="none"/>
                <w:u w:val="none" w:color="auto"/>
              </w:rPr>
            </w:pPr>
            <w:r>
              <w:rPr>
                <w:rFonts w:hint="eastAsia"/>
                <w:color w:val="auto"/>
                <w:highlight w:val="none"/>
                <w:u w:val="none" w:color="auto"/>
                <w:lang w:val="en-US" w:eastAsia="zh-CN"/>
              </w:rPr>
              <w:t>0.05</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废水</w:t>
            </w:r>
          </w:p>
        </w:tc>
        <w:tc>
          <w:tcPr>
            <w:tcW w:w="1417" w:type="dxa"/>
            <w:vAlign w:val="center"/>
          </w:tcPr>
          <w:p>
            <w:pPr>
              <w:adjustRightInd w:val="0"/>
              <w:snapToGrid w:val="0"/>
              <w:spacing w:line="320" w:lineRule="exact"/>
              <w:jc w:val="center"/>
              <w:rPr>
                <w:color w:val="auto"/>
                <w:kern w:val="0"/>
                <w:highlight w:val="none"/>
                <w:u w:val="none" w:color="auto"/>
              </w:rPr>
            </w:pPr>
            <w:r>
              <w:rPr>
                <w:color w:val="auto"/>
                <w:sz w:val="21"/>
                <w:szCs w:val="21"/>
                <w:highlight w:val="none"/>
                <w:u w:val="none" w:color="auto"/>
              </w:rPr>
              <w:t>COD</w:t>
            </w:r>
            <w:r>
              <w:rPr>
                <w:rFonts w:hint="eastAsia"/>
                <w:color w:val="auto"/>
                <w:sz w:val="21"/>
                <w:szCs w:val="21"/>
                <w:highlight w:val="none"/>
                <w:u w:val="none" w:color="auto"/>
                <w:lang w:val="en-US" w:eastAsia="zh-CN"/>
              </w:rPr>
              <w:t>cr</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0.048 </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0.048 </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adjustRightInd w:val="0"/>
              <w:snapToGrid w:val="0"/>
              <w:spacing w:line="320" w:lineRule="exact"/>
              <w:jc w:val="center"/>
              <w:rPr>
                <w:color w:val="auto"/>
                <w:kern w:val="0"/>
                <w:highlight w:val="none"/>
                <w:u w:val="none" w:color="auto"/>
              </w:rPr>
            </w:pPr>
            <w:r>
              <w:rPr>
                <w:rFonts w:hint="eastAsia"/>
                <w:color w:val="auto"/>
                <w:sz w:val="21"/>
                <w:szCs w:val="21"/>
                <w:highlight w:val="none"/>
                <w:u w:val="none" w:color="auto"/>
              </w:rPr>
              <w:t>TN</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0.009 </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0.009 </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adjustRightInd w:val="0"/>
              <w:snapToGrid w:val="0"/>
              <w:spacing w:line="320" w:lineRule="exact"/>
              <w:jc w:val="center"/>
              <w:rPr>
                <w:color w:val="auto"/>
                <w:kern w:val="0"/>
                <w:highlight w:val="none"/>
                <w:u w:val="none" w:color="auto"/>
              </w:rPr>
            </w:pPr>
            <w:r>
              <w:rPr>
                <w:rFonts w:hint="eastAsia"/>
                <w:color w:val="auto"/>
                <w:sz w:val="21"/>
                <w:szCs w:val="21"/>
                <w:highlight w:val="none"/>
                <w:u w:val="none" w:color="auto"/>
              </w:rPr>
              <w:t>TP</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0.001 </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0.001 </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adjustRightInd w:val="0"/>
              <w:snapToGrid w:val="0"/>
              <w:spacing w:line="320" w:lineRule="exact"/>
              <w:jc w:val="center"/>
              <w:rPr>
                <w:color w:val="auto"/>
                <w:kern w:val="0"/>
                <w:highlight w:val="none"/>
                <w:u w:val="none" w:color="auto"/>
              </w:rPr>
            </w:pPr>
            <w:r>
              <w:rPr>
                <w:color w:val="auto"/>
                <w:sz w:val="21"/>
                <w:szCs w:val="21"/>
                <w:highlight w:val="none"/>
                <w:u w:val="none" w:color="auto"/>
              </w:rPr>
              <w:t>SS</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0.034 </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0.034 </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adjustRightInd w:val="0"/>
              <w:snapToGrid w:val="0"/>
              <w:spacing w:line="320" w:lineRule="exact"/>
              <w:jc w:val="center"/>
              <w:rPr>
                <w:color w:val="auto"/>
                <w:kern w:val="0"/>
                <w:highlight w:val="none"/>
                <w:u w:val="none" w:color="auto"/>
              </w:rPr>
            </w:pPr>
            <w:r>
              <w:rPr>
                <w:color w:val="auto"/>
                <w:sz w:val="21"/>
                <w:szCs w:val="21"/>
                <w:highlight w:val="none"/>
                <w:u w:val="none" w:color="auto"/>
              </w:rPr>
              <w:t>NH</w:t>
            </w:r>
            <w:r>
              <w:rPr>
                <w:color w:val="auto"/>
                <w:sz w:val="21"/>
                <w:szCs w:val="21"/>
                <w:highlight w:val="none"/>
                <w:u w:val="none" w:color="auto"/>
                <w:vertAlign w:val="subscript"/>
              </w:rPr>
              <w:t>3</w:t>
            </w:r>
            <w:r>
              <w:rPr>
                <w:color w:val="auto"/>
                <w:sz w:val="21"/>
                <w:szCs w:val="21"/>
                <w:highlight w:val="none"/>
                <w:u w:val="none" w:color="auto"/>
              </w:rPr>
              <w:t>-N</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0.004 </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pStyle w:val="38"/>
              <w:ind w:firstLine="0" w:firstLineChars="0"/>
              <w:rPr>
                <w:color w:val="auto"/>
                <w:highlight w:val="none"/>
                <w:u w:val="none" w:color="auto"/>
              </w:rPr>
            </w:pPr>
            <w:r>
              <w:rPr>
                <w:rFonts w:hint="eastAsia"/>
                <w:color w:val="auto"/>
                <w:sz w:val="21"/>
                <w:szCs w:val="21"/>
                <w:highlight w:val="none"/>
                <w:u w:val="none" w:color="auto"/>
                <w:lang w:val="en-US" w:eastAsia="zh-CN"/>
              </w:rPr>
              <w:t xml:space="preserve">0.004 </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一般工业</w:t>
            </w:r>
          </w:p>
          <w:p>
            <w:pPr>
              <w:jc w:val="center"/>
              <w:rPr>
                <w:color w:val="auto"/>
                <w:kern w:val="0"/>
                <w:sz w:val="18"/>
                <w:szCs w:val="18"/>
                <w:highlight w:val="none"/>
                <w:u w:val="none" w:color="auto"/>
              </w:rPr>
            </w:pPr>
            <w:r>
              <w:rPr>
                <w:rFonts w:hint="eastAsia"/>
                <w:color w:val="auto"/>
                <w:kern w:val="0"/>
                <w:sz w:val="18"/>
                <w:szCs w:val="18"/>
                <w:highlight w:val="none"/>
                <w:u w:val="none" w:color="auto"/>
              </w:rPr>
              <w:t>固体废物</w:t>
            </w:r>
          </w:p>
        </w:tc>
        <w:tc>
          <w:tcPr>
            <w:tcW w:w="1417" w:type="dxa"/>
            <w:vAlign w:val="center"/>
          </w:tcPr>
          <w:p>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废锡渣</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jc w:val="center"/>
              <w:rPr>
                <w:color w:val="auto"/>
                <w:kern w:val="0"/>
                <w:sz w:val="20"/>
                <w:szCs w:val="20"/>
                <w:highlight w:val="none"/>
                <w:u w:val="none" w:color="auto"/>
              </w:rPr>
            </w:pPr>
            <w:r>
              <w:rPr>
                <w:rFonts w:hint="eastAsia" w:ascii="Times New Roman" w:hAnsi="Times New Roman" w:cs="Times New Roman"/>
                <w:color w:val="auto"/>
                <w:highlight w:val="none"/>
                <w:u w:val="none" w:color="auto"/>
                <w:lang w:val="en-US" w:eastAsia="zh-CN"/>
              </w:rPr>
              <w:t>0.02</w:t>
            </w:r>
            <w:r>
              <w:rPr>
                <w:rFonts w:hint="eastAsia"/>
                <w:color w:val="auto"/>
                <w:kern w:val="0"/>
                <w:sz w:val="20"/>
                <w:szCs w:val="20"/>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0.02</w:t>
            </w:r>
            <w:r>
              <w:rPr>
                <w:rFonts w:hint="eastAsia"/>
                <w:color w:val="auto"/>
                <w:kern w:val="0"/>
                <w:sz w:val="20"/>
                <w:szCs w:val="20"/>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jc w:val="center"/>
              <w:rPr>
                <w:color w:val="auto"/>
                <w:kern w:val="0"/>
                <w:highlight w:val="none"/>
                <w:u w:val="none" w:color="auto"/>
              </w:rPr>
            </w:pPr>
            <w:r>
              <w:rPr>
                <w:rFonts w:hint="eastAsia" w:ascii="Times New Roman" w:hAnsi="Times New Roman" w:cs="Times New Roman"/>
                <w:color w:val="auto"/>
                <w:highlight w:val="none"/>
                <w:u w:val="none" w:color="auto"/>
              </w:rPr>
              <w:t>废包装材料</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jc w:val="center"/>
              <w:rPr>
                <w:color w:val="auto"/>
                <w:kern w:val="0"/>
                <w:sz w:val="20"/>
                <w:szCs w:val="20"/>
                <w:highlight w:val="none"/>
                <w:u w:val="none" w:color="auto"/>
              </w:rPr>
            </w:pPr>
            <w:r>
              <w:rPr>
                <w:rFonts w:hint="eastAsia" w:ascii="Times New Roman" w:hAnsi="Times New Roman" w:cs="Times New Roman"/>
                <w:color w:val="auto"/>
                <w:highlight w:val="none"/>
                <w:u w:val="none" w:color="auto"/>
                <w:lang w:val="en-US" w:eastAsia="zh-CN"/>
              </w:rPr>
              <w:t>0.5</w:t>
            </w:r>
            <w:r>
              <w:rPr>
                <w:rFonts w:hint="eastAsia"/>
                <w:color w:val="auto"/>
                <w:kern w:val="0"/>
                <w:sz w:val="20"/>
                <w:szCs w:val="20"/>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0.5</w:t>
            </w:r>
            <w:r>
              <w:rPr>
                <w:rFonts w:hint="eastAsia"/>
                <w:color w:val="auto"/>
                <w:kern w:val="0"/>
                <w:sz w:val="20"/>
                <w:szCs w:val="20"/>
                <w:highlight w:val="none"/>
                <w:u w:val="none" w:color="auto"/>
              </w:rPr>
              <w:t>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jc w:val="center"/>
              <w:rPr>
                <w:bCs/>
                <w:color w:val="auto"/>
                <w:highlight w:val="none"/>
                <w:u w:val="none" w:color="auto"/>
              </w:rPr>
            </w:pPr>
            <w:r>
              <w:rPr>
                <w:rFonts w:hint="eastAsia" w:ascii="Times New Roman" w:hAnsi="Times New Roman" w:cs="Times New Roman"/>
                <w:color w:val="auto"/>
                <w:highlight w:val="none"/>
                <w:u w:val="none" w:color="auto"/>
                <w:lang w:val="en-US" w:eastAsia="zh-CN"/>
              </w:rPr>
              <w:t>边角料及不合格产品</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jc w:val="center"/>
              <w:rPr>
                <w:color w:val="auto"/>
                <w:kern w:val="0"/>
                <w:sz w:val="20"/>
                <w:szCs w:val="20"/>
                <w:highlight w:val="none"/>
                <w:u w:val="none" w:color="auto"/>
              </w:rPr>
            </w:pPr>
            <w:r>
              <w:rPr>
                <w:rFonts w:hint="eastAsia" w:ascii="Times New Roman" w:hAnsi="Times New Roman" w:cs="Times New Roman"/>
                <w:color w:val="auto"/>
                <w:highlight w:val="none"/>
                <w:u w:val="none" w:color="auto"/>
                <w:lang w:val="en-US" w:eastAsia="zh-CN"/>
              </w:rPr>
              <w:t>1.6</w:t>
            </w:r>
            <w:r>
              <w:rPr>
                <w:rFonts w:hint="eastAsia"/>
                <w:color w:val="auto"/>
                <w:kern w:val="0"/>
                <w:sz w:val="20"/>
                <w:szCs w:val="20"/>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jc w:val="center"/>
              <w:rPr>
                <w:color w:val="auto"/>
                <w:highlight w:val="none"/>
                <w:u w:val="none" w:color="auto"/>
              </w:rPr>
            </w:pPr>
            <w:r>
              <w:rPr>
                <w:rFonts w:hint="eastAsia" w:ascii="Times New Roman" w:hAnsi="Times New Roman" w:cs="Times New Roman"/>
                <w:color w:val="auto"/>
                <w:highlight w:val="none"/>
                <w:u w:val="none" w:color="auto"/>
                <w:lang w:val="en-US" w:eastAsia="zh-CN"/>
              </w:rPr>
              <w:t>1.6</w:t>
            </w:r>
            <w:r>
              <w:rPr>
                <w:rFonts w:hint="eastAsia"/>
                <w:color w:val="auto"/>
                <w:kern w:val="0"/>
                <w:sz w:val="20"/>
                <w:szCs w:val="20"/>
                <w:highlight w:val="none"/>
                <w:u w:val="none" w:color="auto"/>
              </w:rPr>
              <w:t>t/a</w:t>
            </w:r>
          </w:p>
        </w:tc>
        <w:tc>
          <w:tcPr>
            <w:tcW w:w="1143" w:type="dxa"/>
            <w:vAlign w:val="center"/>
          </w:tcPr>
          <w:p>
            <w:pPr>
              <w:jc w:val="center"/>
              <w:rPr>
                <w:color w:val="auto"/>
                <w:kern w:val="0"/>
                <w:highlight w:val="none"/>
                <w:u w:val="none" w:color="auto"/>
              </w:rPr>
            </w:pPr>
            <w:r>
              <w:rPr>
                <w:rFonts w:hint="eastAsia"/>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jc w:val="center"/>
              <w:rPr>
                <w:rFonts w:hint="eastAsia"/>
                <w:bCs/>
                <w:color w:val="auto"/>
                <w:highlight w:val="none"/>
                <w:u w:val="none" w:color="auto"/>
              </w:rPr>
            </w:pPr>
            <w:r>
              <w:rPr>
                <w:rFonts w:hint="eastAsia"/>
                <w:color w:val="auto"/>
                <w:highlight w:val="none"/>
                <w:u w:val="none" w:color="auto"/>
              </w:rPr>
              <w:t>生活垃圾</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rFonts w:hint="eastAsia"/>
                <w:color w:val="auto"/>
                <w:kern w:val="0"/>
                <w:highlight w:val="none"/>
                <w:u w:val="none" w:color="auto"/>
              </w:rPr>
            </w:pPr>
            <w:r>
              <w:rPr>
                <w:color w:val="auto"/>
                <w:kern w:val="0"/>
                <w:highlight w:val="none"/>
                <w:u w:val="none" w:color="auto"/>
              </w:rPr>
              <w:t>/</w:t>
            </w:r>
          </w:p>
        </w:tc>
        <w:tc>
          <w:tcPr>
            <w:tcW w:w="1701" w:type="dxa"/>
            <w:vAlign w:val="center"/>
          </w:tcPr>
          <w:p>
            <w:pPr>
              <w:jc w:val="center"/>
              <w:rPr>
                <w:rFonts w:hint="eastAsia"/>
                <w:color w:val="auto"/>
                <w:kern w:val="0"/>
                <w:highlight w:val="none"/>
                <w:u w:val="none" w:color="auto"/>
              </w:rPr>
            </w:pPr>
            <w:r>
              <w:rPr>
                <w:color w:val="auto"/>
                <w:kern w:val="0"/>
                <w:highlight w:val="none"/>
                <w:u w:val="none" w:color="auto"/>
              </w:rPr>
              <w:t>/</w:t>
            </w:r>
          </w:p>
        </w:tc>
        <w:tc>
          <w:tcPr>
            <w:tcW w:w="1559" w:type="dxa"/>
            <w:vAlign w:val="center"/>
          </w:tcPr>
          <w:p>
            <w:pPr>
              <w:jc w:val="center"/>
              <w:rPr>
                <w:rFonts w:hint="default" w:eastAsia="宋体"/>
                <w:color w:val="auto"/>
                <w:kern w:val="0"/>
                <w:sz w:val="20"/>
                <w:szCs w:val="20"/>
                <w:highlight w:val="none"/>
                <w:u w:val="none" w:color="auto"/>
                <w:lang w:val="en-US" w:eastAsia="zh-CN"/>
              </w:rPr>
            </w:pPr>
            <w:r>
              <w:rPr>
                <w:rFonts w:hint="eastAsia"/>
                <w:color w:val="auto"/>
                <w:highlight w:val="none"/>
                <w:u w:val="none" w:color="auto"/>
                <w:lang w:val="en-US" w:eastAsia="zh-CN"/>
              </w:rPr>
              <w:t>4.5</w:t>
            </w:r>
            <w:r>
              <w:rPr>
                <w:rFonts w:hint="eastAsia"/>
                <w:color w:val="auto"/>
                <w:kern w:val="0"/>
                <w:sz w:val="20"/>
                <w:szCs w:val="20"/>
                <w:highlight w:val="none"/>
                <w:u w:val="none" w:color="auto"/>
              </w:rPr>
              <w:t>t/a</w:t>
            </w:r>
          </w:p>
        </w:tc>
        <w:tc>
          <w:tcPr>
            <w:tcW w:w="1761" w:type="dxa"/>
            <w:vAlign w:val="center"/>
          </w:tcPr>
          <w:p>
            <w:pPr>
              <w:jc w:val="center"/>
              <w:rPr>
                <w:rFonts w:hint="eastAsia"/>
                <w:color w:val="auto"/>
                <w:kern w:val="0"/>
                <w:highlight w:val="none"/>
                <w:u w:val="none" w:color="auto"/>
              </w:rPr>
            </w:pPr>
            <w:r>
              <w:rPr>
                <w:color w:val="auto"/>
                <w:kern w:val="0"/>
                <w:highlight w:val="none"/>
                <w:u w:val="none" w:color="auto"/>
              </w:rPr>
              <w:t>/</w:t>
            </w:r>
          </w:p>
        </w:tc>
        <w:tc>
          <w:tcPr>
            <w:tcW w:w="1642" w:type="dxa"/>
            <w:vAlign w:val="center"/>
          </w:tcPr>
          <w:p>
            <w:pPr>
              <w:jc w:val="center"/>
              <w:rPr>
                <w:rFonts w:hint="eastAsia"/>
                <w:color w:val="auto"/>
                <w:kern w:val="0"/>
                <w:sz w:val="20"/>
                <w:szCs w:val="20"/>
                <w:highlight w:val="none"/>
                <w:u w:val="none" w:color="auto"/>
              </w:rPr>
            </w:pPr>
            <w:r>
              <w:rPr>
                <w:rFonts w:hint="eastAsia"/>
                <w:color w:val="auto"/>
                <w:highlight w:val="none"/>
                <w:u w:val="none" w:color="auto"/>
                <w:lang w:val="en-US" w:eastAsia="zh-CN"/>
              </w:rPr>
              <w:t>4.5</w:t>
            </w:r>
            <w:r>
              <w:rPr>
                <w:rFonts w:hint="eastAsia"/>
                <w:color w:val="auto"/>
                <w:kern w:val="0"/>
                <w:sz w:val="20"/>
                <w:szCs w:val="20"/>
                <w:highlight w:val="none"/>
                <w:u w:val="none" w:color="auto"/>
              </w:rPr>
              <w:t>t/a</w:t>
            </w:r>
          </w:p>
        </w:tc>
        <w:tc>
          <w:tcPr>
            <w:tcW w:w="1143" w:type="dxa"/>
            <w:vAlign w:val="center"/>
          </w:tcPr>
          <w:p>
            <w:pPr>
              <w:jc w:val="center"/>
              <w:rPr>
                <w:rFonts w:hint="eastAsia"/>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jc w:val="center"/>
              <w:rPr>
                <w:color w:val="auto"/>
                <w:kern w:val="0"/>
                <w:sz w:val="18"/>
                <w:szCs w:val="18"/>
                <w:highlight w:val="none"/>
                <w:u w:val="none" w:color="auto"/>
              </w:rPr>
            </w:pPr>
            <w:r>
              <w:rPr>
                <w:rFonts w:hint="eastAsia"/>
                <w:color w:val="auto"/>
                <w:kern w:val="0"/>
                <w:sz w:val="18"/>
                <w:szCs w:val="18"/>
                <w:highlight w:val="none"/>
                <w:u w:val="none" w:color="auto"/>
              </w:rPr>
              <w:t>危险废物</w:t>
            </w:r>
          </w:p>
        </w:tc>
        <w:tc>
          <w:tcPr>
            <w:tcW w:w="1417" w:type="dxa"/>
            <w:vAlign w:val="center"/>
          </w:tcPr>
          <w:p>
            <w:pPr>
              <w:jc w:val="center"/>
              <w:rPr>
                <w:color w:val="auto"/>
                <w:kern w:val="0"/>
                <w:highlight w:val="none"/>
                <w:u w:val="none" w:color="auto"/>
              </w:rPr>
            </w:pPr>
            <w:r>
              <w:rPr>
                <w:rFonts w:hint="eastAsia"/>
                <w:color w:val="auto"/>
                <w:highlight w:val="none"/>
                <w:u w:val="none" w:color="auto"/>
              </w:rPr>
              <w:t>废活性炭</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color w:val="auto"/>
                <w:kern w:val="0"/>
                <w:highlight w:val="none"/>
                <w:u w:val="none" w:color="auto"/>
              </w:rPr>
              <w:t>/</w:t>
            </w:r>
          </w:p>
        </w:tc>
        <w:tc>
          <w:tcPr>
            <w:tcW w:w="1559" w:type="dxa"/>
            <w:vAlign w:val="center"/>
          </w:tcPr>
          <w:p>
            <w:pPr>
              <w:jc w:val="center"/>
              <w:rPr>
                <w:color w:val="auto"/>
                <w:kern w:val="0"/>
                <w:highlight w:val="none"/>
                <w:u w:val="none" w:color="auto"/>
              </w:rPr>
            </w:pPr>
            <w:r>
              <w:rPr>
                <w:rFonts w:hint="eastAsia"/>
                <w:color w:val="auto"/>
                <w:sz w:val="21"/>
                <w:szCs w:val="21"/>
                <w:highlight w:val="none"/>
                <w:u w:val="none" w:color="auto"/>
                <w:lang w:val="en-US" w:eastAsia="zh-CN"/>
              </w:rPr>
              <w:t>3.724</w:t>
            </w:r>
            <w:r>
              <w:rPr>
                <w:rFonts w:hint="eastAsia"/>
                <w:color w:val="auto"/>
                <w:sz w:val="21"/>
                <w:szCs w:val="21"/>
                <w:highlight w:val="none"/>
                <w:u w:val="none" w:color="auto"/>
              </w:rPr>
              <w:t>t/</w:t>
            </w:r>
            <w:r>
              <w:rPr>
                <w:rFonts w:hint="eastAsia"/>
                <w:color w:val="auto"/>
                <w:highlight w:val="none"/>
                <w:u w:val="none" w:color="auto"/>
              </w:rPr>
              <w: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jc w:val="center"/>
              <w:rPr>
                <w:color w:val="auto"/>
                <w:kern w:val="0"/>
                <w:highlight w:val="none"/>
                <w:u w:val="none" w:color="auto"/>
              </w:rPr>
            </w:pPr>
            <w:r>
              <w:rPr>
                <w:rFonts w:hint="eastAsia"/>
                <w:color w:val="auto"/>
                <w:sz w:val="21"/>
                <w:szCs w:val="21"/>
                <w:highlight w:val="none"/>
                <w:u w:val="none" w:color="auto"/>
                <w:lang w:val="en-US" w:eastAsia="zh-CN"/>
              </w:rPr>
              <w:t>3.724</w:t>
            </w:r>
            <w:r>
              <w:rPr>
                <w:rFonts w:hint="eastAsia"/>
                <w:color w:val="auto"/>
                <w:sz w:val="21"/>
                <w:szCs w:val="21"/>
                <w:highlight w:val="none"/>
                <w:u w:val="none" w:color="auto"/>
              </w:rPr>
              <w:t>t/</w:t>
            </w:r>
            <w:r>
              <w:rPr>
                <w:rFonts w:hint="eastAsia"/>
                <w:color w:val="auto"/>
                <w:highlight w:val="none"/>
                <w:u w:val="none" w:color="auto"/>
              </w:rPr>
              <w:t>a</w:t>
            </w:r>
          </w:p>
        </w:tc>
        <w:tc>
          <w:tcPr>
            <w:tcW w:w="1143" w:type="dxa"/>
            <w:vAlign w:val="center"/>
          </w:tcPr>
          <w:p>
            <w:pPr>
              <w:jc w:val="center"/>
              <w:rPr>
                <w:color w:val="auto"/>
                <w:kern w:val="0"/>
                <w:highlight w:val="none"/>
                <w:u w:val="none" w:color="auto"/>
              </w:rPr>
            </w:pPr>
            <w:r>
              <w:rPr>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bookmarkStart w:id="11" w:name="_Toc22696_WPSOffice_Level1"/>
          </w:p>
        </w:tc>
        <w:tc>
          <w:tcPr>
            <w:tcW w:w="1417" w:type="dxa"/>
            <w:vAlign w:val="center"/>
          </w:tcPr>
          <w:p>
            <w:pPr>
              <w:jc w:val="center"/>
              <w:rPr>
                <w:color w:val="auto"/>
                <w:highlight w:val="none"/>
                <w:u w:val="none" w:color="auto"/>
              </w:rPr>
            </w:pPr>
            <w:r>
              <w:rPr>
                <w:rFonts w:hint="eastAsia"/>
                <w:color w:val="auto"/>
                <w:highlight w:val="none"/>
                <w:u w:val="none" w:color="auto"/>
              </w:rPr>
              <w:t>废机油</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276"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559" w:type="dxa"/>
            <w:vAlign w:val="center"/>
          </w:tcPr>
          <w:p>
            <w:pPr>
              <w:jc w:val="center"/>
              <w:rPr>
                <w:color w:val="auto"/>
                <w:highlight w:val="none"/>
                <w:u w:val="none" w:color="auto"/>
              </w:rPr>
            </w:pPr>
            <w:r>
              <w:rPr>
                <w:color w:val="auto"/>
                <w:highlight w:val="none"/>
                <w:u w:val="none" w:color="auto"/>
              </w:rPr>
              <w:t>0.1</w:t>
            </w:r>
            <w:r>
              <w:rPr>
                <w:rFonts w:hint="eastAsia"/>
                <w:color w:val="auto"/>
                <w:highlight w:val="none"/>
                <w:u w:val="none" w:color="auto"/>
              </w:rPr>
              <w:t>t/a</w:t>
            </w:r>
          </w:p>
        </w:tc>
        <w:tc>
          <w:tcPr>
            <w:tcW w:w="1761" w:type="dxa"/>
            <w:vAlign w:val="center"/>
          </w:tcPr>
          <w:p>
            <w:pPr>
              <w:jc w:val="center"/>
              <w:rPr>
                <w:color w:val="auto"/>
                <w:kern w:val="0"/>
                <w:highlight w:val="none"/>
                <w:u w:val="none" w:color="auto"/>
              </w:rPr>
            </w:pPr>
            <w:r>
              <w:rPr>
                <w:rFonts w:hint="eastAsia"/>
                <w:color w:val="auto"/>
                <w:kern w:val="0"/>
                <w:highlight w:val="none"/>
                <w:u w:val="none" w:color="auto"/>
              </w:rPr>
              <w:t>/</w:t>
            </w:r>
          </w:p>
        </w:tc>
        <w:tc>
          <w:tcPr>
            <w:tcW w:w="1642" w:type="dxa"/>
            <w:vAlign w:val="center"/>
          </w:tcPr>
          <w:p>
            <w:pPr>
              <w:jc w:val="center"/>
              <w:rPr>
                <w:color w:val="auto"/>
                <w:highlight w:val="none"/>
                <w:u w:val="none" w:color="auto"/>
              </w:rPr>
            </w:pPr>
            <w:r>
              <w:rPr>
                <w:color w:val="auto"/>
                <w:highlight w:val="none"/>
                <w:u w:val="none" w:color="auto"/>
              </w:rPr>
              <w:t>0.1</w:t>
            </w:r>
            <w:r>
              <w:rPr>
                <w:rFonts w:hint="eastAsia"/>
                <w:color w:val="auto"/>
                <w:highlight w:val="none"/>
                <w:u w:val="none" w:color="auto"/>
              </w:rPr>
              <w:t>t/a</w:t>
            </w:r>
          </w:p>
        </w:tc>
        <w:tc>
          <w:tcPr>
            <w:tcW w:w="1143" w:type="dxa"/>
            <w:vAlign w:val="center"/>
          </w:tcPr>
          <w:p>
            <w:pPr>
              <w:jc w:val="center"/>
              <w:rPr>
                <w:color w:val="auto"/>
                <w:kern w:val="0"/>
                <w:highlight w:val="none"/>
                <w:u w:val="none" w:color="auto"/>
              </w:rPr>
            </w:pPr>
            <w:r>
              <w:rPr>
                <w:rFonts w:hint="eastAsia"/>
                <w:color w:val="auto"/>
                <w:kern w:val="0"/>
                <w:highlight w:val="none"/>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highlight w:val="none"/>
                <w:u w:val="none" w:color="auto"/>
              </w:rPr>
            </w:pPr>
          </w:p>
        </w:tc>
        <w:tc>
          <w:tcPr>
            <w:tcW w:w="1417" w:type="dxa"/>
            <w:vAlign w:val="center"/>
          </w:tcPr>
          <w:p>
            <w:pPr>
              <w:jc w:val="center"/>
              <w:rPr>
                <w:rFonts w:hint="eastAsia"/>
                <w:color w:val="auto"/>
                <w:highlight w:val="none"/>
                <w:u w:val="none" w:color="auto"/>
              </w:rPr>
            </w:pPr>
            <w:r>
              <w:rPr>
                <w:rFonts w:hint="eastAsia" w:ascii="Times New Roman" w:hAnsi="Times New Roman" w:eastAsia="宋体" w:cs="Times New Roman"/>
                <w:color w:val="auto"/>
                <w:highlight w:val="none"/>
                <w:u w:val="none" w:color="auto"/>
              </w:rPr>
              <w:t>废</w:t>
            </w:r>
            <w:r>
              <w:rPr>
                <w:rFonts w:hint="eastAsia" w:ascii="Times New Roman" w:hAnsi="Times New Roman" w:eastAsia="宋体" w:cs="Times New Roman"/>
                <w:color w:val="auto"/>
                <w:highlight w:val="none"/>
                <w:u w:val="none" w:color="auto"/>
                <w:lang w:val="en-US" w:eastAsia="zh-CN"/>
              </w:rPr>
              <w:t>有机</w:t>
            </w:r>
            <w:r>
              <w:rPr>
                <w:rFonts w:hint="eastAsia" w:ascii="Times New Roman" w:hAnsi="Times New Roman" w:eastAsia="宋体" w:cs="Times New Roman"/>
                <w:color w:val="auto"/>
                <w:highlight w:val="none"/>
                <w:u w:val="none" w:color="auto"/>
              </w:rPr>
              <w:t>溶剂包装桶</w:t>
            </w:r>
          </w:p>
        </w:tc>
        <w:tc>
          <w:tcPr>
            <w:tcW w:w="1701" w:type="dxa"/>
            <w:vAlign w:val="center"/>
          </w:tcPr>
          <w:p>
            <w:pPr>
              <w:jc w:val="center"/>
              <w:rPr>
                <w:rFonts w:hint="eastAsia"/>
                <w:color w:val="auto"/>
                <w:kern w:val="0"/>
                <w:highlight w:val="none"/>
                <w:u w:val="none" w:color="auto"/>
              </w:rPr>
            </w:pPr>
            <w:r>
              <w:rPr>
                <w:rFonts w:hint="eastAsia"/>
                <w:color w:val="auto"/>
                <w:kern w:val="0"/>
                <w:highlight w:val="none"/>
                <w:u w:val="none" w:color="auto"/>
              </w:rPr>
              <w:t>/</w:t>
            </w:r>
          </w:p>
        </w:tc>
        <w:tc>
          <w:tcPr>
            <w:tcW w:w="1276" w:type="dxa"/>
            <w:vAlign w:val="center"/>
          </w:tcPr>
          <w:p>
            <w:pPr>
              <w:jc w:val="center"/>
              <w:rPr>
                <w:rFonts w:hint="eastAsia"/>
                <w:color w:val="auto"/>
                <w:kern w:val="0"/>
                <w:highlight w:val="none"/>
                <w:u w:val="none" w:color="auto"/>
              </w:rPr>
            </w:pPr>
            <w:r>
              <w:rPr>
                <w:rFonts w:hint="eastAsia"/>
                <w:color w:val="auto"/>
                <w:kern w:val="0"/>
                <w:highlight w:val="none"/>
                <w:u w:val="none" w:color="auto"/>
              </w:rPr>
              <w:t>/</w:t>
            </w:r>
          </w:p>
        </w:tc>
        <w:tc>
          <w:tcPr>
            <w:tcW w:w="1701" w:type="dxa"/>
            <w:vAlign w:val="center"/>
          </w:tcPr>
          <w:p>
            <w:pPr>
              <w:jc w:val="center"/>
              <w:rPr>
                <w:rFonts w:hint="eastAsia"/>
                <w:color w:val="auto"/>
                <w:kern w:val="0"/>
                <w:highlight w:val="none"/>
                <w:u w:val="none" w:color="auto"/>
              </w:rPr>
            </w:pPr>
            <w:r>
              <w:rPr>
                <w:rFonts w:hint="eastAsia"/>
                <w:color w:val="auto"/>
                <w:kern w:val="0"/>
                <w:highlight w:val="none"/>
                <w:u w:val="none" w:color="auto"/>
              </w:rPr>
              <w:t>/</w:t>
            </w:r>
          </w:p>
        </w:tc>
        <w:tc>
          <w:tcPr>
            <w:tcW w:w="1559" w:type="dxa"/>
            <w:vAlign w:val="center"/>
          </w:tcPr>
          <w:p>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1.5</w:t>
            </w:r>
            <w:r>
              <w:rPr>
                <w:rFonts w:hint="eastAsia"/>
                <w:color w:val="auto"/>
                <w:highlight w:val="none"/>
                <w:u w:val="none" w:color="auto"/>
              </w:rPr>
              <w:t>t/a</w:t>
            </w:r>
          </w:p>
        </w:tc>
        <w:tc>
          <w:tcPr>
            <w:tcW w:w="1761" w:type="dxa"/>
            <w:vAlign w:val="center"/>
          </w:tcPr>
          <w:p>
            <w:pPr>
              <w:jc w:val="center"/>
              <w:rPr>
                <w:rFonts w:hint="eastAsia"/>
                <w:color w:val="auto"/>
                <w:kern w:val="0"/>
                <w:highlight w:val="none"/>
                <w:u w:val="none" w:color="auto"/>
              </w:rPr>
            </w:pPr>
            <w:r>
              <w:rPr>
                <w:rFonts w:hint="eastAsia"/>
                <w:color w:val="auto"/>
                <w:kern w:val="0"/>
                <w:highlight w:val="none"/>
                <w:u w:val="none" w:color="auto"/>
              </w:rPr>
              <w:t>/</w:t>
            </w:r>
          </w:p>
        </w:tc>
        <w:tc>
          <w:tcPr>
            <w:tcW w:w="1642" w:type="dxa"/>
            <w:vAlign w:val="center"/>
          </w:tcPr>
          <w:p>
            <w:pPr>
              <w:jc w:val="center"/>
              <w:rPr>
                <w:color w:val="auto"/>
                <w:highlight w:val="none"/>
                <w:u w:val="none" w:color="auto"/>
              </w:rPr>
            </w:pPr>
            <w:r>
              <w:rPr>
                <w:rFonts w:hint="eastAsia"/>
                <w:color w:val="auto"/>
                <w:highlight w:val="none"/>
                <w:u w:val="none" w:color="auto"/>
                <w:lang w:val="en-US" w:eastAsia="zh-CN"/>
              </w:rPr>
              <w:t>1.5</w:t>
            </w:r>
            <w:r>
              <w:rPr>
                <w:rFonts w:hint="eastAsia"/>
                <w:color w:val="auto"/>
                <w:highlight w:val="none"/>
                <w:u w:val="none" w:color="auto"/>
              </w:rPr>
              <w:t>t/a</w:t>
            </w:r>
          </w:p>
        </w:tc>
        <w:tc>
          <w:tcPr>
            <w:tcW w:w="1143" w:type="dxa"/>
            <w:vAlign w:val="center"/>
          </w:tcPr>
          <w:p>
            <w:pPr>
              <w:jc w:val="center"/>
              <w:rPr>
                <w:rFonts w:hint="eastAsia"/>
                <w:color w:val="auto"/>
                <w:kern w:val="0"/>
                <w:highlight w:val="none"/>
                <w:u w:val="none" w:color="auto"/>
              </w:rPr>
            </w:pPr>
            <w:r>
              <w:rPr>
                <w:rFonts w:hint="eastAsia"/>
                <w:color w:val="auto"/>
                <w:kern w:val="0"/>
                <w:highlight w:val="none"/>
                <w:u w:val="none" w:color="auto"/>
              </w:rPr>
              <w:t>/</w:t>
            </w:r>
          </w:p>
        </w:tc>
      </w:tr>
    </w:tbl>
    <w:p>
      <w:pPr>
        <w:rPr>
          <w:color w:val="auto"/>
          <w:highlight w:val="none"/>
          <w:u w:val="none" w:color="auto"/>
        </w:rPr>
      </w:pPr>
      <w:r>
        <w:rPr>
          <w:color w:val="auto"/>
          <w:highlight w:val="none"/>
          <w:u w:val="none" w:color="auto"/>
        </w:rPr>
        <w:t>注：</w:t>
      </w:r>
      <w:r>
        <w:rPr>
          <w:color w:val="auto"/>
          <w:highlight w:val="none"/>
          <w:u w:val="none" w:color="auto"/>
        </w:rPr>
        <w:fldChar w:fldCharType="begin"/>
      </w:r>
      <w:r>
        <w:rPr>
          <w:color w:val="auto"/>
          <w:highlight w:val="none"/>
          <w:u w:val="none" w:color="auto"/>
        </w:rPr>
        <w:instrText xml:space="preserve"> = 6 \* GB3 \*</w:instrText>
      </w:r>
      <w:bookmarkEnd w:id="11"/>
      <w:r>
        <w:rPr>
          <w:color w:val="auto"/>
          <w:highlight w:val="none"/>
          <w:u w:val="none" w:color="auto"/>
        </w:rPr>
        <w:instrText xml:space="preserve">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3 \* GB3 \* MERGEFORMAT </w:instrText>
      </w:r>
      <w:r>
        <w:rPr>
          <w:color w:val="auto"/>
          <w:highlight w:val="none"/>
          <w:u w:val="none" w:color="auto"/>
        </w:rPr>
        <w:fldChar w:fldCharType="separate"/>
      </w:r>
      <w:r>
        <w:rPr>
          <w:color w:val="auto"/>
          <w:highlight w:val="none"/>
          <w:u w:val="none" w:color="auto"/>
        </w:rPr>
        <w:t>③</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4 \* GB3 \* MERGEFORMAT </w:instrText>
      </w:r>
      <w:r>
        <w:rPr>
          <w:color w:val="auto"/>
          <w:highlight w:val="none"/>
          <w:u w:val="none" w:color="auto"/>
        </w:rPr>
        <w:fldChar w:fldCharType="separate"/>
      </w:r>
      <w:r>
        <w:rPr>
          <w:color w:val="auto"/>
          <w:highlight w:val="none"/>
          <w:u w:val="none" w:color="auto"/>
        </w:rPr>
        <w:t>④</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5 \* GB3 \* MERGEFORMAT </w:instrText>
      </w:r>
      <w:r>
        <w:rPr>
          <w:color w:val="auto"/>
          <w:highlight w:val="none"/>
          <w:u w:val="none" w:color="auto"/>
        </w:rPr>
        <w:fldChar w:fldCharType="separate"/>
      </w:r>
      <w:r>
        <w:rPr>
          <w:color w:val="auto"/>
          <w:highlight w:val="none"/>
          <w:u w:val="none" w:color="auto"/>
        </w:rPr>
        <w:t>⑤</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7 \* GB3 \* MERGEFORMAT </w:instrText>
      </w:r>
      <w:r>
        <w:rPr>
          <w:color w:val="auto"/>
          <w:highlight w:val="none"/>
          <w:u w:val="none" w:color="auto"/>
        </w:rPr>
        <w:fldChar w:fldCharType="separate"/>
      </w:r>
      <w:r>
        <w:rPr>
          <w:color w:val="auto"/>
          <w:highlight w:val="none"/>
          <w:u w:val="none" w:color="auto"/>
        </w:rPr>
        <w:t>⑦</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6 \* GB3 \*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p>
    <w:p>
      <w:pPr>
        <w:pStyle w:val="2"/>
        <w:rPr>
          <w:color w:val="auto"/>
          <w:highlight w:val="none"/>
          <w:u w:val="none" w:color="auto"/>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Yu Mincho Light">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25</w:t>
                          </w:r>
                          <w:r>
                            <w:rPr>
                              <w:rFonts w:hint="eastAsia"/>
                              <w:sz w:val="24"/>
                              <w:szCs w:val="24"/>
                            </w:rPr>
                            <w:fldChar w:fldCharType="end"/>
                          </w:r>
                          <w:r>
                            <w:rPr>
                              <w:rFonts w:hint="eastAsia"/>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0288;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18"/>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25</w:t>
                    </w:r>
                    <w:r>
                      <w:rPr>
                        <w:rFonts w:hint="eastAsia"/>
                        <w:sz w:val="24"/>
                        <w:szCs w:val="24"/>
                      </w:rPr>
                      <w:fldChar w:fldCharType="end"/>
                    </w:r>
                    <w:r>
                      <w:rPr>
                        <w:rFonts w:hint="eastAsia"/>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3A080"/>
    <w:multiLevelType w:val="singleLevel"/>
    <w:tmpl w:val="A9F3A080"/>
    <w:lvl w:ilvl="0" w:tentative="0">
      <w:start w:val="1"/>
      <w:numFmt w:val="decimal"/>
      <w:suff w:val="nothing"/>
      <w:lvlText w:val="（%1）"/>
      <w:lvlJc w:val="left"/>
    </w:lvl>
  </w:abstractNum>
  <w:abstractNum w:abstractNumId="1">
    <w:nsid w:val="CFBFB227"/>
    <w:multiLevelType w:val="singleLevel"/>
    <w:tmpl w:val="CFBFB227"/>
    <w:lvl w:ilvl="0" w:tentative="0">
      <w:start w:val="6"/>
      <w:numFmt w:val="decimal"/>
      <w:suff w:val="nothing"/>
      <w:lvlText w:val="%1、"/>
      <w:lvlJc w:val="left"/>
    </w:lvl>
  </w:abstractNum>
  <w:abstractNum w:abstractNumId="2">
    <w:nsid w:val="418DB94D"/>
    <w:multiLevelType w:val="singleLevel"/>
    <w:tmpl w:val="418DB94D"/>
    <w:lvl w:ilvl="0" w:tentative="0">
      <w:start w:val="1"/>
      <w:numFmt w:val="decimal"/>
      <w:suff w:val="nothing"/>
      <w:lvlText w:val="%1、"/>
      <w:lvlJc w:val="left"/>
    </w:lvl>
  </w:abstractNum>
  <w:abstractNum w:abstractNumId="3">
    <w:nsid w:val="7671A3DD"/>
    <w:multiLevelType w:val="multilevel"/>
    <w:tmpl w:val="7671A3DD"/>
    <w:lvl w:ilvl="0" w:tentative="0">
      <w:start w:val="1"/>
      <w:numFmt w:val="decimal"/>
      <w:lvlText w:val="%1"/>
      <w:lvlJc w:val="center"/>
      <w:pPr>
        <w:tabs>
          <w:tab w:val="left" w:pos="0"/>
        </w:tabs>
        <w:ind w:left="0" w:firstLine="567"/>
      </w:pPr>
      <w:rPr>
        <w:rFonts w:hint="default" w:ascii="Times New Roman" w:hAnsi="Times New Roman" w:eastAsia="宋体" w:cs="Times New Roman"/>
        <w:sz w:val="44"/>
        <w:szCs w:val="44"/>
      </w:rPr>
    </w:lvl>
    <w:lvl w:ilvl="1" w:tentative="0">
      <w:start w:val="1"/>
      <w:numFmt w:val="decimal"/>
      <w:lvlText w:val="%1.%2"/>
      <w:lvlJc w:val="left"/>
      <w:pPr>
        <w:tabs>
          <w:tab w:val="left" w:pos="0"/>
        </w:tabs>
        <w:ind w:left="0" w:firstLine="0"/>
      </w:pPr>
    </w:lvl>
    <w:lvl w:ilvl="2" w:tentative="0">
      <w:start w:val="1"/>
      <w:numFmt w:val="decimal"/>
      <w:pStyle w:val="6"/>
      <w:lvlText w:val="%1.%2.%3"/>
      <w:lvlJc w:val="left"/>
      <w:pPr>
        <w:tabs>
          <w:tab w:val="left" w:pos="1277"/>
        </w:tabs>
        <w:ind w:left="710" w:firstLine="0"/>
      </w:pPr>
      <w:rPr>
        <w:rFonts w:hint="default" w:ascii="Times New Roman" w:hAnsi="Times New Roman" w:eastAsia="宋体" w:cs="Times New Roman"/>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zE1NGQ3NjIzOGIyODJlYzIxOGUwMzE1NGMyMDgifQ=="/>
  </w:docVars>
  <w:rsids>
    <w:rsidRoot w:val="0B656334"/>
    <w:rsid w:val="00011752"/>
    <w:rsid w:val="00011FD0"/>
    <w:rsid w:val="0002007A"/>
    <w:rsid w:val="0007560E"/>
    <w:rsid w:val="00081D52"/>
    <w:rsid w:val="00083161"/>
    <w:rsid w:val="000B0D08"/>
    <w:rsid w:val="000D21EE"/>
    <w:rsid w:val="000D50EB"/>
    <w:rsid w:val="000F7AA6"/>
    <w:rsid w:val="0011293F"/>
    <w:rsid w:val="00117866"/>
    <w:rsid w:val="00142915"/>
    <w:rsid w:val="00163CB2"/>
    <w:rsid w:val="00171E44"/>
    <w:rsid w:val="00181DBE"/>
    <w:rsid w:val="001A4CEE"/>
    <w:rsid w:val="001D626C"/>
    <w:rsid w:val="001E60D4"/>
    <w:rsid w:val="00202B6A"/>
    <w:rsid w:val="002134F6"/>
    <w:rsid w:val="00222AD0"/>
    <w:rsid w:val="002630BB"/>
    <w:rsid w:val="00303760"/>
    <w:rsid w:val="003208C9"/>
    <w:rsid w:val="00356870"/>
    <w:rsid w:val="0038535B"/>
    <w:rsid w:val="003B048A"/>
    <w:rsid w:val="003C44A1"/>
    <w:rsid w:val="003E1D13"/>
    <w:rsid w:val="00404331"/>
    <w:rsid w:val="00415835"/>
    <w:rsid w:val="00415FE0"/>
    <w:rsid w:val="004253CA"/>
    <w:rsid w:val="0043125D"/>
    <w:rsid w:val="004B6508"/>
    <w:rsid w:val="004C19D9"/>
    <w:rsid w:val="004C42CE"/>
    <w:rsid w:val="004D5396"/>
    <w:rsid w:val="004E7394"/>
    <w:rsid w:val="00506A39"/>
    <w:rsid w:val="00522F3D"/>
    <w:rsid w:val="00530F5B"/>
    <w:rsid w:val="005519F3"/>
    <w:rsid w:val="00563247"/>
    <w:rsid w:val="00585CCB"/>
    <w:rsid w:val="006456E9"/>
    <w:rsid w:val="00645991"/>
    <w:rsid w:val="006555B7"/>
    <w:rsid w:val="00657114"/>
    <w:rsid w:val="00670CED"/>
    <w:rsid w:val="006724F8"/>
    <w:rsid w:val="00673947"/>
    <w:rsid w:val="006A3017"/>
    <w:rsid w:val="006B0BB5"/>
    <w:rsid w:val="006B3FDF"/>
    <w:rsid w:val="006C1A9C"/>
    <w:rsid w:val="006F3A44"/>
    <w:rsid w:val="007739BF"/>
    <w:rsid w:val="00775137"/>
    <w:rsid w:val="0079542A"/>
    <w:rsid w:val="007B0B16"/>
    <w:rsid w:val="007B29C8"/>
    <w:rsid w:val="007C00A2"/>
    <w:rsid w:val="007C246E"/>
    <w:rsid w:val="007C456C"/>
    <w:rsid w:val="007C717F"/>
    <w:rsid w:val="007D4296"/>
    <w:rsid w:val="007D7BF7"/>
    <w:rsid w:val="007D7DD0"/>
    <w:rsid w:val="007F552B"/>
    <w:rsid w:val="00864FD4"/>
    <w:rsid w:val="00874B98"/>
    <w:rsid w:val="00881373"/>
    <w:rsid w:val="00887231"/>
    <w:rsid w:val="00887C8D"/>
    <w:rsid w:val="008B36C1"/>
    <w:rsid w:val="008C5EE3"/>
    <w:rsid w:val="008E1139"/>
    <w:rsid w:val="009250CF"/>
    <w:rsid w:val="009253C0"/>
    <w:rsid w:val="009471D7"/>
    <w:rsid w:val="00947EA4"/>
    <w:rsid w:val="00977068"/>
    <w:rsid w:val="009D6886"/>
    <w:rsid w:val="009E1A7C"/>
    <w:rsid w:val="009E309F"/>
    <w:rsid w:val="00A12B8F"/>
    <w:rsid w:val="00A21B09"/>
    <w:rsid w:val="00A26F66"/>
    <w:rsid w:val="00A415E2"/>
    <w:rsid w:val="00A54615"/>
    <w:rsid w:val="00A82B79"/>
    <w:rsid w:val="00A86A0D"/>
    <w:rsid w:val="00AC7932"/>
    <w:rsid w:val="00AD1842"/>
    <w:rsid w:val="00AD6799"/>
    <w:rsid w:val="00B0227B"/>
    <w:rsid w:val="00B26DB2"/>
    <w:rsid w:val="00B336DF"/>
    <w:rsid w:val="00B35F40"/>
    <w:rsid w:val="00B4269C"/>
    <w:rsid w:val="00B6251F"/>
    <w:rsid w:val="00B62FD1"/>
    <w:rsid w:val="00B74804"/>
    <w:rsid w:val="00B92AF3"/>
    <w:rsid w:val="00BB469A"/>
    <w:rsid w:val="00BC0218"/>
    <w:rsid w:val="00BC143B"/>
    <w:rsid w:val="00BC1D8A"/>
    <w:rsid w:val="00BD18F1"/>
    <w:rsid w:val="00BD65C6"/>
    <w:rsid w:val="00BE325C"/>
    <w:rsid w:val="00C3138D"/>
    <w:rsid w:val="00C350A7"/>
    <w:rsid w:val="00C3794F"/>
    <w:rsid w:val="00C46728"/>
    <w:rsid w:val="00CA17F6"/>
    <w:rsid w:val="00CB77BE"/>
    <w:rsid w:val="00CE2FF7"/>
    <w:rsid w:val="00CF2A94"/>
    <w:rsid w:val="00D32699"/>
    <w:rsid w:val="00D64E8B"/>
    <w:rsid w:val="00D84242"/>
    <w:rsid w:val="00D876A9"/>
    <w:rsid w:val="00D959ED"/>
    <w:rsid w:val="00D97AB3"/>
    <w:rsid w:val="00DA5097"/>
    <w:rsid w:val="00DD33B3"/>
    <w:rsid w:val="00DF5A5B"/>
    <w:rsid w:val="00E8400E"/>
    <w:rsid w:val="00E92F8A"/>
    <w:rsid w:val="00EA058C"/>
    <w:rsid w:val="00EC7E96"/>
    <w:rsid w:val="00EE47DC"/>
    <w:rsid w:val="00F32BCB"/>
    <w:rsid w:val="00F37EC5"/>
    <w:rsid w:val="00F83DAC"/>
    <w:rsid w:val="00FB7A3E"/>
    <w:rsid w:val="00FE10B4"/>
    <w:rsid w:val="00FF68B3"/>
    <w:rsid w:val="00FF6D2C"/>
    <w:rsid w:val="01004415"/>
    <w:rsid w:val="01020F18"/>
    <w:rsid w:val="010333FC"/>
    <w:rsid w:val="01040C80"/>
    <w:rsid w:val="01050043"/>
    <w:rsid w:val="01056AFD"/>
    <w:rsid w:val="01066E8F"/>
    <w:rsid w:val="01127EAC"/>
    <w:rsid w:val="01162FB9"/>
    <w:rsid w:val="0118422B"/>
    <w:rsid w:val="0118446B"/>
    <w:rsid w:val="012278A7"/>
    <w:rsid w:val="01246604"/>
    <w:rsid w:val="01250C48"/>
    <w:rsid w:val="01276C53"/>
    <w:rsid w:val="012D0E34"/>
    <w:rsid w:val="012E08B7"/>
    <w:rsid w:val="0135396D"/>
    <w:rsid w:val="013655A5"/>
    <w:rsid w:val="013B111F"/>
    <w:rsid w:val="013C03C5"/>
    <w:rsid w:val="013D6EBF"/>
    <w:rsid w:val="01465EF5"/>
    <w:rsid w:val="014D2EBB"/>
    <w:rsid w:val="01510698"/>
    <w:rsid w:val="01537A00"/>
    <w:rsid w:val="01545C82"/>
    <w:rsid w:val="01563F22"/>
    <w:rsid w:val="0157584B"/>
    <w:rsid w:val="01581C2B"/>
    <w:rsid w:val="015974C0"/>
    <w:rsid w:val="015C2B0C"/>
    <w:rsid w:val="015E0632"/>
    <w:rsid w:val="015F600A"/>
    <w:rsid w:val="01600628"/>
    <w:rsid w:val="01634C38"/>
    <w:rsid w:val="0165325A"/>
    <w:rsid w:val="01694E7C"/>
    <w:rsid w:val="016A3DEB"/>
    <w:rsid w:val="016B1327"/>
    <w:rsid w:val="016B2D33"/>
    <w:rsid w:val="01707E0F"/>
    <w:rsid w:val="01714AB1"/>
    <w:rsid w:val="01726E60"/>
    <w:rsid w:val="01736E05"/>
    <w:rsid w:val="017A5EEE"/>
    <w:rsid w:val="017B5D0D"/>
    <w:rsid w:val="017F4424"/>
    <w:rsid w:val="017F66A7"/>
    <w:rsid w:val="01814D99"/>
    <w:rsid w:val="0183453D"/>
    <w:rsid w:val="01863694"/>
    <w:rsid w:val="018F305A"/>
    <w:rsid w:val="019777E5"/>
    <w:rsid w:val="01A26771"/>
    <w:rsid w:val="01A754AC"/>
    <w:rsid w:val="01AF60B6"/>
    <w:rsid w:val="01B048BF"/>
    <w:rsid w:val="01B1798A"/>
    <w:rsid w:val="01BB7833"/>
    <w:rsid w:val="01C509CE"/>
    <w:rsid w:val="01CF4D23"/>
    <w:rsid w:val="01D23B0C"/>
    <w:rsid w:val="01D62AE5"/>
    <w:rsid w:val="01D65B9A"/>
    <w:rsid w:val="01D969B2"/>
    <w:rsid w:val="01DA5914"/>
    <w:rsid w:val="01DB7298"/>
    <w:rsid w:val="01E035AE"/>
    <w:rsid w:val="01E04878"/>
    <w:rsid w:val="01E56010"/>
    <w:rsid w:val="01E650AB"/>
    <w:rsid w:val="01E73526"/>
    <w:rsid w:val="01E76A78"/>
    <w:rsid w:val="01EC5C3E"/>
    <w:rsid w:val="01F0606B"/>
    <w:rsid w:val="01F4090C"/>
    <w:rsid w:val="01FE5729"/>
    <w:rsid w:val="0201031E"/>
    <w:rsid w:val="0205292A"/>
    <w:rsid w:val="02056920"/>
    <w:rsid w:val="020B3EC5"/>
    <w:rsid w:val="02112A90"/>
    <w:rsid w:val="021318B6"/>
    <w:rsid w:val="02170AAD"/>
    <w:rsid w:val="021A6CFA"/>
    <w:rsid w:val="021C2346"/>
    <w:rsid w:val="021D3714"/>
    <w:rsid w:val="021E2FAD"/>
    <w:rsid w:val="022314BF"/>
    <w:rsid w:val="02255AEF"/>
    <w:rsid w:val="022B2A7C"/>
    <w:rsid w:val="022E3020"/>
    <w:rsid w:val="02323C99"/>
    <w:rsid w:val="023A0102"/>
    <w:rsid w:val="023C396E"/>
    <w:rsid w:val="023E0222"/>
    <w:rsid w:val="02404F3C"/>
    <w:rsid w:val="024057D2"/>
    <w:rsid w:val="024B4D22"/>
    <w:rsid w:val="024B5400"/>
    <w:rsid w:val="024B7E57"/>
    <w:rsid w:val="02516442"/>
    <w:rsid w:val="025264E9"/>
    <w:rsid w:val="02557C87"/>
    <w:rsid w:val="02574C4D"/>
    <w:rsid w:val="02615989"/>
    <w:rsid w:val="026524A1"/>
    <w:rsid w:val="02671768"/>
    <w:rsid w:val="02695EA9"/>
    <w:rsid w:val="026C6D7F"/>
    <w:rsid w:val="026E6FF5"/>
    <w:rsid w:val="0274792E"/>
    <w:rsid w:val="027605F1"/>
    <w:rsid w:val="0277099F"/>
    <w:rsid w:val="027754FB"/>
    <w:rsid w:val="02792590"/>
    <w:rsid w:val="027A7B2E"/>
    <w:rsid w:val="027D033A"/>
    <w:rsid w:val="02830E4B"/>
    <w:rsid w:val="02862D13"/>
    <w:rsid w:val="02875CA4"/>
    <w:rsid w:val="028B18FB"/>
    <w:rsid w:val="028E2991"/>
    <w:rsid w:val="028E2D8F"/>
    <w:rsid w:val="02917BD3"/>
    <w:rsid w:val="0293427F"/>
    <w:rsid w:val="029562D6"/>
    <w:rsid w:val="02963DFC"/>
    <w:rsid w:val="029C1412"/>
    <w:rsid w:val="029D30F5"/>
    <w:rsid w:val="029E7D21"/>
    <w:rsid w:val="02A17814"/>
    <w:rsid w:val="02A2635C"/>
    <w:rsid w:val="02A429BD"/>
    <w:rsid w:val="02A7282A"/>
    <w:rsid w:val="02A94314"/>
    <w:rsid w:val="02AA01E9"/>
    <w:rsid w:val="02AC3930"/>
    <w:rsid w:val="02B250F8"/>
    <w:rsid w:val="02B275C5"/>
    <w:rsid w:val="02C23470"/>
    <w:rsid w:val="02C661C1"/>
    <w:rsid w:val="02C711CB"/>
    <w:rsid w:val="02C85C78"/>
    <w:rsid w:val="02C95CCF"/>
    <w:rsid w:val="02CA3B3B"/>
    <w:rsid w:val="02CA46A1"/>
    <w:rsid w:val="02CE6BBF"/>
    <w:rsid w:val="02D2752A"/>
    <w:rsid w:val="02D36DFE"/>
    <w:rsid w:val="02DB592A"/>
    <w:rsid w:val="02E2772A"/>
    <w:rsid w:val="02E554D2"/>
    <w:rsid w:val="02EE5AE4"/>
    <w:rsid w:val="02F11FBB"/>
    <w:rsid w:val="02F16AF1"/>
    <w:rsid w:val="02F22F52"/>
    <w:rsid w:val="02F50007"/>
    <w:rsid w:val="02F65DFC"/>
    <w:rsid w:val="02F86556"/>
    <w:rsid w:val="02FF7BF3"/>
    <w:rsid w:val="03010B79"/>
    <w:rsid w:val="030117F6"/>
    <w:rsid w:val="03015719"/>
    <w:rsid w:val="03080117"/>
    <w:rsid w:val="03094CFE"/>
    <w:rsid w:val="030F0E2D"/>
    <w:rsid w:val="03183AEE"/>
    <w:rsid w:val="031C1147"/>
    <w:rsid w:val="031C5DE8"/>
    <w:rsid w:val="031F23B2"/>
    <w:rsid w:val="031F25FD"/>
    <w:rsid w:val="032059A3"/>
    <w:rsid w:val="03265673"/>
    <w:rsid w:val="032953CF"/>
    <w:rsid w:val="032D209A"/>
    <w:rsid w:val="03320232"/>
    <w:rsid w:val="033426A1"/>
    <w:rsid w:val="03343ED0"/>
    <w:rsid w:val="0338115C"/>
    <w:rsid w:val="03385F32"/>
    <w:rsid w:val="033905B8"/>
    <w:rsid w:val="033D62B7"/>
    <w:rsid w:val="033F14D1"/>
    <w:rsid w:val="03453307"/>
    <w:rsid w:val="034578E6"/>
    <w:rsid w:val="034923FD"/>
    <w:rsid w:val="034A33E9"/>
    <w:rsid w:val="034B105E"/>
    <w:rsid w:val="035241C7"/>
    <w:rsid w:val="035319AC"/>
    <w:rsid w:val="03577DC2"/>
    <w:rsid w:val="035B562E"/>
    <w:rsid w:val="035F7EB7"/>
    <w:rsid w:val="0362286F"/>
    <w:rsid w:val="0368705F"/>
    <w:rsid w:val="036B7414"/>
    <w:rsid w:val="036D4E11"/>
    <w:rsid w:val="036F5EFD"/>
    <w:rsid w:val="0379002B"/>
    <w:rsid w:val="037D04C3"/>
    <w:rsid w:val="037D0BB4"/>
    <w:rsid w:val="038038D1"/>
    <w:rsid w:val="038D0ED7"/>
    <w:rsid w:val="038D3451"/>
    <w:rsid w:val="038D78D4"/>
    <w:rsid w:val="038F0961"/>
    <w:rsid w:val="038F0AD1"/>
    <w:rsid w:val="039219C3"/>
    <w:rsid w:val="0394341C"/>
    <w:rsid w:val="039458E1"/>
    <w:rsid w:val="03972F28"/>
    <w:rsid w:val="0397445A"/>
    <w:rsid w:val="039E565E"/>
    <w:rsid w:val="039F0049"/>
    <w:rsid w:val="039F28B3"/>
    <w:rsid w:val="03A26B0A"/>
    <w:rsid w:val="03A631F3"/>
    <w:rsid w:val="03A8111C"/>
    <w:rsid w:val="03A93168"/>
    <w:rsid w:val="03AF3185"/>
    <w:rsid w:val="03B10D14"/>
    <w:rsid w:val="03B378B8"/>
    <w:rsid w:val="03B906C0"/>
    <w:rsid w:val="03BA303B"/>
    <w:rsid w:val="03BE6337"/>
    <w:rsid w:val="03BF1FDC"/>
    <w:rsid w:val="03C0247C"/>
    <w:rsid w:val="03C15FEF"/>
    <w:rsid w:val="03C671D8"/>
    <w:rsid w:val="03C800F3"/>
    <w:rsid w:val="03CD2C73"/>
    <w:rsid w:val="03CD50CC"/>
    <w:rsid w:val="03CE1238"/>
    <w:rsid w:val="03D26E2B"/>
    <w:rsid w:val="03D33B9A"/>
    <w:rsid w:val="03D866D3"/>
    <w:rsid w:val="03DF372F"/>
    <w:rsid w:val="03E01103"/>
    <w:rsid w:val="03E02166"/>
    <w:rsid w:val="03E10112"/>
    <w:rsid w:val="03E310A3"/>
    <w:rsid w:val="03E50453"/>
    <w:rsid w:val="03E54A04"/>
    <w:rsid w:val="03E5659E"/>
    <w:rsid w:val="03E93A36"/>
    <w:rsid w:val="03EA5CC0"/>
    <w:rsid w:val="03EC43AD"/>
    <w:rsid w:val="03EE4592"/>
    <w:rsid w:val="03F16D6A"/>
    <w:rsid w:val="03F37D4C"/>
    <w:rsid w:val="03F95D58"/>
    <w:rsid w:val="03FC3442"/>
    <w:rsid w:val="03FD6B36"/>
    <w:rsid w:val="040D6CBE"/>
    <w:rsid w:val="040F3E66"/>
    <w:rsid w:val="04127757"/>
    <w:rsid w:val="0416454E"/>
    <w:rsid w:val="04166DA4"/>
    <w:rsid w:val="04177352"/>
    <w:rsid w:val="041802E2"/>
    <w:rsid w:val="041E4040"/>
    <w:rsid w:val="04285CFD"/>
    <w:rsid w:val="042A0872"/>
    <w:rsid w:val="042A0F84"/>
    <w:rsid w:val="042B29A8"/>
    <w:rsid w:val="04365896"/>
    <w:rsid w:val="043B1A3D"/>
    <w:rsid w:val="043C3C00"/>
    <w:rsid w:val="043D434C"/>
    <w:rsid w:val="043D7656"/>
    <w:rsid w:val="044A7471"/>
    <w:rsid w:val="045A3333"/>
    <w:rsid w:val="045B07C8"/>
    <w:rsid w:val="045B6EFC"/>
    <w:rsid w:val="045D72C7"/>
    <w:rsid w:val="04600287"/>
    <w:rsid w:val="046643CE"/>
    <w:rsid w:val="0467540E"/>
    <w:rsid w:val="0468161E"/>
    <w:rsid w:val="046E5307"/>
    <w:rsid w:val="046E6DDE"/>
    <w:rsid w:val="04787933"/>
    <w:rsid w:val="04796264"/>
    <w:rsid w:val="047F648C"/>
    <w:rsid w:val="04821155"/>
    <w:rsid w:val="0485721D"/>
    <w:rsid w:val="048B63AD"/>
    <w:rsid w:val="048D195A"/>
    <w:rsid w:val="04901A65"/>
    <w:rsid w:val="04910D1F"/>
    <w:rsid w:val="04921C3D"/>
    <w:rsid w:val="0492701B"/>
    <w:rsid w:val="04957D2E"/>
    <w:rsid w:val="0496152D"/>
    <w:rsid w:val="049770B4"/>
    <w:rsid w:val="04A31104"/>
    <w:rsid w:val="04A500AF"/>
    <w:rsid w:val="04A9587C"/>
    <w:rsid w:val="04AA63B6"/>
    <w:rsid w:val="04AE2218"/>
    <w:rsid w:val="04B255F7"/>
    <w:rsid w:val="04B61706"/>
    <w:rsid w:val="04B769D7"/>
    <w:rsid w:val="04B834EF"/>
    <w:rsid w:val="04B95068"/>
    <w:rsid w:val="04C1792C"/>
    <w:rsid w:val="04C44C50"/>
    <w:rsid w:val="04C57ABD"/>
    <w:rsid w:val="04C71DFD"/>
    <w:rsid w:val="04CD05C5"/>
    <w:rsid w:val="04D123CD"/>
    <w:rsid w:val="04D501CA"/>
    <w:rsid w:val="04D81AA8"/>
    <w:rsid w:val="04D8203E"/>
    <w:rsid w:val="04DC58E1"/>
    <w:rsid w:val="04DD5F4F"/>
    <w:rsid w:val="04DF5321"/>
    <w:rsid w:val="04E13250"/>
    <w:rsid w:val="04E14E8E"/>
    <w:rsid w:val="04E20BBA"/>
    <w:rsid w:val="04E473A1"/>
    <w:rsid w:val="04E572F2"/>
    <w:rsid w:val="04E62E18"/>
    <w:rsid w:val="04EE5790"/>
    <w:rsid w:val="04F81F65"/>
    <w:rsid w:val="04F91110"/>
    <w:rsid w:val="04FB550F"/>
    <w:rsid w:val="0500293C"/>
    <w:rsid w:val="0501715A"/>
    <w:rsid w:val="050363B3"/>
    <w:rsid w:val="050921BA"/>
    <w:rsid w:val="050A6217"/>
    <w:rsid w:val="050D73C0"/>
    <w:rsid w:val="051A6F66"/>
    <w:rsid w:val="051B71D7"/>
    <w:rsid w:val="051C00A7"/>
    <w:rsid w:val="051C4A9F"/>
    <w:rsid w:val="051E1EC4"/>
    <w:rsid w:val="05235F87"/>
    <w:rsid w:val="05241B35"/>
    <w:rsid w:val="05263B5D"/>
    <w:rsid w:val="05310C15"/>
    <w:rsid w:val="05352739"/>
    <w:rsid w:val="05455307"/>
    <w:rsid w:val="054762E6"/>
    <w:rsid w:val="05477992"/>
    <w:rsid w:val="05521868"/>
    <w:rsid w:val="05592E6C"/>
    <w:rsid w:val="056108FE"/>
    <w:rsid w:val="05653915"/>
    <w:rsid w:val="05660551"/>
    <w:rsid w:val="056970B8"/>
    <w:rsid w:val="056A3E77"/>
    <w:rsid w:val="05721CE4"/>
    <w:rsid w:val="057554FB"/>
    <w:rsid w:val="05757B51"/>
    <w:rsid w:val="057679DA"/>
    <w:rsid w:val="05782C7F"/>
    <w:rsid w:val="057D36D4"/>
    <w:rsid w:val="05837F5E"/>
    <w:rsid w:val="05875907"/>
    <w:rsid w:val="058A6009"/>
    <w:rsid w:val="058C2434"/>
    <w:rsid w:val="058D5616"/>
    <w:rsid w:val="058D6ABB"/>
    <w:rsid w:val="058E6E09"/>
    <w:rsid w:val="058F11EC"/>
    <w:rsid w:val="05934985"/>
    <w:rsid w:val="0593767F"/>
    <w:rsid w:val="05945248"/>
    <w:rsid w:val="059D23F3"/>
    <w:rsid w:val="059D52F6"/>
    <w:rsid w:val="05A1721B"/>
    <w:rsid w:val="05A179AA"/>
    <w:rsid w:val="05A264ED"/>
    <w:rsid w:val="05A356C7"/>
    <w:rsid w:val="05A46CFC"/>
    <w:rsid w:val="05A6269A"/>
    <w:rsid w:val="05A66251"/>
    <w:rsid w:val="05AA58B8"/>
    <w:rsid w:val="05AB18C4"/>
    <w:rsid w:val="05AD58C0"/>
    <w:rsid w:val="05AE7EBC"/>
    <w:rsid w:val="05B31DC7"/>
    <w:rsid w:val="05B4253B"/>
    <w:rsid w:val="05B442C4"/>
    <w:rsid w:val="05B95624"/>
    <w:rsid w:val="05C066BC"/>
    <w:rsid w:val="05C56ED2"/>
    <w:rsid w:val="05C611CE"/>
    <w:rsid w:val="05CD0BDE"/>
    <w:rsid w:val="05CF074C"/>
    <w:rsid w:val="05CF5064"/>
    <w:rsid w:val="05D64C8C"/>
    <w:rsid w:val="05DA4367"/>
    <w:rsid w:val="05E05350"/>
    <w:rsid w:val="05E10961"/>
    <w:rsid w:val="05E71FB0"/>
    <w:rsid w:val="05E879A5"/>
    <w:rsid w:val="05EB0642"/>
    <w:rsid w:val="05EC719D"/>
    <w:rsid w:val="05ED6B19"/>
    <w:rsid w:val="05EF1EAD"/>
    <w:rsid w:val="05F65EB3"/>
    <w:rsid w:val="05F73BE2"/>
    <w:rsid w:val="05F85039"/>
    <w:rsid w:val="05FA005A"/>
    <w:rsid w:val="05FC32B6"/>
    <w:rsid w:val="05FE41FA"/>
    <w:rsid w:val="05FF5B72"/>
    <w:rsid w:val="06011FFF"/>
    <w:rsid w:val="060317A8"/>
    <w:rsid w:val="060318F6"/>
    <w:rsid w:val="06053772"/>
    <w:rsid w:val="06077939"/>
    <w:rsid w:val="060A7125"/>
    <w:rsid w:val="06153DBF"/>
    <w:rsid w:val="061610B5"/>
    <w:rsid w:val="06187C62"/>
    <w:rsid w:val="061C481C"/>
    <w:rsid w:val="06201651"/>
    <w:rsid w:val="0622504D"/>
    <w:rsid w:val="0626297C"/>
    <w:rsid w:val="06284AC5"/>
    <w:rsid w:val="06293E6D"/>
    <w:rsid w:val="062A14DC"/>
    <w:rsid w:val="062A3893"/>
    <w:rsid w:val="062B671E"/>
    <w:rsid w:val="062B67A8"/>
    <w:rsid w:val="06370D08"/>
    <w:rsid w:val="063B5C66"/>
    <w:rsid w:val="063D115E"/>
    <w:rsid w:val="063F3B0B"/>
    <w:rsid w:val="06425E5C"/>
    <w:rsid w:val="06467C7A"/>
    <w:rsid w:val="06497AA9"/>
    <w:rsid w:val="064E0415"/>
    <w:rsid w:val="064E79AC"/>
    <w:rsid w:val="065C3193"/>
    <w:rsid w:val="065F2CC3"/>
    <w:rsid w:val="065F5FB7"/>
    <w:rsid w:val="06627D7A"/>
    <w:rsid w:val="066A243D"/>
    <w:rsid w:val="066F698A"/>
    <w:rsid w:val="06735BBD"/>
    <w:rsid w:val="06801DB9"/>
    <w:rsid w:val="0681249E"/>
    <w:rsid w:val="06837C81"/>
    <w:rsid w:val="06856AF3"/>
    <w:rsid w:val="0686568B"/>
    <w:rsid w:val="068B547E"/>
    <w:rsid w:val="068D7A88"/>
    <w:rsid w:val="0690363C"/>
    <w:rsid w:val="069166A8"/>
    <w:rsid w:val="06976974"/>
    <w:rsid w:val="069F26BD"/>
    <w:rsid w:val="06A22D94"/>
    <w:rsid w:val="06A3214A"/>
    <w:rsid w:val="06A40330"/>
    <w:rsid w:val="06AA5D6B"/>
    <w:rsid w:val="06AF6467"/>
    <w:rsid w:val="06B238FA"/>
    <w:rsid w:val="06B43D0A"/>
    <w:rsid w:val="06B60FFF"/>
    <w:rsid w:val="06B84607"/>
    <w:rsid w:val="06BD2262"/>
    <w:rsid w:val="06BD54D5"/>
    <w:rsid w:val="06BE74B8"/>
    <w:rsid w:val="06C75404"/>
    <w:rsid w:val="06D10EA0"/>
    <w:rsid w:val="06D231ED"/>
    <w:rsid w:val="06D7510F"/>
    <w:rsid w:val="06D8239E"/>
    <w:rsid w:val="06DA4BFF"/>
    <w:rsid w:val="06DC39DB"/>
    <w:rsid w:val="06E432B5"/>
    <w:rsid w:val="06E73A93"/>
    <w:rsid w:val="06E969AB"/>
    <w:rsid w:val="06EA7C14"/>
    <w:rsid w:val="06ED502F"/>
    <w:rsid w:val="06EF5E3B"/>
    <w:rsid w:val="06F135BB"/>
    <w:rsid w:val="06F9484D"/>
    <w:rsid w:val="06FA0ABD"/>
    <w:rsid w:val="06FB2FF5"/>
    <w:rsid w:val="06FD7603"/>
    <w:rsid w:val="070003EE"/>
    <w:rsid w:val="07025D14"/>
    <w:rsid w:val="07031DF0"/>
    <w:rsid w:val="0703641F"/>
    <w:rsid w:val="07041994"/>
    <w:rsid w:val="070C6A79"/>
    <w:rsid w:val="070E3C81"/>
    <w:rsid w:val="070E5271"/>
    <w:rsid w:val="070F188B"/>
    <w:rsid w:val="071075CB"/>
    <w:rsid w:val="07136403"/>
    <w:rsid w:val="07171801"/>
    <w:rsid w:val="071A3058"/>
    <w:rsid w:val="071F2CFC"/>
    <w:rsid w:val="07214B27"/>
    <w:rsid w:val="07215B8C"/>
    <w:rsid w:val="072266D1"/>
    <w:rsid w:val="0726228F"/>
    <w:rsid w:val="072F0F5B"/>
    <w:rsid w:val="072F6DEF"/>
    <w:rsid w:val="0730479F"/>
    <w:rsid w:val="07347751"/>
    <w:rsid w:val="07385A6B"/>
    <w:rsid w:val="07397B77"/>
    <w:rsid w:val="073A05FF"/>
    <w:rsid w:val="073F21D6"/>
    <w:rsid w:val="07424B85"/>
    <w:rsid w:val="07456B8A"/>
    <w:rsid w:val="074829CB"/>
    <w:rsid w:val="0748600C"/>
    <w:rsid w:val="0749110F"/>
    <w:rsid w:val="074942C6"/>
    <w:rsid w:val="07500AA3"/>
    <w:rsid w:val="075D7700"/>
    <w:rsid w:val="076402A0"/>
    <w:rsid w:val="076F0EEE"/>
    <w:rsid w:val="076F2302"/>
    <w:rsid w:val="07706000"/>
    <w:rsid w:val="07724E37"/>
    <w:rsid w:val="07765051"/>
    <w:rsid w:val="07812D8B"/>
    <w:rsid w:val="07827ED5"/>
    <w:rsid w:val="07860EB2"/>
    <w:rsid w:val="078618B8"/>
    <w:rsid w:val="07875709"/>
    <w:rsid w:val="07905053"/>
    <w:rsid w:val="079C3C62"/>
    <w:rsid w:val="079E73A6"/>
    <w:rsid w:val="079F42D9"/>
    <w:rsid w:val="07A229F3"/>
    <w:rsid w:val="07AE1574"/>
    <w:rsid w:val="07B3723C"/>
    <w:rsid w:val="07B55475"/>
    <w:rsid w:val="07BA5014"/>
    <w:rsid w:val="07BD4F74"/>
    <w:rsid w:val="07C10465"/>
    <w:rsid w:val="07C12F11"/>
    <w:rsid w:val="07C1389A"/>
    <w:rsid w:val="07C31799"/>
    <w:rsid w:val="07C31BC5"/>
    <w:rsid w:val="07C6073B"/>
    <w:rsid w:val="07C6477B"/>
    <w:rsid w:val="07C67BD0"/>
    <w:rsid w:val="07CD14C6"/>
    <w:rsid w:val="07D267E8"/>
    <w:rsid w:val="07D31D63"/>
    <w:rsid w:val="07D4259A"/>
    <w:rsid w:val="07D6456F"/>
    <w:rsid w:val="07D64C44"/>
    <w:rsid w:val="07D84C4B"/>
    <w:rsid w:val="07D96C64"/>
    <w:rsid w:val="07DB6796"/>
    <w:rsid w:val="07DF16E1"/>
    <w:rsid w:val="07DF756E"/>
    <w:rsid w:val="07E37EB2"/>
    <w:rsid w:val="07E623FE"/>
    <w:rsid w:val="07EC3D00"/>
    <w:rsid w:val="07EE4348"/>
    <w:rsid w:val="07EF6B13"/>
    <w:rsid w:val="07F27D26"/>
    <w:rsid w:val="07F80307"/>
    <w:rsid w:val="07FF1788"/>
    <w:rsid w:val="08020957"/>
    <w:rsid w:val="0807113B"/>
    <w:rsid w:val="080833FD"/>
    <w:rsid w:val="080B64C4"/>
    <w:rsid w:val="080D18D5"/>
    <w:rsid w:val="081128B1"/>
    <w:rsid w:val="081508EA"/>
    <w:rsid w:val="08161C67"/>
    <w:rsid w:val="081E41E2"/>
    <w:rsid w:val="081F5EB6"/>
    <w:rsid w:val="081F7A0E"/>
    <w:rsid w:val="08261334"/>
    <w:rsid w:val="08272D3C"/>
    <w:rsid w:val="083159C3"/>
    <w:rsid w:val="0834105E"/>
    <w:rsid w:val="08365D32"/>
    <w:rsid w:val="08370D4C"/>
    <w:rsid w:val="0837398B"/>
    <w:rsid w:val="08374E18"/>
    <w:rsid w:val="083D4460"/>
    <w:rsid w:val="083F1131"/>
    <w:rsid w:val="0840221F"/>
    <w:rsid w:val="0842480A"/>
    <w:rsid w:val="0845623E"/>
    <w:rsid w:val="08470351"/>
    <w:rsid w:val="084B315C"/>
    <w:rsid w:val="084B4055"/>
    <w:rsid w:val="084C18B8"/>
    <w:rsid w:val="08527909"/>
    <w:rsid w:val="08532FE9"/>
    <w:rsid w:val="085B71D4"/>
    <w:rsid w:val="08620612"/>
    <w:rsid w:val="08687C2A"/>
    <w:rsid w:val="086A160D"/>
    <w:rsid w:val="086D2801"/>
    <w:rsid w:val="08806083"/>
    <w:rsid w:val="08835E32"/>
    <w:rsid w:val="0887259F"/>
    <w:rsid w:val="08891179"/>
    <w:rsid w:val="0889351D"/>
    <w:rsid w:val="088A4C7A"/>
    <w:rsid w:val="08901A26"/>
    <w:rsid w:val="089112ED"/>
    <w:rsid w:val="0893717D"/>
    <w:rsid w:val="08961C1D"/>
    <w:rsid w:val="08964E3E"/>
    <w:rsid w:val="089F02DC"/>
    <w:rsid w:val="08A30F02"/>
    <w:rsid w:val="08A62264"/>
    <w:rsid w:val="08A722D7"/>
    <w:rsid w:val="08AA0601"/>
    <w:rsid w:val="08AA52B7"/>
    <w:rsid w:val="08B56C78"/>
    <w:rsid w:val="08B603F3"/>
    <w:rsid w:val="08BD4F78"/>
    <w:rsid w:val="08D15CCC"/>
    <w:rsid w:val="08DA1F04"/>
    <w:rsid w:val="08E0654E"/>
    <w:rsid w:val="08E104A3"/>
    <w:rsid w:val="08EA1056"/>
    <w:rsid w:val="08ED22FA"/>
    <w:rsid w:val="08F30DBE"/>
    <w:rsid w:val="08F56AD5"/>
    <w:rsid w:val="08F74A37"/>
    <w:rsid w:val="08F8353B"/>
    <w:rsid w:val="08FB166A"/>
    <w:rsid w:val="09014C2D"/>
    <w:rsid w:val="09063A89"/>
    <w:rsid w:val="090B3CA3"/>
    <w:rsid w:val="090D1421"/>
    <w:rsid w:val="090D7807"/>
    <w:rsid w:val="09170BF1"/>
    <w:rsid w:val="091B4B5C"/>
    <w:rsid w:val="093305F6"/>
    <w:rsid w:val="09340EC3"/>
    <w:rsid w:val="09397971"/>
    <w:rsid w:val="093B2311"/>
    <w:rsid w:val="09400926"/>
    <w:rsid w:val="09414AC1"/>
    <w:rsid w:val="09424036"/>
    <w:rsid w:val="09424A96"/>
    <w:rsid w:val="09424D1C"/>
    <w:rsid w:val="0947084A"/>
    <w:rsid w:val="0948695F"/>
    <w:rsid w:val="09491F51"/>
    <w:rsid w:val="094A02B6"/>
    <w:rsid w:val="094B3F2F"/>
    <w:rsid w:val="094C3466"/>
    <w:rsid w:val="094D6F5C"/>
    <w:rsid w:val="0954358B"/>
    <w:rsid w:val="095C1E89"/>
    <w:rsid w:val="095D1E13"/>
    <w:rsid w:val="09670E51"/>
    <w:rsid w:val="096C5132"/>
    <w:rsid w:val="096D4589"/>
    <w:rsid w:val="09715D1D"/>
    <w:rsid w:val="09742E22"/>
    <w:rsid w:val="09745EFB"/>
    <w:rsid w:val="09750ACE"/>
    <w:rsid w:val="097535BC"/>
    <w:rsid w:val="097E0E9C"/>
    <w:rsid w:val="097F4158"/>
    <w:rsid w:val="09821238"/>
    <w:rsid w:val="0984551C"/>
    <w:rsid w:val="098C082F"/>
    <w:rsid w:val="0993788D"/>
    <w:rsid w:val="099472E7"/>
    <w:rsid w:val="09952E2A"/>
    <w:rsid w:val="099759C8"/>
    <w:rsid w:val="09A42D99"/>
    <w:rsid w:val="09A7513C"/>
    <w:rsid w:val="09AB3DD1"/>
    <w:rsid w:val="09B27489"/>
    <w:rsid w:val="09BA1C3B"/>
    <w:rsid w:val="09BF1E8A"/>
    <w:rsid w:val="09BF238B"/>
    <w:rsid w:val="09C67978"/>
    <w:rsid w:val="09D35EC1"/>
    <w:rsid w:val="09DF4C99"/>
    <w:rsid w:val="09E564B8"/>
    <w:rsid w:val="09E72F9D"/>
    <w:rsid w:val="09E831C9"/>
    <w:rsid w:val="09EA4169"/>
    <w:rsid w:val="09EC1A4A"/>
    <w:rsid w:val="09EC4B1D"/>
    <w:rsid w:val="09EC7A57"/>
    <w:rsid w:val="09ED4D69"/>
    <w:rsid w:val="09EE01B8"/>
    <w:rsid w:val="09EF0C15"/>
    <w:rsid w:val="09F73012"/>
    <w:rsid w:val="09F77876"/>
    <w:rsid w:val="09FA52F8"/>
    <w:rsid w:val="09FB1DE8"/>
    <w:rsid w:val="0A002E4F"/>
    <w:rsid w:val="0A003262"/>
    <w:rsid w:val="0A0106F5"/>
    <w:rsid w:val="0A0B3F39"/>
    <w:rsid w:val="0A0F5A24"/>
    <w:rsid w:val="0A1026E6"/>
    <w:rsid w:val="0A1048B9"/>
    <w:rsid w:val="0A115B9F"/>
    <w:rsid w:val="0A117A4A"/>
    <w:rsid w:val="0A140E60"/>
    <w:rsid w:val="0A1579EA"/>
    <w:rsid w:val="0A18031C"/>
    <w:rsid w:val="0A194215"/>
    <w:rsid w:val="0A1C23E3"/>
    <w:rsid w:val="0A2175C7"/>
    <w:rsid w:val="0A2605D9"/>
    <w:rsid w:val="0A27015B"/>
    <w:rsid w:val="0A325BF1"/>
    <w:rsid w:val="0A3473DF"/>
    <w:rsid w:val="0A3524B6"/>
    <w:rsid w:val="0A3820A3"/>
    <w:rsid w:val="0A39113B"/>
    <w:rsid w:val="0A393E77"/>
    <w:rsid w:val="0A414FB3"/>
    <w:rsid w:val="0A4512E5"/>
    <w:rsid w:val="0A4E39BC"/>
    <w:rsid w:val="0A5005D8"/>
    <w:rsid w:val="0A5819F1"/>
    <w:rsid w:val="0A605CE2"/>
    <w:rsid w:val="0A6223BB"/>
    <w:rsid w:val="0A674113"/>
    <w:rsid w:val="0A685C97"/>
    <w:rsid w:val="0A6964A7"/>
    <w:rsid w:val="0A6F788E"/>
    <w:rsid w:val="0A700A4D"/>
    <w:rsid w:val="0A710471"/>
    <w:rsid w:val="0A755E13"/>
    <w:rsid w:val="0A7A375D"/>
    <w:rsid w:val="0A7C0A44"/>
    <w:rsid w:val="0A7C1511"/>
    <w:rsid w:val="0A88322A"/>
    <w:rsid w:val="0A8A48C1"/>
    <w:rsid w:val="0A8F7C35"/>
    <w:rsid w:val="0A9214F3"/>
    <w:rsid w:val="0A9357C9"/>
    <w:rsid w:val="0A955B09"/>
    <w:rsid w:val="0A963055"/>
    <w:rsid w:val="0A9876D7"/>
    <w:rsid w:val="0A9A63D1"/>
    <w:rsid w:val="0A9B184E"/>
    <w:rsid w:val="0A9C4781"/>
    <w:rsid w:val="0A9D4D8B"/>
    <w:rsid w:val="0AA92168"/>
    <w:rsid w:val="0AAB4748"/>
    <w:rsid w:val="0AAE6745"/>
    <w:rsid w:val="0AAF1D1B"/>
    <w:rsid w:val="0AB11FED"/>
    <w:rsid w:val="0AB25CBD"/>
    <w:rsid w:val="0AB543CF"/>
    <w:rsid w:val="0ABB7F29"/>
    <w:rsid w:val="0AC141B6"/>
    <w:rsid w:val="0AC7370B"/>
    <w:rsid w:val="0AD218BD"/>
    <w:rsid w:val="0AD27DEA"/>
    <w:rsid w:val="0AD3491F"/>
    <w:rsid w:val="0AD659AD"/>
    <w:rsid w:val="0AD9523C"/>
    <w:rsid w:val="0ADA6043"/>
    <w:rsid w:val="0ADB0F46"/>
    <w:rsid w:val="0AE60C5F"/>
    <w:rsid w:val="0AF12958"/>
    <w:rsid w:val="0AF86FA9"/>
    <w:rsid w:val="0AF918CF"/>
    <w:rsid w:val="0AFA0B65"/>
    <w:rsid w:val="0AFB0486"/>
    <w:rsid w:val="0B055CC3"/>
    <w:rsid w:val="0B06433B"/>
    <w:rsid w:val="0B081B22"/>
    <w:rsid w:val="0B0E4080"/>
    <w:rsid w:val="0B0F299D"/>
    <w:rsid w:val="0B101AA4"/>
    <w:rsid w:val="0B11457D"/>
    <w:rsid w:val="0B13160C"/>
    <w:rsid w:val="0B143EF7"/>
    <w:rsid w:val="0B14662F"/>
    <w:rsid w:val="0B253F95"/>
    <w:rsid w:val="0B2F12B9"/>
    <w:rsid w:val="0B2F4A1B"/>
    <w:rsid w:val="0B36265A"/>
    <w:rsid w:val="0B370C21"/>
    <w:rsid w:val="0B372AC4"/>
    <w:rsid w:val="0B383136"/>
    <w:rsid w:val="0B3E1D1E"/>
    <w:rsid w:val="0B473C91"/>
    <w:rsid w:val="0B495799"/>
    <w:rsid w:val="0B4B3FE0"/>
    <w:rsid w:val="0B4B7FEB"/>
    <w:rsid w:val="0B4E7969"/>
    <w:rsid w:val="0B4F4D20"/>
    <w:rsid w:val="0B534F80"/>
    <w:rsid w:val="0B586CD6"/>
    <w:rsid w:val="0B594A6B"/>
    <w:rsid w:val="0B5F757A"/>
    <w:rsid w:val="0B625644"/>
    <w:rsid w:val="0B65090D"/>
    <w:rsid w:val="0B656334"/>
    <w:rsid w:val="0B6A038D"/>
    <w:rsid w:val="0B6A1952"/>
    <w:rsid w:val="0B71322B"/>
    <w:rsid w:val="0B7241BE"/>
    <w:rsid w:val="0B733044"/>
    <w:rsid w:val="0B772A1C"/>
    <w:rsid w:val="0B795AEB"/>
    <w:rsid w:val="0B7A48C9"/>
    <w:rsid w:val="0B7E1768"/>
    <w:rsid w:val="0B7E252B"/>
    <w:rsid w:val="0B7E2E29"/>
    <w:rsid w:val="0B7F6E60"/>
    <w:rsid w:val="0B8028B6"/>
    <w:rsid w:val="0B845139"/>
    <w:rsid w:val="0B89350B"/>
    <w:rsid w:val="0B8E1E49"/>
    <w:rsid w:val="0B8E40BD"/>
    <w:rsid w:val="0B8F6A6B"/>
    <w:rsid w:val="0B910538"/>
    <w:rsid w:val="0B955598"/>
    <w:rsid w:val="0B973CCF"/>
    <w:rsid w:val="0B980635"/>
    <w:rsid w:val="0B9F21C4"/>
    <w:rsid w:val="0BA16E92"/>
    <w:rsid w:val="0BA553E0"/>
    <w:rsid w:val="0BAA481A"/>
    <w:rsid w:val="0BAB0B5A"/>
    <w:rsid w:val="0BAD4176"/>
    <w:rsid w:val="0BB72EEC"/>
    <w:rsid w:val="0BC15688"/>
    <w:rsid w:val="0BC40CAC"/>
    <w:rsid w:val="0BCB2CB7"/>
    <w:rsid w:val="0BCE5141"/>
    <w:rsid w:val="0BCF16C5"/>
    <w:rsid w:val="0BD25EA5"/>
    <w:rsid w:val="0BD30718"/>
    <w:rsid w:val="0BD30FE9"/>
    <w:rsid w:val="0BD56DCA"/>
    <w:rsid w:val="0BD56F5F"/>
    <w:rsid w:val="0BD76B24"/>
    <w:rsid w:val="0BE3318D"/>
    <w:rsid w:val="0BE873A6"/>
    <w:rsid w:val="0BE9260A"/>
    <w:rsid w:val="0BF30BC5"/>
    <w:rsid w:val="0BF3738F"/>
    <w:rsid w:val="0BF4523A"/>
    <w:rsid w:val="0BF54B12"/>
    <w:rsid w:val="0BF60263"/>
    <w:rsid w:val="0BF901CD"/>
    <w:rsid w:val="0BFA53FB"/>
    <w:rsid w:val="0BFC1173"/>
    <w:rsid w:val="0BFF1B26"/>
    <w:rsid w:val="0C0369A6"/>
    <w:rsid w:val="0C13154B"/>
    <w:rsid w:val="0C1464BD"/>
    <w:rsid w:val="0C190A75"/>
    <w:rsid w:val="0C1C0799"/>
    <w:rsid w:val="0C1E733C"/>
    <w:rsid w:val="0C20248C"/>
    <w:rsid w:val="0C2112B1"/>
    <w:rsid w:val="0C2212AA"/>
    <w:rsid w:val="0C244E75"/>
    <w:rsid w:val="0C253989"/>
    <w:rsid w:val="0C295AA7"/>
    <w:rsid w:val="0C2F4BDA"/>
    <w:rsid w:val="0C3A196A"/>
    <w:rsid w:val="0C42194D"/>
    <w:rsid w:val="0C4604C1"/>
    <w:rsid w:val="0C471B51"/>
    <w:rsid w:val="0C4F2A45"/>
    <w:rsid w:val="0C5153FE"/>
    <w:rsid w:val="0C5350A6"/>
    <w:rsid w:val="0C5A3486"/>
    <w:rsid w:val="0C5C06B2"/>
    <w:rsid w:val="0C5D4061"/>
    <w:rsid w:val="0C5D7D80"/>
    <w:rsid w:val="0C627835"/>
    <w:rsid w:val="0C6449DC"/>
    <w:rsid w:val="0C6C4786"/>
    <w:rsid w:val="0C6D3EAE"/>
    <w:rsid w:val="0C6D62F9"/>
    <w:rsid w:val="0C712A75"/>
    <w:rsid w:val="0C721F12"/>
    <w:rsid w:val="0C722B2E"/>
    <w:rsid w:val="0C7240F2"/>
    <w:rsid w:val="0C752919"/>
    <w:rsid w:val="0C77761B"/>
    <w:rsid w:val="0C7B669C"/>
    <w:rsid w:val="0C8000D8"/>
    <w:rsid w:val="0C814381"/>
    <w:rsid w:val="0C8531F6"/>
    <w:rsid w:val="0C8557FA"/>
    <w:rsid w:val="0C865C61"/>
    <w:rsid w:val="0C8912E7"/>
    <w:rsid w:val="0C8A2FC6"/>
    <w:rsid w:val="0C8D2002"/>
    <w:rsid w:val="0C8E47F0"/>
    <w:rsid w:val="0C933490"/>
    <w:rsid w:val="0C966112"/>
    <w:rsid w:val="0C966B53"/>
    <w:rsid w:val="0C9A23C8"/>
    <w:rsid w:val="0C9B77F7"/>
    <w:rsid w:val="0C9E578F"/>
    <w:rsid w:val="0CA041F5"/>
    <w:rsid w:val="0CA12074"/>
    <w:rsid w:val="0CA9639D"/>
    <w:rsid w:val="0CAA33A9"/>
    <w:rsid w:val="0CAB3B91"/>
    <w:rsid w:val="0CAC72F0"/>
    <w:rsid w:val="0CAD06CE"/>
    <w:rsid w:val="0CB94C54"/>
    <w:rsid w:val="0CBE339F"/>
    <w:rsid w:val="0CBE7328"/>
    <w:rsid w:val="0CC04897"/>
    <w:rsid w:val="0CC243EB"/>
    <w:rsid w:val="0CC52BCF"/>
    <w:rsid w:val="0CCB0A4F"/>
    <w:rsid w:val="0CD10CC4"/>
    <w:rsid w:val="0CD52839"/>
    <w:rsid w:val="0CD55035"/>
    <w:rsid w:val="0CD63518"/>
    <w:rsid w:val="0CDA4950"/>
    <w:rsid w:val="0CE660F1"/>
    <w:rsid w:val="0CEA2434"/>
    <w:rsid w:val="0CEB54B1"/>
    <w:rsid w:val="0CED1744"/>
    <w:rsid w:val="0CF022AC"/>
    <w:rsid w:val="0CF147A9"/>
    <w:rsid w:val="0CF168CA"/>
    <w:rsid w:val="0CF81646"/>
    <w:rsid w:val="0CF8247C"/>
    <w:rsid w:val="0CFA0A4C"/>
    <w:rsid w:val="0CFB58CF"/>
    <w:rsid w:val="0CFC6E0F"/>
    <w:rsid w:val="0CFF4D55"/>
    <w:rsid w:val="0D047BD5"/>
    <w:rsid w:val="0D05751D"/>
    <w:rsid w:val="0D07099D"/>
    <w:rsid w:val="0D08369A"/>
    <w:rsid w:val="0D0A01D1"/>
    <w:rsid w:val="0D0A2DD2"/>
    <w:rsid w:val="0D0F0C82"/>
    <w:rsid w:val="0D1134F2"/>
    <w:rsid w:val="0D120370"/>
    <w:rsid w:val="0D125840"/>
    <w:rsid w:val="0D141B00"/>
    <w:rsid w:val="0D15648E"/>
    <w:rsid w:val="0D185733"/>
    <w:rsid w:val="0D186106"/>
    <w:rsid w:val="0D1D5FFD"/>
    <w:rsid w:val="0D2026AE"/>
    <w:rsid w:val="0D2441DC"/>
    <w:rsid w:val="0D26294C"/>
    <w:rsid w:val="0D277019"/>
    <w:rsid w:val="0D2A1AB9"/>
    <w:rsid w:val="0D2C4EF6"/>
    <w:rsid w:val="0D2E5F77"/>
    <w:rsid w:val="0D370585"/>
    <w:rsid w:val="0D375B65"/>
    <w:rsid w:val="0D383AA4"/>
    <w:rsid w:val="0D387990"/>
    <w:rsid w:val="0D39317C"/>
    <w:rsid w:val="0D3F3E68"/>
    <w:rsid w:val="0D425700"/>
    <w:rsid w:val="0D442DC1"/>
    <w:rsid w:val="0D453880"/>
    <w:rsid w:val="0D477518"/>
    <w:rsid w:val="0D4A54D6"/>
    <w:rsid w:val="0D4B23FE"/>
    <w:rsid w:val="0D4E2564"/>
    <w:rsid w:val="0D521D20"/>
    <w:rsid w:val="0D5346B6"/>
    <w:rsid w:val="0D5B2EE7"/>
    <w:rsid w:val="0D621371"/>
    <w:rsid w:val="0D6253DE"/>
    <w:rsid w:val="0D645E17"/>
    <w:rsid w:val="0D664608"/>
    <w:rsid w:val="0D667FDC"/>
    <w:rsid w:val="0D6945E7"/>
    <w:rsid w:val="0D6A08ED"/>
    <w:rsid w:val="0D701DE1"/>
    <w:rsid w:val="0D72487B"/>
    <w:rsid w:val="0D8330FF"/>
    <w:rsid w:val="0D845969"/>
    <w:rsid w:val="0D8F59D5"/>
    <w:rsid w:val="0D8F5FCA"/>
    <w:rsid w:val="0D951880"/>
    <w:rsid w:val="0D961154"/>
    <w:rsid w:val="0D980078"/>
    <w:rsid w:val="0D9A45DF"/>
    <w:rsid w:val="0D9E53B9"/>
    <w:rsid w:val="0DA05A1E"/>
    <w:rsid w:val="0DA15239"/>
    <w:rsid w:val="0DA93588"/>
    <w:rsid w:val="0DB408BA"/>
    <w:rsid w:val="0DB64CAA"/>
    <w:rsid w:val="0DBB20F0"/>
    <w:rsid w:val="0DBC1468"/>
    <w:rsid w:val="0DC22427"/>
    <w:rsid w:val="0DC23A88"/>
    <w:rsid w:val="0DC53122"/>
    <w:rsid w:val="0DC83A03"/>
    <w:rsid w:val="0DCC49B6"/>
    <w:rsid w:val="0DCD6E2C"/>
    <w:rsid w:val="0DCE2D7C"/>
    <w:rsid w:val="0DCF3D45"/>
    <w:rsid w:val="0DD31445"/>
    <w:rsid w:val="0DD73C46"/>
    <w:rsid w:val="0DD83614"/>
    <w:rsid w:val="0DDF4AB1"/>
    <w:rsid w:val="0DE06D36"/>
    <w:rsid w:val="0DE41958"/>
    <w:rsid w:val="0DE739D1"/>
    <w:rsid w:val="0DE776D8"/>
    <w:rsid w:val="0DF17F28"/>
    <w:rsid w:val="0DF63928"/>
    <w:rsid w:val="0DF67552"/>
    <w:rsid w:val="0DFA2CD6"/>
    <w:rsid w:val="0DFC5082"/>
    <w:rsid w:val="0DFC6CD9"/>
    <w:rsid w:val="0DFD1CA5"/>
    <w:rsid w:val="0DFF4C9E"/>
    <w:rsid w:val="0E007ABF"/>
    <w:rsid w:val="0E073833"/>
    <w:rsid w:val="0E0D39BA"/>
    <w:rsid w:val="0E0E07A1"/>
    <w:rsid w:val="0E142078"/>
    <w:rsid w:val="0E142097"/>
    <w:rsid w:val="0E160310"/>
    <w:rsid w:val="0E18160C"/>
    <w:rsid w:val="0E1A4816"/>
    <w:rsid w:val="0E1E6066"/>
    <w:rsid w:val="0E1F33D6"/>
    <w:rsid w:val="0E2022F7"/>
    <w:rsid w:val="0E207CBE"/>
    <w:rsid w:val="0E236A35"/>
    <w:rsid w:val="0E2373CF"/>
    <w:rsid w:val="0E26520F"/>
    <w:rsid w:val="0E284CB5"/>
    <w:rsid w:val="0E2A3CC2"/>
    <w:rsid w:val="0E2F2DB2"/>
    <w:rsid w:val="0E3069F8"/>
    <w:rsid w:val="0E343B2B"/>
    <w:rsid w:val="0E362465"/>
    <w:rsid w:val="0E37269F"/>
    <w:rsid w:val="0E3B77C5"/>
    <w:rsid w:val="0E3C5AE8"/>
    <w:rsid w:val="0E3C7C7B"/>
    <w:rsid w:val="0E420118"/>
    <w:rsid w:val="0E4610F4"/>
    <w:rsid w:val="0E4E523F"/>
    <w:rsid w:val="0E536185"/>
    <w:rsid w:val="0E552F51"/>
    <w:rsid w:val="0E5666EE"/>
    <w:rsid w:val="0E57246B"/>
    <w:rsid w:val="0E5B1BC1"/>
    <w:rsid w:val="0E5C6447"/>
    <w:rsid w:val="0E613657"/>
    <w:rsid w:val="0E6549B2"/>
    <w:rsid w:val="0E660AE4"/>
    <w:rsid w:val="0E665CAE"/>
    <w:rsid w:val="0E680436"/>
    <w:rsid w:val="0E692F38"/>
    <w:rsid w:val="0E69745F"/>
    <w:rsid w:val="0E6C0832"/>
    <w:rsid w:val="0E6C7C4B"/>
    <w:rsid w:val="0E6D6391"/>
    <w:rsid w:val="0E742487"/>
    <w:rsid w:val="0E787115"/>
    <w:rsid w:val="0E794667"/>
    <w:rsid w:val="0E794CFD"/>
    <w:rsid w:val="0E79539D"/>
    <w:rsid w:val="0E7C0EB4"/>
    <w:rsid w:val="0E83781C"/>
    <w:rsid w:val="0E865D17"/>
    <w:rsid w:val="0E8E3D8C"/>
    <w:rsid w:val="0E906819"/>
    <w:rsid w:val="0E912D6F"/>
    <w:rsid w:val="0E91602B"/>
    <w:rsid w:val="0E924011"/>
    <w:rsid w:val="0E94053F"/>
    <w:rsid w:val="0E950205"/>
    <w:rsid w:val="0E9841FC"/>
    <w:rsid w:val="0E9A6252"/>
    <w:rsid w:val="0E9C4B20"/>
    <w:rsid w:val="0E9D552F"/>
    <w:rsid w:val="0EAD0CF4"/>
    <w:rsid w:val="0EAD2B27"/>
    <w:rsid w:val="0EAD50E7"/>
    <w:rsid w:val="0EB135BA"/>
    <w:rsid w:val="0EB4788E"/>
    <w:rsid w:val="0EB831EB"/>
    <w:rsid w:val="0EBA2416"/>
    <w:rsid w:val="0EBA7893"/>
    <w:rsid w:val="0EBD6463"/>
    <w:rsid w:val="0EBD6751"/>
    <w:rsid w:val="0EBF5FFA"/>
    <w:rsid w:val="0EC63EAF"/>
    <w:rsid w:val="0EC643CC"/>
    <w:rsid w:val="0EC6591B"/>
    <w:rsid w:val="0EC70BA4"/>
    <w:rsid w:val="0ECB1BA7"/>
    <w:rsid w:val="0ECC12D1"/>
    <w:rsid w:val="0ED256FC"/>
    <w:rsid w:val="0ED34575"/>
    <w:rsid w:val="0ED45870"/>
    <w:rsid w:val="0ED56997"/>
    <w:rsid w:val="0ED63FC6"/>
    <w:rsid w:val="0EDA5936"/>
    <w:rsid w:val="0EDD086D"/>
    <w:rsid w:val="0EDD0FB3"/>
    <w:rsid w:val="0EDD7461"/>
    <w:rsid w:val="0EE35C5B"/>
    <w:rsid w:val="0EE53289"/>
    <w:rsid w:val="0EE6258E"/>
    <w:rsid w:val="0EE74150"/>
    <w:rsid w:val="0EF13FFC"/>
    <w:rsid w:val="0EF40828"/>
    <w:rsid w:val="0EF55119"/>
    <w:rsid w:val="0EF74833"/>
    <w:rsid w:val="0EF91A90"/>
    <w:rsid w:val="0EFA3987"/>
    <w:rsid w:val="0EFB2030"/>
    <w:rsid w:val="0EFD6598"/>
    <w:rsid w:val="0EFF0AB6"/>
    <w:rsid w:val="0F04787C"/>
    <w:rsid w:val="0F050BF9"/>
    <w:rsid w:val="0F054195"/>
    <w:rsid w:val="0F0A6B58"/>
    <w:rsid w:val="0F0D5446"/>
    <w:rsid w:val="0F1326E1"/>
    <w:rsid w:val="0F1550AF"/>
    <w:rsid w:val="0F165C3F"/>
    <w:rsid w:val="0F1666E3"/>
    <w:rsid w:val="0F1F58A5"/>
    <w:rsid w:val="0F1F7028"/>
    <w:rsid w:val="0F2D2AD3"/>
    <w:rsid w:val="0F346CDF"/>
    <w:rsid w:val="0F355BAE"/>
    <w:rsid w:val="0F380F23"/>
    <w:rsid w:val="0F3879C1"/>
    <w:rsid w:val="0F3F5F47"/>
    <w:rsid w:val="0F414281"/>
    <w:rsid w:val="0F423590"/>
    <w:rsid w:val="0F4470B9"/>
    <w:rsid w:val="0F452812"/>
    <w:rsid w:val="0F465689"/>
    <w:rsid w:val="0F46715A"/>
    <w:rsid w:val="0F470FC8"/>
    <w:rsid w:val="0F47397D"/>
    <w:rsid w:val="0F4A4D6E"/>
    <w:rsid w:val="0F4E0B26"/>
    <w:rsid w:val="0F512A6F"/>
    <w:rsid w:val="0F5871DF"/>
    <w:rsid w:val="0F5D19FB"/>
    <w:rsid w:val="0F5F1029"/>
    <w:rsid w:val="0F625791"/>
    <w:rsid w:val="0F636903"/>
    <w:rsid w:val="0F651255"/>
    <w:rsid w:val="0F6A4A65"/>
    <w:rsid w:val="0F6A59F7"/>
    <w:rsid w:val="0F6D79A8"/>
    <w:rsid w:val="0F6E6A8A"/>
    <w:rsid w:val="0F71044D"/>
    <w:rsid w:val="0F7272E4"/>
    <w:rsid w:val="0F7327F9"/>
    <w:rsid w:val="0F750E61"/>
    <w:rsid w:val="0F75392B"/>
    <w:rsid w:val="0F7B331C"/>
    <w:rsid w:val="0F7C5A07"/>
    <w:rsid w:val="0F813539"/>
    <w:rsid w:val="0F827BE2"/>
    <w:rsid w:val="0F8A6A96"/>
    <w:rsid w:val="0F8D4423"/>
    <w:rsid w:val="0F9202C3"/>
    <w:rsid w:val="0F945C36"/>
    <w:rsid w:val="0F945D0C"/>
    <w:rsid w:val="0F963E7B"/>
    <w:rsid w:val="0F965C50"/>
    <w:rsid w:val="0F987B0B"/>
    <w:rsid w:val="0FA20991"/>
    <w:rsid w:val="0FA36D1F"/>
    <w:rsid w:val="0FA54B6B"/>
    <w:rsid w:val="0FAA0427"/>
    <w:rsid w:val="0FAB616C"/>
    <w:rsid w:val="0FAB747F"/>
    <w:rsid w:val="0FB25C04"/>
    <w:rsid w:val="0FB36BA9"/>
    <w:rsid w:val="0FB50383"/>
    <w:rsid w:val="0FBB1C3F"/>
    <w:rsid w:val="0FBD1CE9"/>
    <w:rsid w:val="0FC35146"/>
    <w:rsid w:val="0FC65381"/>
    <w:rsid w:val="0FC761AF"/>
    <w:rsid w:val="0FCC0762"/>
    <w:rsid w:val="0FCF5115"/>
    <w:rsid w:val="0FD5709B"/>
    <w:rsid w:val="0FD839E6"/>
    <w:rsid w:val="0FDA3C21"/>
    <w:rsid w:val="0FDC40C0"/>
    <w:rsid w:val="0FDD4328"/>
    <w:rsid w:val="0FE11C84"/>
    <w:rsid w:val="0FE87BC1"/>
    <w:rsid w:val="0FEC3F97"/>
    <w:rsid w:val="0FEC5032"/>
    <w:rsid w:val="0FF13CCE"/>
    <w:rsid w:val="0FF67DF5"/>
    <w:rsid w:val="0FF705D0"/>
    <w:rsid w:val="0FF97BAB"/>
    <w:rsid w:val="0FFB1C8B"/>
    <w:rsid w:val="0FFE2051"/>
    <w:rsid w:val="0FFF005F"/>
    <w:rsid w:val="10006789"/>
    <w:rsid w:val="10030F3B"/>
    <w:rsid w:val="10032BF0"/>
    <w:rsid w:val="10040A14"/>
    <w:rsid w:val="10042E78"/>
    <w:rsid w:val="10066A65"/>
    <w:rsid w:val="10077361"/>
    <w:rsid w:val="10085F8B"/>
    <w:rsid w:val="10090303"/>
    <w:rsid w:val="100B71D9"/>
    <w:rsid w:val="100C0350"/>
    <w:rsid w:val="101605CB"/>
    <w:rsid w:val="101979E0"/>
    <w:rsid w:val="101C4C5B"/>
    <w:rsid w:val="10224A63"/>
    <w:rsid w:val="102875B6"/>
    <w:rsid w:val="102C5FA1"/>
    <w:rsid w:val="102F1958"/>
    <w:rsid w:val="102F3975"/>
    <w:rsid w:val="10301AAC"/>
    <w:rsid w:val="1031523A"/>
    <w:rsid w:val="1032464A"/>
    <w:rsid w:val="1034616A"/>
    <w:rsid w:val="10362BFB"/>
    <w:rsid w:val="103B1611"/>
    <w:rsid w:val="103E2BA3"/>
    <w:rsid w:val="103F7841"/>
    <w:rsid w:val="10400A7B"/>
    <w:rsid w:val="10431423"/>
    <w:rsid w:val="104703DC"/>
    <w:rsid w:val="104A02FB"/>
    <w:rsid w:val="104A5135"/>
    <w:rsid w:val="104B5CBD"/>
    <w:rsid w:val="104C1593"/>
    <w:rsid w:val="10535E46"/>
    <w:rsid w:val="10545DB4"/>
    <w:rsid w:val="105A626B"/>
    <w:rsid w:val="105A6C43"/>
    <w:rsid w:val="105C0433"/>
    <w:rsid w:val="105D13E3"/>
    <w:rsid w:val="105D47FC"/>
    <w:rsid w:val="105F6A12"/>
    <w:rsid w:val="106043C7"/>
    <w:rsid w:val="10637CCA"/>
    <w:rsid w:val="10696EC5"/>
    <w:rsid w:val="106A1B34"/>
    <w:rsid w:val="10712331"/>
    <w:rsid w:val="10740282"/>
    <w:rsid w:val="10746441"/>
    <w:rsid w:val="107624D2"/>
    <w:rsid w:val="107C0F2A"/>
    <w:rsid w:val="10866D90"/>
    <w:rsid w:val="108A0934"/>
    <w:rsid w:val="108A416C"/>
    <w:rsid w:val="10942E08"/>
    <w:rsid w:val="109B447F"/>
    <w:rsid w:val="109D0537"/>
    <w:rsid w:val="109E4EEF"/>
    <w:rsid w:val="10A27582"/>
    <w:rsid w:val="10A5056A"/>
    <w:rsid w:val="10A87104"/>
    <w:rsid w:val="10B02F4F"/>
    <w:rsid w:val="10B84EC1"/>
    <w:rsid w:val="10BD54FC"/>
    <w:rsid w:val="10C75465"/>
    <w:rsid w:val="10CE2DC1"/>
    <w:rsid w:val="10CE424B"/>
    <w:rsid w:val="10CE7847"/>
    <w:rsid w:val="10D11B21"/>
    <w:rsid w:val="10D42625"/>
    <w:rsid w:val="10D56010"/>
    <w:rsid w:val="10D77E46"/>
    <w:rsid w:val="10D80638"/>
    <w:rsid w:val="10DA4867"/>
    <w:rsid w:val="10DD3A0F"/>
    <w:rsid w:val="10DD5192"/>
    <w:rsid w:val="10DD77C5"/>
    <w:rsid w:val="10E06B98"/>
    <w:rsid w:val="10E36384"/>
    <w:rsid w:val="10E548CC"/>
    <w:rsid w:val="10E62D8B"/>
    <w:rsid w:val="10E75614"/>
    <w:rsid w:val="10E80E99"/>
    <w:rsid w:val="10EB0F86"/>
    <w:rsid w:val="10EE2849"/>
    <w:rsid w:val="10EF238F"/>
    <w:rsid w:val="10F624C4"/>
    <w:rsid w:val="11013A48"/>
    <w:rsid w:val="11027B7E"/>
    <w:rsid w:val="11037534"/>
    <w:rsid w:val="110715C4"/>
    <w:rsid w:val="11080F45"/>
    <w:rsid w:val="110D3E8C"/>
    <w:rsid w:val="110F76E9"/>
    <w:rsid w:val="111449BF"/>
    <w:rsid w:val="1118351C"/>
    <w:rsid w:val="111C76FD"/>
    <w:rsid w:val="11200440"/>
    <w:rsid w:val="11242889"/>
    <w:rsid w:val="11297418"/>
    <w:rsid w:val="112B29EA"/>
    <w:rsid w:val="113B44EC"/>
    <w:rsid w:val="113F2519"/>
    <w:rsid w:val="11435DD1"/>
    <w:rsid w:val="11445E84"/>
    <w:rsid w:val="114608F0"/>
    <w:rsid w:val="11477335"/>
    <w:rsid w:val="114952B5"/>
    <w:rsid w:val="114C1E0B"/>
    <w:rsid w:val="114C7862"/>
    <w:rsid w:val="11555AEA"/>
    <w:rsid w:val="11577A38"/>
    <w:rsid w:val="115B4B8E"/>
    <w:rsid w:val="115D08AD"/>
    <w:rsid w:val="11624D50"/>
    <w:rsid w:val="11636A2C"/>
    <w:rsid w:val="11684EE3"/>
    <w:rsid w:val="116B21E0"/>
    <w:rsid w:val="116C081E"/>
    <w:rsid w:val="116C15B9"/>
    <w:rsid w:val="116C7D43"/>
    <w:rsid w:val="117745B6"/>
    <w:rsid w:val="118063A3"/>
    <w:rsid w:val="11813B00"/>
    <w:rsid w:val="11813C7A"/>
    <w:rsid w:val="11830853"/>
    <w:rsid w:val="11865968"/>
    <w:rsid w:val="1187120A"/>
    <w:rsid w:val="118729E8"/>
    <w:rsid w:val="118922D8"/>
    <w:rsid w:val="1194282C"/>
    <w:rsid w:val="11942C1A"/>
    <w:rsid w:val="119836EC"/>
    <w:rsid w:val="119B0355"/>
    <w:rsid w:val="119D42D7"/>
    <w:rsid w:val="119F5510"/>
    <w:rsid w:val="11A7508B"/>
    <w:rsid w:val="11A92618"/>
    <w:rsid w:val="11AF3C25"/>
    <w:rsid w:val="11B61DC5"/>
    <w:rsid w:val="11B74ABA"/>
    <w:rsid w:val="11B851EE"/>
    <w:rsid w:val="11C71C99"/>
    <w:rsid w:val="11C72580"/>
    <w:rsid w:val="11C73D6C"/>
    <w:rsid w:val="11CA102E"/>
    <w:rsid w:val="11CC179F"/>
    <w:rsid w:val="11CE03F4"/>
    <w:rsid w:val="11CE3A8C"/>
    <w:rsid w:val="11D32976"/>
    <w:rsid w:val="11D47244"/>
    <w:rsid w:val="11D669F0"/>
    <w:rsid w:val="11D753F7"/>
    <w:rsid w:val="11DF69E5"/>
    <w:rsid w:val="11E038A6"/>
    <w:rsid w:val="11E31F43"/>
    <w:rsid w:val="11E550DD"/>
    <w:rsid w:val="11E712BA"/>
    <w:rsid w:val="11E93F48"/>
    <w:rsid w:val="11EA633C"/>
    <w:rsid w:val="11EA7ADB"/>
    <w:rsid w:val="11EB0016"/>
    <w:rsid w:val="11EF128D"/>
    <w:rsid w:val="11EF5098"/>
    <w:rsid w:val="11EF7262"/>
    <w:rsid w:val="11F343CF"/>
    <w:rsid w:val="11F7261E"/>
    <w:rsid w:val="11F84B9D"/>
    <w:rsid w:val="11FA57D3"/>
    <w:rsid w:val="11FB5600"/>
    <w:rsid w:val="11FB6067"/>
    <w:rsid w:val="12026B98"/>
    <w:rsid w:val="12062757"/>
    <w:rsid w:val="12071F5E"/>
    <w:rsid w:val="120803DE"/>
    <w:rsid w:val="120F4469"/>
    <w:rsid w:val="121376A9"/>
    <w:rsid w:val="12181E94"/>
    <w:rsid w:val="121E3F35"/>
    <w:rsid w:val="12212807"/>
    <w:rsid w:val="122B78DD"/>
    <w:rsid w:val="122D773A"/>
    <w:rsid w:val="122E49F2"/>
    <w:rsid w:val="122E519E"/>
    <w:rsid w:val="12347BF2"/>
    <w:rsid w:val="123A6ADB"/>
    <w:rsid w:val="123F2E70"/>
    <w:rsid w:val="123F5A2B"/>
    <w:rsid w:val="12415F84"/>
    <w:rsid w:val="12456365"/>
    <w:rsid w:val="1246035C"/>
    <w:rsid w:val="124652B6"/>
    <w:rsid w:val="124F25F2"/>
    <w:rsid w:val="125171F4"/>
    <w:rsid w:val="12517924"/>
    <w:rsid w:val="125203C7"/>
    <w:rsid w:val="125E1D7C"/>
    <w:rsid w:val="125E58C4"/>
    <w:rsid w:val="125F23B2"/>
    <w:rsid w:val="12664649"/>
    <w:rsid w:val="12687FCE"/>
    <w:rsid w:val="12696E37"/>
    <w:rsid w:val="126F3367"/>
    <w:rsid w:val="126F6B43"/>
    <w:rsid w:val="127504BF"/>
    <w:rsid w:val="127630A6"/>
    <w:rsid w:val="127A7AF5"/>
    <w:rsid w:val="127C6B6A"/>
    <w:rsid w:val="127E1C8C"/>
    <w:rsid w:val="12804229"/>
    <w:rsid w:val="12845337"/>
    <w:rsid w:val="12850F9B"/>
    <w:rsid w:val="1285507D"/>
    <w:rsid w:val="12877D4A"/>
    <w:rsid w:val="128A6B13"/>
    <w:rsid w:val="128C0D76"/>
    <w:rsid w:val="128C6B15"/>
    <w:rsid w:val="128F2D41"/>
    <w:rsid w:val="12940358"/>
    <w:rsid w:val="12943A94"/>
    <w:rsid w:val="12983C92"/>
    <w:rsid w:val="129A2D76"/>
    <w:rsid w:val="129C2A12"/>
    <w:rsid w:val="12A12A75"/>
    <w:rsid w:val="12A13E35"/>
    <w:rsid w:val="12B34431"/>
    <w:rsid w:val="12B51897"/>
    <w:rsid w:val="12B852AB"/>
    <w:rsid w:val="12BC66D0"/>
    <w:rsid w:val="12BD0A5E"/>
    <w:rsid w:val="12BE53D5"/>
    <w:rsid w:val="12C11630"/>
    <w:rsid w:val="12C34AEE"/>
    <w:rsid w:val="12C64289"/>
    <w:rsid w:val="12C6490E"/>
    <w:rsid w:val="12C86923"/>
    <w:rsid w:val="12CA16F4"/>
    <w:rsid w:val="12CC678A"/>
    <w:rsid w:val="12CD5618"/>
    <w:rsid w:val="12CE7599"/>
    <w:rsid w:val="12CF1D52"/>
    <w:rsid w:val="12CF313E"/>
    <w:rsid w:val="12D10EFB"/>
    <w:rsid w:val="12D36873"/>
    <w:rsid w:val="12D4198A"/>
    <w:rsid w:val="12D52D5A"/>
    <w:rsid w:val="12DB3A96"/>
    <w:rsid w:val="12E0359D"/>
    <w:rsid w:val="12E12B97"/>
    <w:rsid w:val="12E35825"/>
    <w:rsid w:val="12EA3ECA"/>
    <w:rsid w:val="12EC72ED"/>
    <w:rsid w:val="12EE3D16"/>
    <w:rsid w:val="12EF6331"/>
    <w:rsid w:val="12F0773C"/>
    <w:rsid w:val="12F1469F"/>
    <w:rsid w:val="12F5121A"/>
    <w:rsid w:val="12F72006"/>
    <w:rsid w:val="12F75A15"/>
    <w:rsid w:val="12FA396C"/>
    <w:rsid w:val="12FA77D2"/>
    <w:rsid w:val="12FE4614"/>
    <w:rsid w:val="13014D64"/>
    <w:rsid w:val="130204D2"/>
    <w:rsid w:val="13045EA4"/>
    <w:rsid w:val="13070B2A"/>
    <w:rsid w:val="130732DA"/>
    <w:rsid w:val="13077893"/>
    <w:rsid w:val="13083E0E"/>
    <w:rsid w:val="130B5FF9"/>
    <w:rsid w:val="130F79DE"/>
    <w:rsid w:val="13116237"/>
    <w:rsid w:val="1317080D"/>
    <w:rsid w:val="131917DF"/>
    <w:rsid w:val="13201641"/>
    <w:rsid w:val="13214A02"/>
    <w:rsid w:val="13214FDA"/>
    <w:rsid w:val="132316DC"/>
    <w:rsid w:val="1324583A"/>
    <w:rsid w:val="13253EB6"/>
    <w:rsid w:val="132A4371"/>
    <w:rsid w:val="132A4B3D"/>
    <w:rsid w:val="132C6688"/>
    <w:rsid w:val="132F13D1"/>
    <w:rsid w:val="133B6560"/>
    <w:rsid w:val="133C45D4"/>
    <w:rsid w:val="133E3516"/>
    <w:rsid w:val="133F3F08"/>
    <w:rsid w:val="1347012C"/>
    <w:rsid w:val="134E1D7C"/>
    <w:rsid w:val="135853C2"/>
    <w:rsid w:val="135A559A"/>
    <w:rsid w:val="135B70C7"/>
    <w:rsid w:val="135E4187"/>
    <w:rsid w:val="135E4B41"/>
    <w:rsid w:val="135F0019"/>
    <w:rsid w:val="13694080"/>
    <w:rsid w:val="136A4906"/>
    <w:rsid w:val="136F2FE8"/>
    <w:rsid w:val="137131EE"/>
    <w:rsid w:val="13744E9F"/>
    <w:rsid w:val="137F5A4A"/>
    <w:rsid w:val="13800D8A"/>
    <w:rsid w:val="13830461"/>
    <w:rsid w:val="1383516D"/>
    <w:rsid w:val="1384351B"/>
    <w:rsid w:val="1385589A"/>
    <w:rsid w:val="138A2DF9"/>
    <w:rsid w:val="138A57AC"/>
    <w:rsid w:val="138C5E20"/>
    <w:rsid w:val="138F50F9"/>
    <w:rsid w:val="138F7135"/>
    <w:rsid w:val="1393409F"/>
    <w:rsid w:val="13947992"/>
    <w:rsid w:val="13956844"/>
    <w:rsid w:val="1397116A"/>
    <w:rsid w:val="139856BB"/>
    <w:rsid w:val="139E7ACA"/>
    <w:rsid w:val="13A11D27"/>
    <w:rsid w:val="13B123AF"/>
    <w:rsid w:val="13B9313B"/>
    <w:rsid w:val="13BB36C2"/>
    <w:rsid w:val="13C3709B"/>
    <w:rsid w:val="13D33102"/>
    <w:rsid w:val="13DC4142"/>
    <w:rsid w:val="13DE0D89"/>
    <w:rsid w:val="13DE0E6F"/>
    <w:rsid w:val="13E34A05"/>
    <w:rsid w:val="13E4726C"/>
    <w:rsid w:val="13E56991"/>
    <w:rsid w:val="13EF25FA"/>
    <w:rsid w:val="13F154FB"/>
    <w:rsid w:val="13FA68E0"/>
    <w:rsid w:val="13FC2785"/>
    <w:rsid w:val="13FC53F1"/>
    <w:rsid w:val="14000867"/>
    <w:rsid w:val="14003118"/>
    <w:rsid w:val="14012868"/>
    <w:rsid w:val="140176DE"/>
    <w:rsid w:val="14030837"/>
    <w:rsid w:val="14087F39"/>
    <w:rsid w:val="14093CE5"/>
    <w:rsid w:val="140B289C"/>
    <w:rsid w:val="140D291E"/>
    <w:rsid w:val="14124554"/>
    <w:rsid w:val="141D73B1"/>
    <w:rsid w:val="141F0D8D"/>
    <w:rsid w:val="141F3F78"/>
    <w:rsid w:val="142253B5"/>
    <w:rsid w:val="14226B92"/>
    <w:rsid w:val="142309A5"/>
    <w:rsid w:val="142812FC"/>
    <w:rsid w:val="143125F2"/>
    <w:rsid w:val="1431688F"/>
    <w:rsid w:val="14327CE1"/>
    <w:rsid w:val="14381CF1"/>
    <w:rsid w:val="143A1172"/>
    <w:rsid w:val="143D2D4A"/>
    <w:rsid w:val="144337BB"/>
    <w:rsid w:val="14451415"/>
    <w:rsid w:val="14470D20"/>
    <w:rsid w:val="14491A1D"/>
    <w:rsid w:val="144A4353"/>
    <w:rsid w:val="144C605A"/>
    <w:rsid w:val="144D239C"/>
    <w:rsid w:val="14526423"/>
    <w:rsid w:val="14545EAC"/>
    <w:rsid w:val="14593607"/>
    <w:rsid w:val="14603BE9"/>
    <w:rsid w:val="1461426A"/>
    <w:rsid w:val="14640A05"/>
    <w:rsid w:val="14664BB4"/>
    <w:rsid w:val="14666B57"/>
    <w:rsid w:val="14696D92"/>
    <w:rsid w:val="146D5EF8"/>
    <w:rsid w:val="146E7573"/>
    <w:rsid w:val="14700382"/>
    <w:rsid w:val="1472437F"/>
    <w:rsid w:val="14757973"/>
    <w:rsid w:val="14765E22"/>
    <w:rsid w:val="147E33D8"/>
    <w:rsid w:val="147F106D"/>
    <w:rsid w:val="14815276"/>
    <w:rsid w:val="1486669D"/>
    <w:rsid w:val="14873349"/>
    <w:rsid w:val="149019C4"/>
    <w:rsid w:val="14915766"/>
    <w:rsid w:val="14947045"/>
    <w:rsid w:val="149625FC"/>
    <w:rsid w:val="1496632C"/>
    <w:rsid w:val="149749D5"/>
    <w:rsid w:val="149936D1"/>
    <w:rsid w:val="149C34F4"/>
    <w:rsid w:val="14A02570"/>
    <w:rsid w:val="14A203EA"/>
    <w:rsid w:val="14A66C3A"/>
    <w:rsid w:val="14A756F5"/>
    <w:rsid w:val="14A92B3C"/>
    <w:rsid w:val="14B005E9"/>
    <w:rsid w:val="14B23607"/>
    <w:rsid w:val="14B44CE1"/>
    <w:rsid w:val="14B57C9C"/>
    <w:rsid w:val="14B669B9"/>
    <w:rsid w:val="14B74B8B"/>
    <w:rsid w:val="14B935CC"/>
    <w:rsid w:val="14B94A07"/>
    <w:rsid w:val="14BB196E"/>
    <w:rsid w:val="14C36EFA"/>
    <w:rsid w:val="14C50716"/>
    <w:rsid w:val="14C9123C"/>
    <w:rsid w:val="14C92976"/>
    <w:rsid w:val="14D43970"/>
    <w:rsid w:val="14D903E2"/>
    <w:rsid w:val="14DB401A"/>
    <w:rsid w:val="14E00C5D"/>
    <w:rsid w:val="14E2110A"/>
    <w:rsid w:val="14E26176"/>
    <w:rsid w:val="14E7557A"/>
    <w:rsid w:val="14E77ACB"/>
    <w:rsid w:val="14EB6229"/>
    <w:rsid w:val="14EC646A"/>
    <w:rsid w:val="14F8198B"/>
    <w:rsid w:val="15022D42"/>
    <w:rsid w:val="15036076"/>
    <w:rsid w:val="15043272"/>
    <w:rsid w:val="15075E3B"/>
    <w:rsid w:val="150A28DA"/>
    <w:rsid w:val="150A42DA"/>
    <w:rsid w:val="150A5D3B"/>
    <w:rsid w:val="15100D95"/>
    <w:rsid w:val="15115612"/>
    <w:rsid w:val="15137F2C"/>
    <w:rsid w:val="15166133"/>
    <w:rsid w:val="151A0A9E"/>
    <w:rsid w:val="151A45BA"/>
    <w:rsid w:val="151E42AB"/>
    <w:rsid w:val="151E59AB"/>
    <w:rsid w:val="152040A3"/>
    <w:rsid w:val="15334147"/>
    <w:rsid w:val="1534372C"/>
    <w:rsid w:val="15357750"/>
    <w:rsid w:val="1538172C"/>
    <w:rsid w:val="153B390C"/>
    <w:rsid w:val="153E2949"/>
    <w:rsid w:val="15415E49"/>
    <w:rsid w:val="154715DA"/>
    <w:rsid w:val="15497BA7"/>
    <w:rsid w:val="154C4930"/>
    <w:rsid w:val="154E378E"/>
    <w:rsid w:val="15577DBF"/>
    <w:rsid w:val="15594A0D"/>
    <w:rsid w:val="155D31FB"/>
    <w:rsid w:val="15606AD3"/>
    <w:rsid w:val="15614D91"/>
    <w:rsid w:val="15632059"/>
    <w:rsid w:val="156536C9"/>
    <w:rsid w:val="156827E6"/>
    <w:rsid w:val="156B5CE2"/>
    <w:rsid w:val="156D7B59"/>
    <w:rsid w:val="156E34B1"/>
    <w:rsid w:val="15702185"/>
    <w:rsid w:val="157137E5"/>
    <w:rsid w:val="157B0E39"/>
    <w:rsid w:val="158348AE"/>
    <w:rsid w:val="15844C27"/>
    <w:rsid w:val="158851C9"/>
    <w:rsid w:val="158D515A"/>
    <w:rsid w:val="158E530D"/>
    <w:rsid w:val="158F2018"/>
    <w:rsid w:val="15915064"/>
    <w:rsid w:val="15974C88"/>
    <w:rsid w:val="159C4C2A"/>
    <w:rsid w:val="15A04E9D"/>
    <w:rsid w:val="15A121A4"/>
    <w:rsid w:val="15A17DD1"/>
    <w:rsid w:val="15A563D8"/>
    <w:rsid w:val="15AB75A9"/>
    <w:rsid w:val="15AB7D16"/>
    <w:rsid w:val="15B13739"/>
    <w:rsid w:val="15B64EC9"/>
    <w:rsid w:val="15B77A3E"/>
    <w:rsid w:val="15BB2FBC"/>
    <w:rsid w:val="15C06CD4"/>
    <w:rsid w:val="15C11507"/>
    <w:rsid w:val="15C54A71"/>
    <w:rsid w:val="15C72E61"/>
    <w:rsid w:val="15C74FA4"/>
    <w:rsid w:val="15CA5E3E"/>
    <w:rsid w:val="15CB216D"/>
    <w:rsid w:val="15CF6B35"/>
    <w:rsid w:val="15D30CF6"/>
    <w:rsid w:val="15D320D8"/>
    <w:rsid w:val="15D54894"/>
    <w:rsid w:val="15DB64AE"/>
    <w:rsid w:val="15E4302A"/>
    <w:rsid w:val="15E87FB6"/>
    <w:rsid w:val="15EC468F"/>
    <w:rsid w:val="15ED39CE"/>
    <w:rsid w:val="15EE05F4"/>
    <w:rsid w:val="15F513E9"/>
    <w:rsid w:val="15F666B9"/>
    <w:rsid w:val="15FA2BC8"/>
    <w:rsid w:val="15FA6724"/>
    <w:rsid w:val="15FB0736"/>
    <w:rsid w:val="15FC1B0B"/>
    <w:rsid w:val="15FD7C8B"/>
    <w:rsid w:val="15FE518A"/>
    <w:rsid w:val="16007AB2"/>
    <w:rsid w:val="16033F98"/>
    <w:rsid w:val="160429DB"/>
    <w:rsid w:val="1606048A"/>
    <w:rsid w:val="160607E9"/>
    <w:rsid w:val="160B26E7"/>
    <w:rsid w:val="160B4F9E"/>
    <w:rsid w:val="161005A7"/>
    <w:rsid w:val="1610085A"/>
    <w:rsid w:val="16182A1A"/>
    <w:rsid w:val="1618447C"/>
    <w:rsid w:val="161A1FCB"/>
    <w:rsid w:val="162945C3"/>
    <w:rsid w:val="162C6E6D"/>
    <w:rsid w:val="162D4D4B"/>
    <w:rsid w:val="163721DD"/>
    <w:rsid w:val="16385FB7"/>
    <w:rsid w:val="16395BE2"/>
    <w:rsid w:val="1647748F"/>
    <w:rsid w:val="164A247A"/>
    <w:rsid w:val="164E0CB7"/>
    <w:rsid w:val="1650712A"/>
    <w:rsid w:val="16525262"/>
    <w:rsid w:val="16547A34"/>
    <w:rsid w:val="16551745"/>
    <w:rsid w:val="1655279F"/>
    <w:rsid w:val="16580577"/>
    <w:rsid w:val="165C5D8A"/>
    <w:rsid w:val="165F48A2"/>
    <w:rsid w:val="16615B16"/>
    <w:rsid w:val="16636672"/>
    <w:rsid w:val="166427AA"/>
    <w:rsid w:val="1665493F"/>
    <w:rsid w:val="166640A8"/>
    <w:rsid w:val="167233EA"/>
    <w:rsid w:val="16730284"/>
    <w:rsid w:val="16737123"/>
    <w:rsid w:val="16764FDB"/>
    <w:rsid w:val="167863D8"/>
    <w:rsid w:val="167A0280"/>
    <w:rsid w:val="167B65F8"/>
    <w:rsid w:val="167C538B"/>
    <w:rsid w:val="167D7BDC"/>
    <w:rsid w:val="167E4493"/>
    <w:rsid w:val="167F235C"/>
    <w:rsid w:val="16803EA8"/>
    <w:rsid w:val="1682058E"/>
    <w:rsid w:val="16864695"/>
    <w:rsid w:val="1687578F"/>
    <w:rsid w:val="168C4868"/>
    <w:rsid w:val="16923F70"/>
    <w:rsid w:val="16934516"/>
    <w:rsid w:val="169A4DFC"/>
    <w:rsid w:val="169B2D57"/>
    <w:rsid w:val="169C4AF9"/>
    <w:rsid w:val="169D2A64"/>
    <w:rsid w:val="16A14911"/>
    <w:rsid w:val="16A152FB"/>
    <w:rsid w:val="16A56898"/>
    <w:rsid w:val="16A57D0A"/>
    <w:rsid w:val="16A64A99"/>
    <w:rsid w:val="16A80CA5"/>
    <w:rsid w:val="16A81C01"/>
    <w:rsid w:val="16A96F34"/>
    <w:rsid w:val="16AC4320"/>
    <w:rsid w:val="16AD3CCD"/>
    <w:rsid w:val="16AF6D91"/>
    <w:rsid w:val="16B05CE2"/>
    <w:rsid w:val="16B1776D"/>
    <w:rsid w:val="16B20605"/>
    <w:rsid w:val="16B32D77"/>
    <w:rsid w:val="16B643AD"/>
    <w:rsid w:val="16B86D97"/>
    <w:rsid w:val="16B86EF8"/>
    <w:rsid w:val="16BA560E"/>
    <w:rsid w:val="16BE18D8"/>
    <w:rsid w:val="16BF33FE"/>
    <w:rsid w:val="16C02645"/>
    <w:rsid w:val="16C136E5"/>
    <w:rsid w:val="16C35CDF"/>
    <w:rsid w:val="16C50785"/>
    <w:rsid w:val="16C71C03"/>
    <w:rsid w:val="16C84BB2"/>
    <w:rsid w:val="16C95C25"/>
    <w:rsid w:val="16CB05E9"/>
    <w:rsid w:val="16D9032E"/>
    <w:rsid w:val="16DD7A84"/>
    <w:rsid w:val="16E2746F"/>
    <w:rsid w:val="16E70E04"/>
    <w:rsid w:val="16EA470F"/>
    <w:rsid w:val="16F237F3"/>
    <w:rsid w:val="16F33D30"/>
    <w:rsid w:val="16F67FC0"/>
    <w:rsid w:val="16FA281B"/>
    <w:rsid w:val="170826D5"/>
    <w:rsid w:val="17085DD1"/>
    <w:rsid w:val="170B6D6B"/>
    <w:rsid w:val="170D6AC5"/>
    <w:rsid w:val="17104D0C"/>
    <w:rsid w:val="17106EF1"/>
    <w:rsid w:val="17123F41"/>
    <w:rsid w:val="17142EBD"/>
    <w:rsid w:val="17165786"/>
    <w:rsid w:val="17165A7F"/>
    <w:rsid w:val="17173305"/>
    <w:rsid w:val="1722416E"/>
    <w:rsid w:val="17231CAA"/>
    <w:rsid w:val="172779EC"/>
    <w:rsid w:val="17283B10"/>
    <w:rsid w:val="172A403E"/>
    <w:rsid w:val="173167E0"/>
    <w:rsid w:val="1735378C"/>
    <w:rsid w:val="17371CB3"/>
    <w:rsid w:val="1738175A"/>
    <w:rsid w:val="173A4CE4"/>
    <w:rsid w:val="173A5A80"/>
    <w:rsid w:val="173A7087"/>
    <w:rsid w:val="173B1467"/>
    <w:rsid w:val="174041DE"/>
    <w:rsid w:val="17443A24"/>
    <w:rsid w:val="17457E73"/>
    <w:rsid w:val="17481711"/>
    <w:rsid w:val="17483CBD"/>
    <w:rsid w:val="174C2D59"/>
    <w:rsid w:val="174E5BD8"/>
    <w:rsid w:val="174E6C2F"/>
    <w:rsid w:val="17522A93"/>
    <w:rsid w:val="17524D6A"/>
    <w:rsid w:val="175B4DA5"/>
    <w:rsid w:val="17630906"/>
    <w:rsid w:val="17637621"/>
    <w:rsid w:val="176579DA"/>
    <w:rsid w:val="176839A2"/>
    <w:rsid w:val="176873E4"/>
    <w:rsid w:val="176904D9"/>
    <w:rsid w:val="176947AE"/>
    <w:rsid w:val="17694D0F"/>
    <w:rsid w:val="176A4CD7"/>
    <w:rsid w:val="176B0F6E"/>
    <w:rsid w:val="176C18ED"/>
    <w:rsid w:val="176E4C47"/>
    <w:rsid w:val="176F3849"/>
    <w:rsid w:val="1770461E"/>
    <w:rsid w:val="17742506"/>
    <w:rsid w:val="1775407D"/>
    <w:rsid w:val="17757526"/>
    <w:rsid w:val="177D3526"/>
    <w:rsid w:val="177F233C"/>
    <w:rsid w:val="17841E36"/>
    <w:rsid w:val="17864D2B"/>
    <w:rsid w:val="17874CE1"/>
    <w:rsid w:val="17880219"/>
    <w:rsid w:val="178822F3"/>
    <w:rsid w:val="178B19FB"/>
    <w:rsid w:val="178C2B08"/>
    <w:rsid w:val="17917160"/>
    <w:rsid w:val="17957CDF"/>
    <w:rsid w:val="17983837"/>
    <w:rsid w:val="17997D6B"/>
    <w:rsid w:val="17997E50"/>
    <w:rsid w:val="179E4F1B"/>
    <w:rsid w:val="17A15AFF"/>
    <w:rsid w:val="17A34D18"/>
    <w:rsid w:val="17A37232"/>
    <w:rsid w:val="17A53209"/>
    <w:rsid w:val="17A74689"/>
    <w:rsid w:val="17A75625"/>
    <w:rsid w:val="17AA039C"/>
    <w:rsid w:val="17BB0AA1"/>
    <w:rsid w:val="17BB4906"/>
    <w:rsid w:val="17BE3EA8"/>
    <w:rsid w:val="17CA68B4"/>
    <w:rsid w:val="17CC7C57"/>
    <w:rsid w:val="17CE0A9A"/>
    <w:rsid w:val="17D070EC"/>
    <w:rsid w:val="17D35AFC"/>
    <w:rsid w:val="17D83CD9"/>
    <w:rsid w:val="17DA1CE4"/>
    <w:rsid w:val="17E03493"/>
    <w:rsid w:val="17E37148"/>
    <w:rsid w:val="17EB6C6C"/>
    <w:rsid w:val="17EB775E"/>
    <w:rsid w:val="17EE5F66"/>
    <w:rsid w:val="17F02C4A"/>
    <w:rsid w:val="17F116BD"/>
    <w:rsid w:val="17F469DB"/>
    <w:rsid w:val="18001FEB"/>
    <w:rsid w:val="180230A3"/>
    <w:rsid w:val="180408D0"/>
    <w:rsid w:val="181141F9"/>
    <w:rsid w:val="181417C8"/>
    <w:rsid w:val="18194240"/>
    <w:rsid w:val="182146DE"/>
    <w:rsid w:val="18217056"/>
    <w:rsid w:val="18264A72"/>
    <w:rsid w:val="182A10E3"/>
    <w:rsid w:val="182B580B"/>
    <w:rsid w:val="182C11E7"/>
    <w:rsid w:val="182F3F7D"/>
    <w:rsid w:val="18302811"/>
    <w:rsid w:val="183069F4"/>
    <w:rsid w:val="1833081F"/>
    <w:rsid w:val="18337009"/>
    <w:rsid w:val="1837551E"/>
    <w:rsid w:val="18383E58"/>
    <w:rsid w:val="18384DE3"/>
    <w:rsid w:val="183A3029"/>
    <w:rsid w:val="183A3BE4"/>
    <w:rsid w:val="183B5F44"/>
    <w:rsid w:val="183B6AD9"/>
    <w:rsid w:val="18427C36"/>
    <w:rsid w:val="18492290"/>
    <w:rsid w:val="184D4124"/>
    <w:rsid w:val="18511767"/>
    <w:rsid w:val="1857281F"/>
    <w:rsid w:val="18593B8F"/>
    <w:rsid w:val="185A5BA0"/>
    <w:rsid w:val="185E7533"/>
    <w:rsid w:val="185F5ECE"/>
    <w:rsid w:val="18635C81"/>
    <w:rsid w:val="186478CE"/>
    <w:rsid w:val="186848F6"/>
    <w:rsid w:val="186C16E4"/>
    <w:rsid w:val="18726887"/>
    <w:rsid w:val="18754ADE"/>
    <w:rsid w:val="18772921"/>
    <w:rsid w:val="187847A8"/>
    <w:rsid w:val="187960C0"/>
    <w:rsid w:val="187A4CE8"/>
    <w:rsid w:val="187C7D4E"/>
    <w:rsid w:val="187E4344"/>
    <w:rsid w:val="187F4BA1"/>
    <w:rsid w:val="18817326"/>
    <w:rsid w:val="188D2E17"/>
    <w:rsid w:val="188D6F1D"/>
    <w:rsid w:val="1895697E"/>
    <w:rsid w:val="189748E1"/>
    <w:rsid w:val="189F4FE0"/>
    <w:rsid w:val="18A237C0"/>
    <w:rsid w:val="18A348C2"/>
    <w:rsid w:val="18A71E67"/>
    <w:rsid w:val="18AB52D7"/>
    <w:rsid w:val="18AC6558"/>
    <w:rsid w:val="18B10065"/>
    <w:rsid w:val="18B46EBE"/>
    <w:rsid w:val="18B65550"/>
    <w:rsid w:val="18BA4B90"/>
    <w:rsid w:val="18BC2CE5"/>
    <w:rsid w:val="18BD1E9B"/>
    <w:rsid w:val="18BE46E0"/>
    <w:rsid w:val="18C049E3"/>
    <w:rsid w:val="18C0652C"/>
    <w:rsid w:val="18C756B9"/>
    <w:rsid w:val="18C87E6F"/>
    <w:rsid w:val="18CA43C2"/>
    <w:rsid w:val="18CB2086"/>
    <w:rsid w:val="18CF2B3D"/>
    <w:rsid w:val="18CF6139"/>
    <w:rsid w:val="18D3441A"/>
    <w:rsid w:val="18D36858"/>
    <w:rsid w:val="18D60C1B"/>
    <w:rsid w:val="18D94EC2"/>
    <w:rsid w:val="18DC569E"/>
    <w:rsid w:val="18DD5EE2"/>
    <w:rsid w:val="18E069D9"/>
    <w:rsid w:val="18E16544"/>
    <w:rsid w:val="18E24F64"/>
    <w:rsid w:val="18E354DD"/>
    <w:rsid w:val="18E43ADA"/>
    <w:rsid w:val="18ED14C5"/>
    <w:rsid w:val="18ED431E"/>
    <w:rsid w:val="18F80E05"/>
    <w:rsid w:val="18F951C9"/>
    <w:rsid w:val="18FD09D0"/>
    <w:rsid w:val="18FD386D"/>
    <w:rsid w:val="18FD6CC5"/>
    <w:rsid w:val="18FE22FC"/>
    <w:rsid w:val="190325D9"/>
    <w:rsid w:val="19067AD5"/>
    <w:rsid w:val="190A05A2"/>
    <w:rsid w:val="190B5D3D"/>
    <w:rsid w:val="191139C7"/>
    <w:rsid w:val="191537DC"/>
    <w:rsid w:val="19196BCC"/>
    <w:rsid w:val="191A1C29"/>
    <w:rsid w:val="191B3377"/>
    <w:rsid w:val="191E0731"/>
    <w:rsid w:val="1922615D"/>
    <w:rsid w:val="19240B7D"/>
    <w:rsid w:val="192846BA"/>
    <w:rsid w:val="19316F38"/>
    <w:rsid w:val="19330297"/>
    <w:rsid w:val="193467AF"/>
    <w:rsid w:val="19360AF9"/>
    <w:rsid w:val="193848DC"/>
    <w:rsid w:val="193C52A5"/>
    <w:rsid w:val="193F06FA"/>
    <w:rsid w:val="19403FD8"/>
    <w:rsid w:val="19421576"/>
    <w:rsid w:val="19431377"/>
    <w:rsid w:val="19432B9F"/>
    <w:rsid w:val="19453B88"/>
    <w:rsid w:val="19482D21"/>
    <w:rsid w:val="19496B46"/>
    <w:rsid w:val="194A1770"/>
    <w:rsid w:val="194B579A"/>
    <w:rsid w:val="194D6949"/>
    <w:rsid w:val="19521937"/>
    <w:rsid w:val="195E4196"/>
    <w:rsid w:val="195F21EF"/>
    <w:rsid w:val="19663456"/>
    <w:rsid w:val="196748C5"/>
    <w:rsid w:val="196C5B8A"/>
    <w:rsid w:val="197375F1"/>
    <w:rsid w:val="19766B40"/>
    <w:rsid w:val="19896752"/>
    <w:rsid w:val="19930B4E"/>
    <w:rsid w:val="19953CD0"/>
    <w:rsid w:val="19966729"/>
    <w:rsid w:val="19980D9C"/>
    <w:rsid w:val="199E31AD"/>
    <w:rsid w:val="19A11BB7"/>
    <w:rsid w:val="19A31118"/>
    <w:rsid w:val="19A51C9C"/>
    <w:rsid w:val="19A973A6"/>
    <w:rsid w:val="19AA06B7"/>
    <w:rsid w:val="19AA5DE5"/>
    <w:rsid w:val="19AD44F2"/>
    <w:rsid w:val="19AE3682"/>
    <w:rsid w:val="19AF5B30"/>
    <w:rsid w:val="19B110CA"/>
    <w:rsid w:val="19B2438E"/>
    <w:rsid w:val="19B27315"/>
    <w:rsid w:val="19B52A36"/>
    <w:rsid w:val="19B6153B"/>
    <w:rsid w:val="19BC490A"/>
    <w:rsid w:val="19C07977"/>
    <w:rsid w:val="19C54163"/>
    <w:rsid w:val="19C55AD9"/>
    <w:rsid w:val="19C616E5"/>
    <w:rsid w:val="19C70992"/>
    <w:rsid w:val="19C71A50"/>
    <w:rsid w:val="19CC7D4E"/>
    <w:rsid w:val="19D05F2D"/>
    <w:rsid w:val="19D35A2A"/>
    <w:rsid w:val="19D54C19"/>
    <w:rsid w:val="19D938C4"/>
    <w:rsid w:val="19DF2EAE"/>
    <w:rsid w:val="19DF49C1"/>
    <w:rsid w:val="19E00EAB"/>
    <w:rsid w:val="19E16575"/>
    <w:rsid w:val="19E25E4D"/>
    <w:rsid w:val="19E328D1"/>
    <w:rsid w:val="19E50C12"/>
    <w:rsid w:val="19E90366"/>
    <w:rsid w:val="19E94EFB"/>
    <w:rsid w:val="19EC3B22"/>
    <w:rsid w:val="19EE4A1C"/>
    <w:rsid w:val="19F11841"/>
    <w:rsid w:val="19F35221"/>
    <w:rsid w:val="19F71CF9"/>
    <w:rsid w:val="19F80DE2"/>
    <w:rsid w:val="19FC3B9B"/>
    <w:rsid w:val="19FE0CD7"/>
    <w:rsid w:val="19FE37D8"/>
    <w:rsid w:val="1A02215D"/>
    <w:rsid w:val="1A0758B3"/>
    <w:rsid w:val="1A0B67D5"/>
    <w:rsid w:val="1A0C0C67"/>
    <w:rsid w:val="1A0E7AF1"/>
    <w:rsid w:val="1A1041FD"/>
    <w:rsid w:val="1A116732"/>
    <w:rsid w:val="1A1E2323"/>
    <w:rsid w:val="1A1E7A7A"/>
    <w:rsid w:val="1A1F1A32"/>
    <w:rsid w:val="1A23029C"/>
    <w:rsid w:val="1A236AC4"/>
    <w:rsid w:val="1A283435"/>
    <w:rsid w:val="1A2851C6"/>
    <w:rsid w:val="1A341E1D"/>
    <w:rsid w:val="1A37193D"/>
    <w:rsid w:val="1A373DBC"/>
    <w:rsid w:val="1A397DA2"/>
    <w:rsid w:val="1A3A472E"/>
    <w:rsid w:val="1A3B3964"/>
    <w:rsid w:val="1A3D3BEA"/>
    <w:rsid w:val="1A4008BB"/>
    <w:rsid w:val="1A416888"/>
    <w:rsid w:val="1A416B8A"/>
    <w:rsid w:val="1A42440D"/>
    <w:rsid w:val="1A424EAB"/>
    <w:rsid w:val="1A431DBE"/>
    <w:rsid w:val="1A457764"/>
    <w:rsid w:val="1A460513"/>
    <w:rsid w:val="1A4A44CA"/>
    <w:rsid w:val="1A4C26BD"/>
    <w:rsid w:val="1A5D588C"/>
    <w:rsid w:val="1A645151"/>
    <w:rsid w:val="1A671E2B"/>
    <w:rsid w:val="1A6D7735"/>
    <w:rsid w:val="1A6F1EAB"/>
    <w:rsid w:val="1A6F72B0"/>
    <w:rsid w:val="1A6F76CA"/>
    <w:rsid w:val="1A7428C4"/>
    <w:rsid w:val="1A7C3EFF"/>
    <w:rsid w:val="1A7C4BD2"/>
    <w:rsid w:val="1A8C41F2"/>
    <w:rsid w:val="1A8D1655"/>
    <w:rsid w:val="1A8E5CD8"/>
    <w:rsid w:val="1A912E72"/>
    <w:rsid w:val="1A9256CA"/>
    <w:rsid w:val="1A961C86"/>
    <w:rsid w:val="1A963240"/>
    <w:rsid w:val="1A965C6D"/>
    <w:rsid w:val="1A975450"/>
    <w:rsid w:val="1A9B3C5B"/>
    <w:rsid w:val="1AA05A8F"/>
    <w:rsid w:val="1AA23B67"/>
    <w:rsid w:val="1AA8041C"/>
    <w:rsid w:val="1AAE62DC"/>
    <w:rsid w:val="1AB004CB"/>
    <w:rsid w:val="1AB0351A"/>
    <w:rsid w:val="1AB22373"/>
    <w:rsid w:val="1AB47343"/>
    <w:rsid w:val="1AB53561"/>
    <w:rsid w:val="1AB64FEF"/>
    <w:rsid w:val="1AB76ACB"/>
    <w:rsid w:val="1AB77C9B"/>
    <w:rsid w:val="1AB80F7A"/>
    <w:rsid w:val="1AB92136"/>
    <w:rsid w:val="1ABA6BAE"/>
    <w:rsid w:val="1ABE5845"/>
    <w:rsid w:val="1AC021FA"/>
    <w:rsid w:val="1AC04A8C"/>
    <w:rsid w:val="1AC47300"/>
    <w:rsid w:val="1AC51F39"/>
    <w:rsid w:val="1AC5412D"/>
    <w:rsid w:val="1AC83360"/>
    <w:rsid w:val="1ACB7963"/>
    <w:rsid w:val="1ACC1D00"/>
    <w:rsid w:val="1AD0039B"/>
    <w:rsid w:val="1AD1644E"/>
    <w:rsid w:val="1AD35795"/>
    <w:rsid w:val="1AD8634C"/>
    <w:rsid w:val="1ADA39D1"/>
    <w:rsid w:val="1ADD7A4F"/>
    <w:rsid w:val="1AE36946"/>
    <w:rsid w:val="1AE63699"/>
    <w:rsid w:val="1AF264C6"/>
    <w:rsid w:val="1AF32FEF"/>
    <w:rsid w:val="1AF33A3D"/>
    <w:rsid w:val="1AF6731C"/>
    <w:rsid w:val="1AF74E33"/>
    <w:rsid w:val="1AF83E57"/>
    <w:rsid w:val="1B007E5D"/>
    <w:rsid w:val="1B0D6EF9"/>
    <w:rsid w:val="1B16330B"/>
    <w:rsid w:val="1B171E77"/>
    <w:rsid w:val="1B197B1D"/>
    <w:rsid w:val="1B1B2779"/>
    <w:rsid w:val="1B1E42E2"/>
    <w:rsid w:val="1B20508D"/>
    <w:rsid w:val="1B226412"/>
    <w:rsid w:val="1B231885"/>
    <w:rsid w:val="1B2D202A"/>
    <w:rsid w:val="1B310289"/>
    <w:rsid w:val="1B387A54"/>
    <w:rsid w:val="1B3A09A6"/>
    <w:rsid w:val="1B3E04A8"/>
    <w:rsid w:val="1B3F0A99"/>
    <w:rsid w:val="1B430B6D"/>
    <w:rsid w:val="1B4548E5"/>
    <w:rsid w:val="1B482B31"/>
    <w:rsid w:val="1B486EF6"/>
    <w:rsid w:val="1B4A1757"/>
    <w:rsid w:val="1B4F619A"/>
    <w:rsid w:val="1B581A4E"/>
    <w:rsid w:val="1B582736"/>
    <w:rsid w:val="1B5830AA"/>
    <w:rsid w:val="1B5B33A9"/>
    <w:rsid w:val="1B5B6B19"/>
    <w:rsid w:val="1B642067"/>
    <w:rsid w:val="1B656D35"/>
    <w:rsid w:val="1B6659B4"/>
    <w:rsid w:val="1B6B71C0"/>
    <w:rsid w:val="1B7152C3"/>
    <w:rsid w:val="1B72344D"/>
    <w:rsid w:val="1B7237AD"/>
    <w:rsid w:val="1B734139"/>
    <w:rsid w:val="1B79458F"/>
    <w:rsid w:val="1B7A59A3"/>
    <w:rsid w:val="1B7C7BDB"/>
    <w:rsid w:val="1B8651F6"/>
    <w:rsid w:val="1B8656C5"/>
    <w:rsid w:val="1B8B1F72"/>
    <w:rsid w:val="1B8C7932"/>
    <w:rsid w:val="1B8E3891"/>
    <w:rsid w:val="1B8F3DB2"/>
    <w:rsid w:val="1B904EA4"/>
    <w:rsid w:val="1B906597"/>
    <w:rsid w:val="1B9118D8"/>
    <w:rsid w:val="1B942299"/>
    <w:rsid w:val="1B970EB9"/>
    <w:rsid w:val="1B9A5965"/>
    <w:rsid w:val="1B9C0DA8"/>
    <w:rsid w:val="1B9D194E"/>
    <w:rsid w:val="1BA35C9A"/>
    <w:rsid w:val="1BA41E8C"/>
    <w:rsid w:val="1BA57E2E"/>
    <w:rsid w:val="1BA713F0"/>
    <w:rsid w:val="1BAD21E9"/>
    <w:rsid w:val="1BB00904"/>
    <w:rsid w:val="1BB148E7"/>
    <w:rsid w:val="1BB545E9"/>
    <w:rsid w:val="1BB62D01"/>
    <w:rsid w:val="1BB6513B"/>
    <w:rsid w:val="1BB7421C"/>
    <w:rsid w:val="1BBD0CE3"/>
    <w:rsid w:val="1BBE7B99"/>
    <w:rsid w:val="1BC6706E"/>
    <w:rsid w:val="1BCC3A3E"/>
    <w:rsid w:val="1BD018BD"/>
    <w:rsid w:val="1BD33CE8"/>
    <w:rsid w:val="1BD71E9D"/>
    <w:rsid w:val="1BD929B5"/>
    <w:rsid w:val="1BD9606A"/>
    <w:rsid w:val="1BE1276C"/>
    <w:rsid w:val="1BE254A6"/>
    <w:rsid w:val="1BE72B91"/>
    <w:rsid w:val="1BF06DF2"/>
    <w:rsid w:val="1BF71655"/>
    <w:rsid w:val="1BF912EF"/>
    <w:rsid w:val="1C0A5F93"/>
    <w:rsid w:val="1C0A79D8"/>
    <w:rsid w:val="1C0C073C"/>
    <w:rsid w:val="1C0E2F29"/>
    <w:rsid w:val="1C197EFF"/>
    <w:rsid w:val="1C1D3957"/>
    <w:rsid w:val="1C206473"/>
    <w:rsid w:val="1C237428"/>
    <w:rsid w:val="1C24719B"/>
    <w:rsid w:val="1C2A7C44"/>
    <w:rsid w:val="1C2D03C1"/>
    <w:rsid w:val="1C310290"/>
    <w:rsid w:val="1C354284"/>
    <w:rsid w:val="1C37016A"/>
    <w:rsid w:val="1C39038B"/>
    <w:rsid w:val="1C3B45FD"/>
    <w:rsid w:val="1C3B63C3"/>
    <w:rsid w:val="1C3D7ACA"/>
    <w:rsid w:val="1C3E6EA3"/>
    <w:rsid w:val="1C3F60F6"/>
    <w:rsid w:val="1C4D0947"/>
    <w:rsid w:val="1C5342E3"/>
    <w:rsid w:val="1C5351D8"/>
    <w:rsid w:val="1C540C2C"/>
    <w:rsid w:val="1C590BE7"/>
    <w:rsid w:val="1C591CAD"/>
    <w:rsid w:val="1C592801"/>
    <w:rsid w:val="1C6360EC"/>
    <w:rsid w:val="1C662D65"/>
    <w:rsid w:val="1C6634DC"/>
    <w:rsid w:val="1C682C50"/>
    <w:rsid w:val="1C690AEC"/>
    <w:rsid w:val="1C6A32B2"/>
    <w:rsid w:val="1C6B1738"/>
    <w:rsid w:val="1C6F63B0"/>
    <w:rsid w:val="1C7007B8"/>
    <w:rsid w:val="1C715266"/>
    <w:rsid w:val="1C720493"/>
    <w:rsid w:val="1C74179F"/>
    <w:rsid w:val="1C74233B"/>
    <w:rsid w:val="1C75411D"/>
    <w:rsid w:val="1C777802"/>
    <w:rsid w:val="1C821CB1"/>
    <w:rsid w:val="1C827D44"/>
    <w:rsid w:val="1C843A7F"/>
    <w:rsid w:val="1C8560C9"/>
    <w:rsid w:val="1C872928"/>
    <w:rsid w:val="1C8A726D"/>
    <w:rsid w:val="1C8F3505"/>
    <w:rsid w:val="1C952561"/>
    <w:rsid w:val="1C9A4DBB"/>
    <w:rsid w:val="1C9A5C4D"/>
    <w:rsid w:val="1C9A5E2B"/>
    <w:rsid w:val="1C9D504B"/>
    <w:rsid w:val="1CA56F57"/>
    <w:rsid w:val="1CA62BFB"/>
    <w:rsid w:val="1CAC2E5B"/>
    <w:rsid w:val="1CAD2A4A"/>
    <w:rsid w:val="1CAE09F0"/>
    <w:rsid w:val="1CB072F9"/>
    <w:rsid w:val="1CB55544"/>
    <w:rsid w:val="1CBC26C6"/>
    <w:rsid w:val="1CBE680F"/>
    <w:rsid w:val="1CC82C05"/>
    <w:rsid w:val="1CD04C8C"/>
    <w:rsid w:val="1CD15F88"/>
    <w:rsid w:val="1CD17CBA"/>
    <w:rsid w:val="1CD5383D"/>
    <w:rsid w:val="1CD83537"/>
    <w:rsid w:val="1CD859AF"/>
    <w:rsid w:val="1CDA5A92"/>
    <w:rsid w:val="1CDC1DAD"/>
    <w:rsid w:val="1CDC3A74"/>
    <w:rsid w:val="1CE13AFF"/>
    <w:rsid w:val="1CE8295A"/>
    <w:rsid w:val="1CE84720"/>
    <w:rsid w:val="1CEB3EAE"/>
    <w:rsid w:val="1CEE795C"/>
    <w:rsid w:val="1CEF00C5"/>
    <w:rsid w:val="1CF02E5C"/>
    <w:rsid w:val="1CF27CA6"/>
    <w:rsid w:val="1CF41107"/>
    <w:rsid w:val="1CF86A04"/>
    <w:rsid w:val="1D0602BC"/>
    <w:rsid w:val="1D066AE5"/>
    <w:rsid w:val="1D074546"/>
    <w:rsid w:val="1D0D1432"/>
    <w:rsid w:val="1D0F54FE"/>
    <w:rsid w:val="1D146F1A"/>
    <w:rsid w:val="1D16179C"/>
    <w:rsid w:val="1D197F3E"/>
    <w:rsid w:val="1D1E2839"/>
    <w:rsid w:val="1D2637BD"/>
    <w:rsid w:val="1D267836"/>
    <w:rsid w:val="1D2760D3"/>
    <w:rsid w:val="1D296BBB"/>
    <w:rsid w:val="1D2C0D1B"/>
    <w:rsid w:val="1D2C0DA8"/>
    <w:rsid w:val="1D301737"/>
    <w:rsid w:val="1D380D6F"/>
    <w:rsid w:val="1D38255B"/>
    <w:rsid w:val="1D391A45"/>
    <w:rsid w:val="1D3963DF"/>
    <w:rsid w:val="1D3A6C72"/>
    <w:rsid w:val="1D3A6C7B"/>
    <w:rsid w:val="1D3A7448"/>
    <w:rsid w:val="1D40536F"/>
    <w:rsid w:val="1D42290C"/>
    <w:rsid w:val="1D4470EE"/>
    <w:rsid w:val="1D472D89"/>
    <w:rsid w:val="1D493D5B"/>
    <w:rsid w:val="1D527A21"/>
    <w:rsid w:val="1D542A46"/>
    <w:rsid w:val="1D58111C"/>
    <w:rsid w:val="1D5A0A10"/>
    <w:rsid w:val="1D5A0A45"/>
    <w:rsid w:val="1D5A132F"/>
    <w:rsid w:val="1D5A49B5"/>
    <w:rsid w:val="1D5D40D8"/>
    <w:rsid w:val="1D651DBF"/>
    <w:rsid w:val="1D680969"/>
    <w:rsid w:val="1D6D38A1"/>
    <w:rsid w:val="1D6D5F88"/>
    <w:rsid w:val="1D7534CF"/>
    <w:rsid w:val="1D753919"/>
    <w:rsid w:val="1D7542C4"/>
    <w:rsid w:val="1D762976"/>
    <w:rsid w:val="1D87127D"/>
    <w:rsid w:val="1D920375"/>
    <w:rsid w:val="1D932A76"/>
    <w:rsid w:val="1D937362"/>
    <w:rsid w:val="1D991E0D"/>
    <w:rsid w:val="1D994A74"/>
    <w:rsid w:val="1D9B0AAF"/>
    <w:rsid w:val="1D9D57AA"/>
    <w:rsid w:val="1DA43419"/>
    <w:rsid w:val="1DA700EB"/>
    <w:rsid w:val="1DAD6E37"/>
    <w:rsid w:val="1DB0493D"/>
    <w:rsid w:val="1DB263FD"/>
    <w:rsid w:val="1DB569FC"/>
    <w:rsid w:val="1DB64B1B"/>
    <w:rsid w:val="1DB64C29"/>
    <w:rsid w:val="1DB7253E"/>
    <w:rsid w:val="1DC2163E"/>
    <w:rsid w:val="1DC769D1"/>
    <w:rsid w:val="1DC86B12"/>
    <w:rsid w:val="1DCE2807"/>
    <w:rsid w:val="1DCE70DC"/>
    <w:rsid w:val="1DD261D8"/>
    <w:rsid w:val="1DD56C01"/>
    <w:rsid w:val="1DD70685"/>
    <w:rsid w:val="1DDD5B79"/>
    <w:rsid w:val="1DDE7DFD"/>
    <w:rsid w:val="1DE21A78"/>
    <w:rsid w:val="1DEE5C7C"/>
    <w:rsid w:val="1DEF3294"/>
    <w:rsid w:val="1DF60CD6"/>
    <w:rsid w:val="1DF67B63"/>
    <w:rsid w:val="1DF961AE"/>
    <w:rsid w:val="1DFB13FC"/>
    <w:rsid w:val="1DFC619A"/>
    <w:rsid w:val="1E054F2C"/>
    <w:rsid w:val="1E0566B9"/>
    <w:rsid w:val="1E0A5FD5"/>
    <w:rsid w:val="1E0B43C3"/>
    <w:rsid w:val="1E0D4589"/>
    <w:rsid w:val="1E13517C"/>
    <w:rsid w:val="1E1660C5"/>
    <w:rsid w:val="1E176CFD"/>
    <w:rsid w:val="1E1E141D"/>
    <w:rsid w:val="1E2652E9"/>
    <w:rsid w:val="1E2666E9"/>
    <w:rsid w:val="1E2A4B7D"/>
    <w:rsid w:val="1E357891"/>
    <w:rsid w:val="1E3734D2"/>
    <w:rsid w:val="1E380C11"/>
    <w:rsid w:val="1E3C1B50"/>
    <w:rsid w:val="1E3D3D3E"/>
    <w:rsid w:val="1E3F7112"/>
    <w:rsid w:val="1E401E05"/>
    <w:rsid w:val="1E403260"/>
    <w:rsid w:val="1E434DDA"/>
    <w:rsid w:val="1E4522BB"/>
    <w:rsid w:val="1E4C383C"/>
    <w:rsid w:val="1E4F6C25"/>
    <w:rsid w:val="1E571BBE"/>
    <w:rsid w:val="1E753494"/>
    <w:rsid w:val="1E772FA9"/>
    <w:rsid w:val="1E7B5586"/>
    <w:rsid w:val="1E806E54"/>
    <w:rsid w:val="1E807DB1"/>
    <w:rsid w:val="1E843C08"/>
    <w:rsid w:val="1E862933"/>
    <w:rsid w:val="1E8B202A"/>
    <w:rsid w:val="1E8B639C"/>
    <w:rsid w:val="1E8C1FA0"/>
    <w:rsid w:val="1E8C29C9"/>
    <w:rsid w:val="1E8F4A49"/>
    <w:rsid w:val="1E927AF2"/>
    <w:rsid w:val="1E9E4A57"/>
    <w:rsid w:val="1EA568E4"/>
    <w:rsid w:val="1EA97C57"/>
    <w:rsid w:val="1EAB0AF7"/>
    <w:rsid w:val="1EB54F2A"/>
    <w:rsid w:val="1EB82EAF"/>
    <w:rsid w:val="1EC60067"/>
    <w:rsid w:val="1ECB526C"/>
    <w:rsid w:val="1ECB69FF"/>
    <w:rsid w:val="1ECC360C"/>
    <w:rsid w:val="1ECD0D1E"/>
    <w:rsid w:val="1ECD3F45"/>
    <w:rsid w:val="1ECE074D"/>
    <w:rsid w:val="1ECE29D8"/>
    <w:rsid w:val="1ECF5A8A"/>
    <w:rsid w:val="1ED11504"/>
    <w:rsid w:val="1ED13E03"/>
    <w:rsid w:val="1ED90359"/>
    <w:rsid w:val="1EDF60D3"/>
    <w:rsid w:val="1EE038ED"/>
    <w:rsid w:val="1EE045B8"/>
    <w:rsid w:val="1EE055DB"/>
    <w:rsid w:val="1EE44415"/>
    <w:rsid w:val="1EE66F93"/>
    <w:rsid w:val="1EE829B5"/>
    <w:rsid w:val="1EF17E11"/>
    <w:rsid w:val="1EF8627A"/>
    <w:rsid w:val="1EFB3DC7"/>
    <w:rsid w:val="1EFB6C90"/>
    <w:rsid w:val="1EFC5E8B"/>
    <w:rsid w:val="1EFD61D7"/>
    <w:rsid w:val="1F010B36"/>
    <w:rsid w:val="1F033F7B"/>
    <w:rsid w:val="1F035A0F"/>
    <w:rsid w:val="1F07114F"/>
    <w:rsid w:val="1F071307"/>
    <w:rsid w:val="1F07216C"/>
    <w:rsid w:val="1F0A13C2"/>
    <w:rsid w:val="1F0B19A2"/>
    <w:rsid w:val="1F0F1518"/>
    <w:rsid w:val="1F0F1B43"/>
    <w:rsid w:val="1F0F788F"/>
    <w:rsid w:val="1F13195B"/>
    <w:rsid w:val="1F13737C"/>
    <w:rsid w:val="1F144F37"/>
    <w:rsid w:val="1F151107"/>
    <w:rsid w:val="1F196925"/>
    <w:rsid w:val="1F1B1628"/>
    <w:rsid w:val="1F224AC7"/>
    <w:rsid w:val="1F2451D3"/>
    <w:rsid w:val="1F287754"/>
    <w:rsid w:val="1F2E225F"/>
    <w:rsid w:val="1F2E2E0C"/>
    <w:rsid w:val="1F2F279A"/>
    <w:rsid w:val="1F301408"/>
    <w:rsid w:val="1F37597D"/>
    <w:rsid w:val="1F3A4C94"/>
    <w:rsid w:val="1F3D6FAE"/>
    <w:rsid w:val="1F417171"/>
    <w:rsid w:val="1F436192"/>
    <w:rsid w:val="1F4436C3"/>
    <w:rsid w:val="1F477A2E"/>
    <w:rsid w:val="1F4E0B76"/>
    <w:rsid w:val="1F4E1723"/>
    <w:rsid w:val="1F535807"/>
    <w:rsid w:val="1F5A3188"/>
    <w:rsid w:val="1F606D32"/>
    <w:rsid w:val="1F640686"/>
    <w:rsid w:val="1F642509"/>
    <w:rsid w:val="1F6715FA"/>
    <w:rsid w:val="1F683084"/>
    <w:rsid w:val="1F68571E"/>
    <w:rsid w:val="1F6967B6"/>
    <w:rsid w:val="1F6D4D82"/>
    <w:rsid w:val="1F754A1C"/>
    <w:rsid w:val="1F78657A"/>
    <w:rsid w:val="1F7B2D0B"/>
    <w:rsid w:val="1F7D4A23"/>
    <w:rsid w:val="1F7E18E5"/>
    <w:rsid w:val="1F813A12"/>
    <w:rsid w:val="1F814DA5"/>
    <w:rsid w:val="1F8205E5"/>
    <w:rsid w:val="1F886377"/>
    <w:rsid w:val="1F8979E7"/>
    <w:rsid w:val="1F8B2AE2"/>
    <w:rsid w:val="1F8F25D3"/>
    <w:rsid w:val="1F8F5516"/>
    <w:rsid w:val="1F912A27"/>
    <w:rsid w:val="1F946131"/>
    <w:rsid w:val="1F964BB8"/>
    <w:rsid w:val="1F987C31"/>
    <w:rsid w:val="1F9F0C7E"/>
    <w:rsid w:val="1F9F5A95"/>
    <w:rsid w:val="1FAA11BB"/>
    <w:rsid w:val="1FAD09F5"/>
    <w:rsid w:val="1FAF0E46"/>
    <w:rsid w:val="1FB5697B"/>
    <w:rsid w:val="1FBD323C"/>
    <w:rsid w:val="1FC243CB"/>
    <w:rsid w:val="1FC4095B"/>
    <w:rsid w:val="1FC50476"/>
    <w:rsid w:val="1FC70F01"/>
    <w:rsid w:val="1FC7197B"/>
    <w:rsid w:val="1FCB64EF"/>
    <w:rsid w:val="1FCC1C67"/>
    <w:rsid w:val="1FCD5301"/>
    <w:rsid w:val="1FCD585E"/>
    <w:rsid w:val="1FCE6FE7"/>
    <w:rsid w:val="1FD0741B"/>
    <w:rsid w:val="1FD327A5"/>
    <w:rsid w:val="1FD4732C"/>
    <w:rsid w:val="1FD77517"/>
    <w:rsid w:val="1FD902A2"/>
    <w:rsid w:val="1FDD3FC0"/>
    <w:rsid w:val="1FE11E7F"/>
    <w:rsid w:val="1FE54DBA"/>
    <w:rsid w:val="1FF237E3"/>
    <w:rsid w:val="1FF24FF5"/>
    <w:rsid w:val="1FF57654"/>
    <w:rsid w:val="1FF838E6"/>
    <w:rsid w:val="1FFC0864"/>
    <w:rsid w:val="1FFC332D"/>
    <w:rsid w:val="1FFD3D8F"/>
    <w:rsid w:val="20000C19"/>
    <w:rsid w:val="20062169"/>
    <w:rsid w:val="2007449F"/>
    <w:rsid w:val="2009078B"/>
    <w:rsid w:val="200F1345"/>
    <w:rsid w:val="20105239"/>
    <w:rsid w:val="201523AC"/>
    <w:rsid w:val="201554C5"/>
    <w:rsid w:val="2016096C"/>
    <w:rsid w:val="201A15CF"/>
    <w:rsid w:val="201E179B"/>
    <w:rsid w:val="201E4504"/>
    <w:rsid w:val="201F0150"/>
    <w:rsid w:val="20250164"/>
    <w:rsid w:val="20252F63"/>
    <w:rsid w:val="202820DF"/>
    <w:rsid w:val="202905E5"/>
    <w:rsid w:val="202A35DF"/>
    <w:rsid w:val="202C5662"/>
    <w:rsid w:val="202F0E1B"/>
    <w:rsid w:val="202F6928"/>
    <w:rsid w:val="2030671C"/>
    <w:rsid w:val="20370395"/>
    <w:rsid w:val="20384DED"/>
    <w:rsid w:val="203C096B"/>
    <w:rsid w:val="2043157A"/>
    <w:rsid w:val="20470A80"/>
    <w:rsid w:val="20474C5B"/>
    <w:rsid w:val="204A15E9"/>
    <w:rsid w:val="204E12D6"/>
    <w:rsid w:val="20530840"/>
    <w:rsid w:val="206D42DB"/>
    <w:rsid w:val="207256EF"/>
    <w:rsid w:val="207318E2"/>
    <w:rsid w:val="207812B9"/>
    <w:rsid w:val="207E31D3"/>
    <w:rsid w:val="207E7BF6"/>
    <w:rsid w:val="20803A49"/>
    <w:rsid w:val="2087101E"/>
    <w:rsid w:val="208931C8"/>
    <w:rsid w:val="208C28F5"/>
    <w:rsid w:val="208D67E0"/>
    <w:rsid w:val="20901CBD"/>
    <w:rsid w:val="20916FA7"/>
    <w:rsid w:val="20942D37"/>
    <w:rsid w:val="209516A9"/>
    <w:rsid w:val="20995212"/>
    <w:rsid w:val="209F3521"/>
    <w:rsid w:val="20A43985"/>
    <w:rsid w:val="20A67FBB"/>
    <w:rsid w:val="20A75FA3"/>
    <w:rsid w:val="20AA13BB"/>
    <w:rsid w:val="20AA2367"/>
    <w:rsid w:val="20AC6928"/>
    <w:rsid w:val="20AF7F26"/>
    <w:rsid w:val="20B02B54"/>
    <w:rsid w:val="20B54A21"/>
    <w:rsid w:val="20BA78BC"/>
    <w:rsid w:val="20BB341C"/>
    <w:rsid w:val="20BC7541"/>
    <w:rsid w:val="20BD770F"/>
    <w:rsid w:val="20C77B4A"/>
    <w:rsid w:val="20CD1F25"/>
    <w:rsid w:val="20CF5C30"/>
    <w:rsid w:val="20D75262"/>
    <w:rsid w:val="20DF09B9"/>
    <w:rsid w:val="20DF4E94"/>
    <w:rsid w:val="20E350C5"/>
    <w:rsid w:val="20E41106"/>
    <w:rsid w:val="20E73D13"/>
    <w:rsid w:val="20E77099"/>
    <w:rsid w:val="20EE347E"/>
    <w:rsid w:val="20EE7CB7"/>
    <w:rsid w:val="20F120B9"/>
    <w:rsid w:val="20F478A7"/>
    <w:rsid w:val="20F50729"/>
    <w:rsid w:val="20F74FCB"/>
    <w:rsid w:val="20F763AA"/>
    <w:rsid w:val="20FE673B"/>
    <w:rsid w:val="20FE7B44"/>
    <w:rsid w:val="20FF5536"/>
    <w:rsid w:val="2102105D"/>
    <w:rsid w:val="21033455"/>
    <w:rsid w:val="21084D40"/>
    <w:rsid w:val="210877D3"/>
    <w:rsid w:val="210A304E"/>
    <w:rsid w:val="210B7BB2"/>
    <w:rsid w:val="210F6695"/>
    <w:rsid w:val="21134B3E"/>
    <w:rsid w:val="2117372B"/>
    <w:rsid w:val="211B39F2"/>
    <w:rsid w:val="212E5E1B"/>
    <w:rsid w:val="212E7E2A"/>
    <w:rsid w:val="2130665C"/>
    <w:rsid w:val="21347D12"/>
    <w:rsid w:val="213626D2"/>
    <w:rsid w:val="213A29B9"/>
    <w:rsid w:val="213B1FCB"/>
    <w:rsid w:val="213B7EF7"/>
    <w:rsid w:val="213C126E"/>
    <w:rsid w:val="213D5044"/>
    <w:rsid w:val="21412614"/>
    <w:rsid w:val="21426231"/>
    <w:rsid w:val="21443AA0"/>
    <w:rsid w:val="21471580"/>
    <w:rsid w:val="214766EF"/>
    <w:rsid w:val="214B2CA7"/>
    <w:rsid w:val="214C500F"/>
    <w:rsid w:val="21516BFC"/>
    <w:rsid w:val="21532DFA"/>
    <w:rsid w:val="21553391"/>
    <w:rsid w:val="21627873"/>
    <w:rsid w:val="216873AA"/>
    <w:rsid w:val="216A304D"/>
    <w:rsid w:val="216C59F5"/>
    <w:rsid w:val="216E7FC6"/>
    <w:rsid w:val="21706DA6"/>
    <w:rsid w:val="217130A2"/>
    <w:rsid w:val="217531F7"/>
    <w:rsid w:val="21756163"/>
    <w:rsid w:val="21757C10"/>
    <w:rsid w:val="217A2E0F"/>
    <w:rsid w:val="21813177"/>
    <w:rsid w:val="21881CF7"/>
    <w:rsid w:val="218856E5"/>
    <w:rsid w:val="218A038F"/>
    <w:rsid w:val="21953468"/>
    <w:rsid w:val="21985096"/>
    <w:rsid w:val="219A700D"/>
    <w:rsid w:val="219F02A2"/>
    <w:rsid w:val="21A07D9E"/>
    <w:rsid w:val="21A4288D"/>
    <w:rsid w:val="21A61509"/>
    <w:rsid w:val="21A63751"/>
    <w:rsid w:val="21AF1B77"/>
    <w:rsid w:val="21AF4F0A"/>
    <w:rsid w:val="21B025BF"/>
    <w:rsid w:val="21B15313"/>
    <w:rsid w:val="21B25E70"/>
    <w:rsid w:val="21B30349"/>
    <w:rsid w:val="21B47335"/>
    <w:rsid w:val="21B53AD8"/>
    <w:rsid w:val="21B77A7F"/>
    <w:rsid w:val="21BB032C"/>
    <w:rsid w:val="21BB7D09"/>
    <w:rsid w:val="21BC05FC"/>
    <w:rsid w:val="21C05909"/>
    <w:rsid w:val="21C72B1F"/>
    <w:rsid w:val="21CA11AF"/>
    <w:rsid w:val="21CB366A"/>
    <w:rsid w:val="21CD3671"/>
    <w:rsid w:val="21CF705E"/>
    <w:rsid w:val="21D02A2F"/>
    <w:rsid w:val="21D30985"/>
    <w:rsid w:val="21D84CDA"/>
    <w:rsid w:val="21D85D5A"/>
    <w:rsid w:val="21D8784C"/>
    <w:rsid w:val="21DD1375"/>
    <w:rsid w:val="21E05160"/>
    <w:rsid w:val="21E12E8E"/>
    <w:rsid w:val="21E41912"/>
    <w:rsid w:val="21EB0589"/>
    <w:rsid w:val="21EB5ABA"/>
    <w:rsid w:val="21EE282A"/>
    <w:rsid w:val="21F14F76"/>
    <w:rsid w:val="21F20809"/>
    <w:rsid w:val="21F27DD0"/>
    <w:rsid w:val="21F42C55"/>
    <w:rsid w:val="21F52495"/>
    <w:rsid w:val="21F53B9A"/>
    <w:rsid w:val="21F64204"/>
    <w:rsid w:val="21F841A0"/>
    <w:rsid w:val="21FE57EE"/>
    <w:rsid w:val="22026A33"/>
    <w:rsid w:val="22067D5A"/>
    <w:rsid w:val="220A4192"/>
    <w:rsid w:val="220D668F"/>
    <w:rsid w:val="22123EAD"/>
    <w:rsid w:val="22143F52"/>
    <w:rsid w:val="221A093F"/>
    <w:rsid w:val="221B014E"/>
    <w:rsid w:val="222227E6"/>
    <w:rsid w:val="222E13D8"/>
    <w:rsid w:val="222F0DEE"/>
    <w:rsid w:val="22307602"/>
    <w:rsid w:val="22327245"/>
    <w:rsid w:val="22335AF8"/>
    <w:rsid w:val="223E3F80"/>
    <w:rsid w:val="223E7594"/>
    <w:rsid w:val="223F5C39"/>
    <w:rsid w:val="224067E0"/>
    <w:rsid w:val="2243080A"/>
    <w:rsid w:val="22460B5D"/>
    <w:rsid w:val="22470D96"/>
    <w:rsid w:val="224D3F77"/>
    <w:rsid w:val="225500ED"/>
    <w:rsid w:val="22551C39"/>
    <w:rsid w:val="22600D31"/>
    <w:rsid w:val="226031FC"/>
    <w:rsid w:val="22622B6D"/>
    <w:rsid w:val="22665B8D"/>
    <w:rsid w:val="226C1A89"/>
    <w:rsid w:val="226E2973"/>
    <w:rsid w:val="226E60BE"/>
    <w:rsid w:val="22756051"/>
    <w:rsid w:val="227610C8"/>
    <w:rsid w:val="227710FC"/>
    <w:rsid w:val="227C4D45"/>
    <w:rsid w:val="227E44D1"/>
    <w:rsid w:val="227E5966"/>
    <w:rsid w:val="22882BA3"/>
    <w:rsid w:val="228943D3"/>
    <w:rsid w:val="228A4054"/>
    <w:rsid w:val="228A551B"/>
    <w:rsid w:val="22934188"/>
    <w:rsid w:val="229545D3"/>
    <w:rsid w:val="229944FE"/>
    <w:rsid w:val="229A294A"/>
    <w:rsid w:val="229E372E"/>
    <w:rsid w:val="229E5DEF"/>
    <w:rsid w:val="22A43BA3"/>
    <w:rsid w:val="22A46395"/>
    <w:rsid w:val="22AA3540"/>
    <w:rsid w:val="22AC0A98"/>
    <w:rsid w:val="22AD06DD"/>
    <w:rsid w:val="22AD17BE"/>
    <w:rsid w:val="22AD4512"/>
    <w:rsid w:val="22AE0FC2"/>
    <w:rsid w:val="22AF41C6"/>
    <w:rsid w:val="22B365D8"/>
    <w:rsid w:val="22B41AFC"/>
    <w:rsid w:val="22B54B62"/>
    <w:rsid w:val="22BB4ED3"/>
    <w:rsid w:val="22BC40AA"/>
    <w:rsid w:val="22C03878"/>
    <w:rsid w:val="22C05AFA"/>
    <w:rsid w:val="22C23CED"/>
    <w:rsid w:val="22C63C15"/>
    <w:rsid w:val="22C820B1"/>
    <w:rsid w:val="22C92894"/>
    <w:rsid w:val="22CB15A7"/>
    <w:rsid w:val="22CC0104"/>
    <w:rsid w:val="22CC558F"/>
    <w:rsid w:val="22CF7317"/>
    <w:rsid w:val="22D02085"/>
    <w:rsid w:val="22D32813"/>
    <w:rsid w:val="22D77F9C"/>
    <w:rsid w:val="22E17FA5"/>
    <w:rsid w:val="22E36988"/>
    <w:rsid w:val="22EA3F9C"/>
    <w:rsid w:val="22F50CA5"/>
    <w:rsid w:val="22F63873"/>
    <w:rsid w:val="22F71BEC"/>
    <w:rsid w:val="22F73156"/>
    <w:rsid w:val="22FB56D7"/>
    <w:rsid w:val="22FC0095"/>
    <w:rsid w:val="22FD3DC8"/>
    <w:rsid w:val="23005595"/>
    <w:rsid w:val="23012AC5"/>
    <w:rsid w:val="230167DF"/>
    <w:rsid w:val="2302128E"/>
    <w:rsid w:val="230915B6"/>
    <w:rsid w:val="230A1B49"/>
    <w:rsid w:val="230F516D"/>
    <w:rsid w:val="231026FF"/>
    <w:rsid w:val="23113C49"/>
    <w:rsid w:val="231328F2"/>
    <w:rsid w:val="23140D41"/>
    <w:rsid w:val="231466C8"/>
    <w:rsid w:val="2319133B"/>
    <w:rsid w:val="231A3FE0"/>
    <w:rsid w:val="231B798E"/>
    <w:rsid w:val="231F35D5"/>
    <w:rsid w:val="23226E69"/>
    <w:rsid w:val="23231B46"/>
    <w:rsid w:val="232B31B2"/>
    <w:rsid w:val="23313AE5"/>
    <w:rsid w:val="23335595"/>
    <w:rsid w:val="23353491"/>
    <w:rsid w:val="23365FEB"/>
    <w:rsid w:val="233677A9"/>
    <w:rsid w:val="233C56DE"/>
    <w:rsid w:val="233D6C79"/>
    <w:rsid w:val="23434327"/>
    <w:rsid w:val="23481E13"/>
    <w:rsid w:val="2348686B"/>
    <w:rsid w:val="23493147"/>
    <w:rsid w:val="23513A73"/>
    <w:rsid w:val="2351742B"/>
    <w:rsid w:val="235249D7"/>
    <w:rsid w:val="23524D9C"/>
    <w:rsid w:val="2358566E"/>
    <w:rsid w:val="23592C51"/>
    <w:rsid w:val="235F739A"/>
    <w:rsid w:val="23650097"/>
    <w:rsid w:val="236941AD"/>
    <w:rsid w:val="236A0E23"/>
    <w:rsid w:val="23726780"/>
    <w:rsid w:val="237578D1"/>
    <w:rsid w:val="237B5D01"/>
    <w:rsid w:val="237B7081"/>
    <w:rsid w:val="237C10C0"/>
    <w:rsid w:val="237D31FF"/>
    <w:rsid w:val="237E0BB5"/>
    <w:rsid w:val="23805BB8"/>
    <w:rsid w:val="238413E7"/>
    <w:rsid w:val="2385758E"/>
    <w:rsid w:val="23873ACC"/>
    <w:rsid w:val="23882495"/>
    <w:rsid w:val="23893CDF"/>
    <w:rsid w:val="23911D7A"/>
    <w:rsid w:val="23926DBB"/>
    <w:rsid w:val="23926FCC"/>
    <w:rsid w:val="23961797"/>
    <w:rsid w:val="23964EFD"/>
    <w:rsid w:val="239A01C8"/>
    <w:rsid w:val="23A02E59"/>
    <w:rsid w:val="23A57D45"/>
    <w:rsid w:val="23A81455"/>
    <w:rsid w:val="23AB3719"/>
    <w:rsid w:val="23AF04D5"/>
    <w:rsid w:val="23AF3677"/>
    <w:rsid w:val="23B4321D"/>
    <w:rsid w:val="23B46E05"/>
    <w:rsid w:val="23B611F2"/>
    <w:rsid w:val="23BE7284"/>
    <w:rsid w:val="23C43165"/>
    <w:rsid w:val="23C75FCA"/>
    <w:rsid w:val="23CC09DB"/>
    <w:rsid w:val="23CD5689"/>
    <w:rsid w:val="23D207D8"/>
    <w:rsid w:val="23D9053C"/>
    <w:rsid w:val="23DA32D1"/>
    <w:rsid w:val="23DE7685"/>
    <w:rsid w:val="23E177AD"/>
    <w:rsid w:val="23E22106"/>
    <w:rsid w:val="23E63806"/>
    <w:rsid w:val="23EF4669"/>
    <w:rsid w:val="23EF5E28"/>
    <w:rsid w:val="23F04DD7"/>
    <w:rsid w:val="23F419A0"/>
    <w:rsid w:val="23FA68D0"/>
    <w:rsid w:val="23FE03A4"/>
    <w:rsid w:val="24001870"/>
    <w:rsid w:val="24005FB9"/>
    <w:rsid w:val="24023914"/>
    <w:rsid w:val="240B2444"/>
    <w:rsid w:val="240F25C4"/>
    <w:rsid w:val="24105F9E"/>
    <w:rsid w:val="2417380F"/>
    <w:rsid w:val="241D169B"/>
    <w:rsid w:val="241F47B8"/>
    <w:rsid w:val="242321C8"/>
    <w:rsid w:val="24243635"/>
    <w:rsid w:val="24246511"/>
    <w:rsid w:val="242638B8"/>
    <w:rsid w:val="242A4EA9"/>
    <w:rsid w:val="242C0FC7"/>
    <w:rsid w:val="24306E05"/>
    <w:rsid w:val="24380354"/>
    <w:rsid w:val="24390D5F"/>
    <w:rsid w:val="24394C02"/>
    <w:rsid w:val="2442488B"/>
    <w:rsid w:val="24431BDE"/>
    <w:rsid w:val="2443573A"/>
    <w:rsid w:val="24472FF9"/>
    <w:rsid w:val="244A02B8"/>
    <w:rsid w:val="244B0C7B"/>
    <w:rsid w:val="24502150"/>
    <w:rsid w:val="24593233"/>
    <w:rsid w:val="24596C0B"/>
    <w:rsid w:val="245B490D"/>
    <w:rsid w:val="245F42E0"/>
    <w:rsid w:val="24604085"/>
    <w:rsid w:val="246154D4"/>
    <w:rsid w:val="24684F49"/>
    <w:rsid w:val="246B7480"/>
    <w:rsid w:val="247E4746"/>
    <w:rsid w:val="247E6B60"/>
    <w:rsid w:val="2482199D"/>
    <w:rsid w:val="248570B9"/>
    <w:rsid w:val="24861A1F"/>
    <w:rsid w:val="248A2C5A"/>
    <w:rsid w:val="248A4FB6"/>
    <w:rsid w:val="248B016A"/>
    <w:rsid w:val="248C0606"/>
    <w:rsid w:val="248C61EB"/>
    <w:rsid w:val="248D58BD"/>
    <w:rsid w:val="24914F57"/>
    <w:rsid w:val="24986E1E"/>
    <w:rsid w:val="249D38D8"/>
    <w:rsid w:val="249E6CBA"/>
    <w:rsid w:val="24A0493A"/>
    <w:rsid w:val="24A15319"/>
    <w:rsid w:val="24A9518C"/>
    <w:rsid w:val="24AA4F83"/>
    <w:rsid w:val="24AC70F2"/>
    <w:rsid w:val="24AE1641"/>
    <w:rsid w:val="24B36508"/>
    <w:rsid w:val="24B73D80"/>
    <w:rsid w:val="24B81847"/>
    <w:rsid w:val="24B92ADB"/>
    <w:rsid w:val="24B930CF"/>
    <w:rsid w:val="24C12066"/>
    <w:rsid w:val="24C12F9B"/>
    <w:rsid w:val="24C806B8"/>
    <w:rsid w:val="24C80DA0"/>
    <w:rsid w:val="24CD0A14"/>
    <w:rsid w:val="24D21A56"/>
    <w:rsid w:val="24D410EA"/>
    <w:rsid w:val="24D5033A"/>
    <w:rsid w:val="24D64A30"/>
    <w:rsid w:val="24D927A4"/>
    <w:rsid w:val="24D92A48"/>
    <w:rsid w:val="24DC2A29"/>
    <w:rsid w:val="24DD3917"/>
    <w:rsid w:val="24F70D7D"/>
    <w:rsid w:val="24FD0F63"/>
    <w:rsid w:val="24FD1D8D"/>
    <w:rsid w:val="25012B8B"/>
    <w:rsid w:val="25017657"/>
    <w:rsid w:val="25022DBE"/>
    <w:rsid w:val="250D7443"/>
    <w:rsid w:val="25126A63"/>
    <w:rsid w:val="251E31E7"/>
    <w:rsid w:val="25205A7B"/>
    <w:rsid w:val="25225830"/>
    <w:rsid w:val="252B5C97"/>
    <w:rsid w:val="252E3E69"/>
    <w:rsid w:val="253013DF"/>
    <w:rsid w:val="25341075"/>
    <w:rsid w:val="253462CE"/>
    <w:rsid w:val="253B5060"/>
    <w:rsid w:val="253C2E65"/>
    <w:rsid w:val="253E3035"/>
    <w:rsid w:val="253F3D50"/>
    <w:rsid w:val="25403D40"/>
    <w:rsid w:val="254B2BF0"/>
    <w:rsid w:val="2554432C"/>
    <w:rsid w:val="255A45DB"/>
    <w:rsid w:val="255A52FE"/>
    <w:rsid w:val="256221BE"/>
    <w:rsid w:val="25635BB1"/>
    <w:rsid w:val="256A2A7B"/>
    <w:rsid w:val="25702F75"/>
    <w:rsid w:val="257517BC"/>
    <w:rsid w:val="25757C97"/>
    <w:rsid w:val="25824F14"/>
    <w:rsid w:val="25833C20"/>
    <w:rsid w:val="25845BF8"/>
    <w:rsid w:val="258F56C8"/>
    <w:rsid w:val="25912EEA"/>
    <w:rsid w:val="2593256D"/>
    <w:rsid w:val="259456FD"/>
    <w:rsid w:val="25951A22"/>
    <w:rsid w:val="25952DF6"/>
    <w:rsid w:val="259650A4"/>
    <w:rsid w:val="25967317"/>
    <w:rsid w:val="2599339E"/>
    <w:rsid w:val="259B5627"/>
    <w:rsid w:val="259C2225"/>
    <w:rsid w:val="259D0FCA"/>
    <w:rsid w:val="25A71097"/>
    <w:rsid w:val="25A71C08"/>
    <w:rsid w:val="25A852B9"/>
    <w:rsid w:val="25AA560F"/>
    <w:rsid w:val="25B3635F"/>
    <w:rsid w:val="25B4544F"/>
    <w:rsid w:val="25BA10E9"/>
    <w:rsid w:val="25BD1D92"/>
    <w:rsid w:val="25C53FE2"/>
    <w:rsid w:val="25C603D0"/>
    <w:rsid w:val="25C64874"/>
    <w:rsid w:val="25C76997"/>
    <w:rsid w:val="25C84911"/>
    <w:rsid w:val="25CD5B1E"/>
    <w:rsid w:val="25D0153F"/>
    <w:rsid w:val="25D43657"/>
    <w:rsid w:val="25D97DE7"/>
    <w:rsid w:val="25E20AD4"/>
    <w:rsid w:val="25E27070"/>
    <w:rsid w:val="25EA6162"/>
    <w:rsid w:val="25ED59CF"/>
    <w:rsid w:val="25F77F06"/>
    <w:rsid w:val="25FB3094"/>
    <w:rsid w:val="25FF7F87"/>
    <w:rsid w:val="2601146D"/>
    <w:rsid w:val="26021002"/>
    <w:rsid w:val="26030FE7"/>
    <w:rsid w:val="26043611"/>
    <w:rsid w:val="260A7C2E"/>
    <w:rsid w:val="260B7437"/>
    <w:rsid w:val="260C07B1"/>
    <w:rsid w:val="260F1836"/>
    <w:rsid w:val="261949FF"/>
    <w:rsid w:val="26197596"/>
    <w:rsid w:val="261A168F"/>
    <w:rsid w:val="261C2556"/>
    <w:rsid w:val="261E7CEE"/>
    <w:rsid w:val="262052C4"/>
    <w:rsid w:val="26285FD6"/>
    <w:rsid w:val="262938C1"/>
    <w:rsid w:val="262A59E8"/>
    <w:rsid w:val="262D292D"/>
    <w:rsid w:val="262D470F"/>
    <w:rsid w:val="262E5F76"/>
    <w:rsid w:val="262F7828"/>
    <w:rsid w:val="26301CEE"/>
    <w:rsid w:val="26346547"/>
    <w:rsid w:val="26385C00"/>
    <w:rsid w:val="263A491A"/>
    <w:rsid w:val="263E0D15"/>
    <w:rsid w:val="263E6B6F"/>
    <w:rsid w:val="264A5A23"/>
    <w:rsid w:val="264D4804"/>
    <w:rsid w:val="2651032D"/>
    <w:rsid w:val="2651290E"/>
    <w:rsid w:val="2652435A"/>
    <w:rsid w:val="265355E2"/>
    <w:rsid w:val="26547932"/>
    <w:rsid w:val="26556AD9"/>
    <w:rsid w:val="265E7CC0"/>
    <w:rsid w:val="26602083"/>
    <w:rsid w:val="266121F1"/>
    <w:rsid w:val="26630BE2"/>
    <w:rsid w:val="266500FC"/>
    <w:rsid w:val="26654865"/>
    <w:rsid w:val="266B0F78"/>
    <w:rsid w:val="266C3096"/>
    <w:rsid w:val="266C32E9"/>
    <w:rsid w:val="266D2006"/>
    <w:rsid w:val="267645D8"/>
    <w:rsid w:val="267C2358"/>
    <w:rsid w:val="267C3B13"/>
    <w:rsid w:val="26812549"/>
    <w:rsid w:val="26825989"/>
    <w:rsid w:val="26835260"/>
    <w:rsid w:val="268973A4"/>
    <w:rsid w:val="26932056"/>
    <w:rsid w:val="26933375"/>
    <w:rsid w:val="26955FE4"/>
    <w:rsid w:val="26993D37"/>
    <w:rsid w:val="269B3742"/>
    <w:rsid w:val="269F193A"/>
    <w:rsid w:val="269F1E8F"/>
    <w:rsid w:val="26A64719"/>
    <w:rsid w:val="26A87FFA"/>
    <w:rsid w:val="26AB33A1"/>
    <w:rsid w:val="26AC1775"/>
    <w:rsid w:val="26AD2F9E"/>
    <w:rsid w:val="26AF7EA9"/>
    <w:rsid w:val="26B139F1"/>
    <w:rsid w:val="26B446CD"/>
    <w:rsid w:val="26BF2DF5"/>
    <w:rsid w:val="26BF4551"/>
    <w:rsid w:val="26C50AC6"/>
    <w:rsid w:val="26C64C5C"/>
    <w:rsid w:val="26CA2B97"/>
    <w:rsid w:val="26CD1B09"/>
    <w:rsid w:val="26CD5FAD"/>
    <w:rsid w:val="26D9538B"/>
    <w:rsid w:val="26DD0280"/>
    <w:rsid w:val="26DD5997"/>
    <w:rsid w:val="26DD697E"/>
    <w:rsid w:val="26DE3E4E"/>
    <w:rsid w:val="26E15313"/>
    <w:rsid w:val="26E35307"/>
    <w:rsid w:val="26E419D8"/>
    <w:rsid w:val="26E872E6"/>
    <w:rsid w:val="26EA762F"/>
    <w:rsid w:val="26F42FDE"/>
    <w:rsid w:val="26F44869"/>
    <w:rsid w:val="26F62B76"/>
    <w:rsid w:val="26F9101D"/>
    <w:rsid w:val="27046E8B"/>
    <w:rsid w:val="27082740"/>
    <w:rsid w:val="2709648F"/>
    <w:rsid w:val="270C297D"/>
    <w:rsid w:val="27144D85"/>
    <w:rsid w:val="27160074"/>
    <w:rsid w:val="27171298"/>
    <w:rsid w:val="272030CA"/>
    <w:rsid w:val="272A31F4"/>
    <w:rsid w:val="272A65EC"/>
    <w:rsid w:val="272D013C"/>
    <w:rsid w:val="272E776F"/>
    <w:rsid w:val="27335B77"/>
    <w:rsid w:val="27353762"/>
    <w:rsid w:val="273E038F"/>
    <w:rsid w:val="27412258"/>
    <w:rsid w:val="27483067"/>
    <w:rsid w:val="274B55F9"/>
    <w:rsid w:val="274D42F5"/>
    <w:rsid w:val="274D61E9"/>
    <w:rsid w:val="27565784"/>
    <w:rsid w:val="275E014F"/>
    <w:rsid w:val="276264B4"/>
    <w:rsid w:val="27640AC8"/>
    <w:rsid w:val="276424A1"/>
    <w:rsid w:val="27642A17"/>
    <w:rsid w:val="27676812"/>
    <w:rsid w:val="2774576A"/>
    <w:rsid w:val="277B51EB"/>
    <w:rsid w:val="278001ED"/>
    <w:rsid w:val="278114DC"/>
    <w:rsid w:val="2781535F"/>
    <w:rsid w:val="27826EE1"/>
    <w:rsid w:val="27843B90"/>
    <w:rsid w:val="278601DF"/>
    <w:rsid w:val="278650D6"/>
    <w:rsid w:val="278C73F8"/>
    <w:rsid w:val="278D72A0"/>
    <w:rsid w:val="279056D1"/>
    <w:rsid w:val="27982E9F"/>
    <w:rsid w:val="279831EA"/>
    <w:rsid w:val="27A67674"/>
    <w:rsid w:val="27A766B3"/>
    <w:rsid w:val="27B1684C"/>
    <w:rsid w:val="27B31190"/>
    <w:rsid w:val="27B51226"/>
    <w:rsid w:val="27B77121"/>
    <w:rsid w:val="27BC08F6"/>
    <w:rsid w:val="27BC499A"/>
    <w:rsid w:val="27BE5B29"/>
    <w:rsid w:val="27BE6A38"/>
    <w:rsid w:val="27C070AE"/>
    <w:rsid w:val="27C1086D"/>
    <w:rsid w:val="27C132DE"/>
    <w:rsid w:val="27C1394F"/>
    <w:rsid w:val="27C2049F"/>
    <w:rsid w:val="27C616D0"/>
    <w:rsid w:val="27D0729B"/>
    <w:rsid w:val="27D36ED9"/>
    <w:rsid w:val="27D42992"/>
    <w:rsid w:val="27D47ECA"/>
    <w:rsid w:val="27D7031D"/>
    <w:rsid w:val="27D802E4"/>
    <w:rsid w:val="27DF2479"/>
    <w:rsid w:val="27E341EE"/>
    <w:rsid w:val="27E51088"/>
    <w:rsid w:val="27E56EF9"/>
    <w:rsid w:val="27EB14A7"/>
    <w:rsid w:val="27ED4A39"/>
    <w:rsid w:val="27F12345"/>
    <w:rsid w:val="27F348EC"/>
    <w:rsid w:val="27F833B5"/>
    <w:rsid w:val="280007CC"/>
    <w:rsid w:val="280142C8"/>
    <w:rsid w:val="28031E75"/>
    <w:rsid w:val="28041AC5"/>
    <w:rsid w:val="280550FE"/>
    <w:rsid w:val="280C3FDD"/>
    <w:rsid w:val="280C4572"/>
    <w:rsid w:val="28100029"/>
    <w:rsid w:val="2810227F"/>
    <w:rsid w:val="28102DBE"/>
    <w:rsid w:val="28145105"/>
    <w:rsid w:val="281A3F55"/>
    <w:rsid w:val="281D1523"/>
    <w:rsid w:val="28240062"/>
    <w:rsid w:val="282856CE"/>
    <w:rsid w:val="282E1835"/>
    <w:rsid w:val="28305E8D"/>
    <w:rsid w:val="283B09D8"/>
    <w:rsid w:val="283F7815"/>
    <w:rsid w:val="28457583"/>
    <w:rsid w:val="284D4C33"/>
    <w:rsid w:val="28540800"/>
    <w:rsid w:val="285A4097"/>
    <w:rsid w:val="285B6117"/>
    <w:rsid w:val="285C0080"/>
    <w:rsid w:val="28612784"/>
    <w:rsid w:val="28616C92"/>
    <w:rsid w:val="28644E71"/>
    <w:rsid w:val="28650991"/>
    <w:rsid w:val="28676316"/>
    <w:rsid w:val="286839C1"/>
    <w:rsid w:val="286D3077"/>
    <w:rsid w:val="286F1915"/>
    <w:rsid w:val="286F7C21"/>
    <w:rsid w:val="28707C0C"/>
    <w:rsid w:val="28711037"/>
    <w:rsid w:val="28744278"/>
    <w:rsid w:val="28770BB1"/>
    <w:rsid w:val="28782336"/>
    <w:rsid w:val="287A02BC"/>
    <w:rsid w:val="287D6888"/>
    <w:rsid w:val="288265C9"/>
    <w:rsid w:val="288825F7"/>
    <w:rsid w:val="28885CFD"/>
    <w:rsid w:val="288900D8"/>
    <w:rsid w:val="288A5EC2"/>
    <w:rsid w:val="288B32B5"/>
    <w:rsid w:val="288B4B24"/>
    <w:rsid w:val="288B70AF"/>
    <w:rsid w:val="28940541"/>
    <w:rsid w:val="28956780"/>
    <w:rsid w:val="2899695C"/>
    <w:rsid w:val="289B6FF3"/>
    <w:rsid w:val="28A474D8"/>
    <w:rsid w:val="28AE0725"/>
    <w:rsid w:val="28B17104"/>
    <w:rsid w:val="28B51241"/>
    <w:rsid w:val="28B71FE1"/>
    <w:rsid w:val="28B84D7A"/>
    <w:rsid w:val="28B857A2"/>
    <w:rsid w:val="28B94932"/>
    <w:rsid w:val="28BA6F82"/>
    <w:rsid w:val="28BC505D"/>
    <w:rsid w:val="28C02A61"/>
    <w:rsid w:val="28C24599"/>
    <w:rsid w:val="28CB1FB5"/>
    <w:rsid w:val="28CD5E5E"/>
    <w:rsid w:val="28D05932"/>
    <w:rsid w:val="28D237CB"/>
    <w:rsid w:val="28D3105E"/>
    <w:rsid w:val="28D45FAB"/>
    <w:rsid w:val="28D90320"/>
    <w:rsid w:val="28DD4533"/>
    <w:rsid w:val="28DD4DFC"/>
    <w:rsid w:val="28E015B0"/>
    <w:rsid w:val="28E070DD"/>
    <w:rsid w:val="28E2609B"/>
    <w:rsid w:val="28E35393"/>
    <w:rsid w:val="28E55011"/>
    <w:rsid w:val="28EA459B"/>
    <w:rsid w:val="28EE5BBD"/>
    <w:rsid w:val="28F363A8"/>
    <w:rsid w:val="28F37ECF"/>
    <w:rsid w:val="28F434A6"/>
    <w:rsid w:val="28F8027A"/>
    <w:rsid w:val="29001952"/>
    <w:rsid w:val="29015843"/>
    <w:rsid w:val="29017C49"/>
    <w:rsid w:val="2905752E"/>
    <w:rsid w:val="290B680D"/>
    <w:rsid w:val="290C61B0"/>
    <w:rsid w:val="290C6FC1"/>
    <w:rsid w:val="29155D16"/>
    <w:rsid w:val="291B6895"/>
    <w:rsid w:val="291C4A94"/>
    <w:rsid w:val="291F26C4"/>
    <w:rsid w:val="29216933"/>
    <w:rsid w:val="292236EA"/>
    <w:rsid w:val="29273C15"/>
    <w:rsid w:val="29297D97"/>
    <w:rsid w:val="292A72F8"/>
    <w:rsid w:val="292C1972"/>
    <w:rsid w:val="292F13C7"/>
    <w:rsid w:val="29307F19"/>
    <w:rsid w:val="29372F37"/>
    <w:rsid w:val="29397381"/>
    <w:rsid w:val="293F1B09"/>
    <w:rsid w:val="2941108A"/>
    <w:rsid w:val="294D2BB7"/>
    <w:rsid w:val="294F48FB"/>
    <w:rsid w:val="29521E3F"/>
    <w:rsid w:val="295E098E"/>
    <w:rsid w:val="295E4DC4"/>
    <w:rsid w:val="295F2C9D"/>
    <w:rsid w:val="29653DF7"/>
    <w:rsid w:val="29663BCD"/>
    <w:rsid w:val="296B7B07"/>
    <w:rsid w:val="296E7F9E"/>
    <w:rsid w:val="296F6418"/>
    <w:rsid w:val="29712E03"/>
    <w:rsid w:val="29724CF8"/>
    <w:rsid w:val="2972613A"/>
    <w:rsid w:val="29746395"/>
    <w:rsid w:val="29770967"/>
    <w:rsid w:val="297A1EB6"/>
    <w:rsid w:val="297E0FC2"/>
    <w:rsid w:val="298156A4"/>
    <w:rsid w:val="298404FD"/>
    <w:rsid w:val="29882DCA"/>
    <w:rsid w:val="298851D5"/>
    <w:rsid w:val="298A3C00"/>
    <w:rsid w:val="298C36DF"/>
    <w:rsid w:val="298E79B8"/>
    <w:rsid w:val="299019D0"/>
    <w:rsid w:val="299429AB"/>
    <w:rsid w:val="29943716"/>
    <w:rsid w:val="299A1AD5"/>
    <w:rsid w:val="299A39E3"/>
    <w:rsid w:val="299B4A8A"/>
    <w:rsid w:val="299B7AAC"/>
    <w:rsid w:val="29A25F88"/>
    <w:rsid w:val="29A362EE"/>
    <w:rsid w:val="29A57B5B"/>
    <w:rsid w:val="29A708FD"/>
    <w:rsid w:val="29A749BD"/>
    <w:rsid w:val="29B101F6"/>
    <w:rsid w:val="29B12426"/>
    <w:rsid w:val="29B148D4"/>
    <w:rsid w:val="29B266F9"/>
    <w:rsid w:val="29BB3430"/>
    <w:rsid w:val="29C715CA"/>
    <w:rsid w:val="29CD7315"/>
    <w:rsid w:val="29D12F66"/>
    <w:rsid w:val="29D20E9B"/>
    <w:rsid w:val="29D44FF4"/>
    <w:rsid w:val="29D47EE9"/>
    <w:rsid w:val="29D504DD"/>
    <w:rsid w:val="29D67050"/>
    <w:rsid w:val="29D9710C"/>
    <w:rsid w:val="29DF1F51"/>
    <w:rsid w:val="29E5014B"/>
    <w:rsid w:val="29EA0BE5"/>
    <w:rsid w:val="29EB2AFB"/>
    <w:rsid w:val="29F5650D"/>
    <w:rsid w:val="29F6324E"/>
    <w:rsid w:val="29FA44A2"/>
    <w:rsid w:val="29FB7692"/>
    <w:rsid w:val="29FC4489"/>
    <w:rsid w:val="29FC6A0D"/>
    <w:rsid w:val="2A0128D9"/>
    <w:rsid w:val="2A02011B"/>
    <w:rsid w:val="2A0436AE"/>
    <w:rsid w:val="2A0F05A7"/>
    <w:rsid w:val="2A106222"/>
    <w:rsid w:val="2A177E26"/>
    <w:rsid w:val="2A195204"/>
    <w:rsid w:val="2A1B0721"/>
    <w:rsid w:val="2A20167B"/>
    <w:rsid w:val="2A202079"/>
    <w:rsid w:val="2A202B2C"/>
    <w:rsid w:val="2A275E6C"/>
    <w:rsid w:val="2A295A18"/>
    <w:rsid w:val="2A2E469C"/>
    <w:rsid w:val="2A2E65F8"/>
    <w:rsid w:val="2A3054DA"/>
    <w:rsid w:val="2A3F0C79"/>
    <w:rsid w:val="2A400D6D"/>
    <w:rsid w:val="2A451E70"/>
    <w:rsid w:val="2A473D03"/>
    <w:rsid w:val="2A4A08F2"/>
    <w:rsid w:val="2A505109"/>
    <w:rsid w:val="2A511C43"/>
    <w:rsid w:val="2A576181"/>
    <w:rsid w:val="2A5F5148"/>
    <w:rsid w:val="2A65504A"/>
    <w:rsid w:val="2A6C619D"/>
    <w:rsid w:val="2A6E0090"/>
    <w:rsid w:val="2A7339F7"/>
    <w:rsid w:val="2A762F30"/>
    <w:rsid w:val="2A781EB5"/>
    <w:rsid w:val="2A7D582B"/>
    <w:rsid w:val="2A81520E"/>
    <w:rsid w:val="2A82146F"/>
    <w:rsid w:val="2A830F6F"/>
    <w:rsid w:val="2A83735F"/>
    <w:rsid w:val="2A8B230A"/>
    <w:rsid w:val="2A8C1D8A"/>
    <w:rsid w:val="2A9153D9"/>
    <w:rsid w:val="2A946CEF"/>
    <w:rsid w:val="2A9A2780"/>
    <w:rsid w:val="2A9B694D"/>
    <w:rsid w:val="2A9C6CA5"/>
    <w:rsid w:val="2A9D6BAB"/>
    <w:rsid w:val="2AA23790"/>
    <w:rsid w:val="2AA269BA"/>
    <w:rsid w:val="2AA8279A"/>
    <w:rsid w:val="2AA97239"/>
    <w:rsid w:val="2AAB12EA"/>
    <w:rsid w:val="2AAB6BD1"/>
    <w:rsid w:val="2AAD1B5F"/>
    <w:rsid w:val="2AAD60D4"/>
    <w:rsid w:val="2AB25A1E"/>
    <w:rsid w:val="2AB3328E"/>
    <w:rsid w:val="2AB66229"/>
    <w:rsid w:val="2AB77204"/>
    <w:rsid w:val="2AB86071"/>
    <w:rsid w:val="2ABA755C"/>
    <w:rsid w:val="2AC70FC8"/>
    <w:rsid w:val="2AC76563"/>
    <w:rsid w:val="2AC80F64"/>
    <w:rsid w:val="2ACF7D27"/>
    <w:rsid w:val="2AD474FB"/>
    <w:rsid w:val="2AD508E9"/>
    <w:rsid w:val="2AD9215F"/>
    <w:rsid w:val="2AD942FF"/>
    <w:rsid w:val="2AD96FE2"/>
    <w:rsid w:val="2ADB7126"/>
    <w:rsid w:val="2ADC5E59"/>
    <w:rsid w:val="2AE37FF7"/>
    <w:rsid w:val="2AE83D0D"/>
    <w:rsid w:val="2AED4030"/>
    <w:rsid w:val="2AEE730E"/>
    <w:rsid w:val="2AF027B1"/>
    <w:rsid w:val="2AFB13DB"/>
    <w:rsid w:val="2AFD7A5C"/>
    <w:rsid w:val="2B000024"/>
    <w:rsid w:val="2B006920"/>
    <w:rsid w:val="2B043FBA"/>
    <w:rsid w:val="2B062E04"/>
    <w:rsid w:val="2B07047F"/>
    <w:rsid w:val="2B0D46C7"/>
    <w:rsid w:val="2B0D4B1D"/>
    <w:rsid w:val="2B1541D0"/>
    <w:rsid w:val="2B172C77"/>
    <w:rsid w:val="2B177920"/>
    <w:rsid w:val="2B1D4712"/>
    <w:rsid w:val="2B1D6724"/>
    <w:rsid w:val="2B214FC0"/>
    <w:rsid w:val="2B2B5DD3"/>
    <w:rsid w:val="2B2B649B"/>
    <w:rsid w:val="2B2C347D"/>
    <w:rsid w:val="2B31381E"/>
    <w:rsid w:val="2B3272BD"/>
    <w:rsid w:val="2B343D36"/>
    <w:rsid w:val="2B3F7CDA"/>
    <w:rsid w:val="2B4737A1"/>
    <w:rsid w:val="2B4B0E39"/>
    <w:rsid w:val="2B511B8A"/>
    <w:rsid w:val="2B555FF2"/>
    <w:rsid w:val="2B557285"/>
    <w:rsid w:val="2B5621F6"/>
    <w:rsid w:val="2B5A0A52"/>
    <w:rsid w:val="2B5E2703"/>
    <w:rsid w:val="2B62575E"/>
    <w:rsid w:val="2B694A44"/>
    <w:rsid w:val="2B760F98"/>
    <w:rsid w:val="2B7B4BBF"/>
    <w:rsid w:val="2B7D5DE4"/>
    <w:rsid w:val="2B7F66EB"/>
    <w:rsid w:val="2B800104"/>
    <w:rsid w:val="2B851049"/>
    <w:rsid w:val="2B871E98"/>
    <w:rsid w:val="2B8931AF"/>
    <w:rsid w:val="2B89758E"/>
    <w:rsid w:val="2B8C0DAB"/>
    <w:rsid w:val="2B952913"/>
    <w:rsid w:val="2B990335"/>
    <w:rsid w:val="2B9A4642"/>
    <w:rsid w:val="2B9C1F91"/>
    <w:rsid w:val="2B9C4521"/>
    <w:rsid w:val="2BA41D12"/>
    <w:rsid w:val="2BA94A1C"/>
    <w:rsid w:val="2BAA433E"/>
    <w:rsid w:val="2BB04048"/>
    <w:rsid w:val="2BB21C22"/>
    <w:rsid w:val="2BB25124"/>
    <w:rsid w:val="2BB533C1"/>
    <w:rsid w:val="2BB7178E"/>
    <w:rsid w:val="2BB75ADD"/>
    <w:rsid w:val="2BB80A5A"/>
    <w:rsid w:val="2BBC2A55"/>
    <w:rsid w:val="2BBE2247"/>
    <w:rsid w:val="2BBF0FC3"/>
    <w:rsid w:val="2BC25ADE"/>
    <w:rsid w:val="2BC51958"/>
    <w:rsid w:val="2BC913EC"/>
    <w:rsid w:val="2BCA39F7"/>
    <w:rsid w:val="2BCB5D20"/>
    <w:rsid w:val="2BCF28D9"/>
    <w:rsid w:val="2BCF3D57"/>
    <w:rsid w:val="2BD17ACF"/>
    <w:rsid w:val="2BD575BF"/>
    <w:rsid w:val="2BDA3F33"/>
    <w:rsid w:val="2BDF787B"/>
    <w:rsid w:val="2BE00F10"/>
    <w:rsid w:val="2BE334DF"/>
    <w:rsid w:val="2BE34A01"/>
    <w:rsid w:val="2BE70AD0"/>
    <w:rsid w:val="2BEA6DE0"/>
    <w:rsid w:val="2BEC6061"/>
    <w:rsid w:val="2BED35D4"/>
    <w:rsid w:val="2BED6E6C"/>
    <w:rsid w:val="2BEF6108"/>
    <w:rsid w:val="2BF218E8"/>
    <w:rsid w:val="2BF778B8"/>
    <w:rsid w:val="2BF82A75"/>
    <w:rsid w:val="2BF96BBF"/>
    <w:rsid w:val="2BFC5666"/>
    <w:rsid w:val="2BFF288E"/>
    <w:rsid w:val="2C0628D0"/>
    <w:rsid w:val="2C077995"/>
    <w:rsid w:val="2C0A4D8F"/>
    <w:rsid w:val="2C0A6699"/>
    <w:rsid w:val="2C1031FA"/>
    <w:rsid w:val="2C130915"/>
    <w:rsid w:val="2C1C3A69"/>
    <w:rsid w:val="2C1D0F66"/>
    <w:rsid w:val="2C1E6D93"/>
    <w:rsid w:val="2C216350"/>
    <w:rsid w:val="2C223BD2"/>
    <w:rsid w:val="2C265D81"/>
    <w:rsid w:val="2C275D2D"/>
    <w:rsid w:val="2C305E16"/>
    <w:rsid w:val="2C326F28"/>
    <w:rsid w:val="2C343BA8"/>
    <w:rsid w:val="2C3A63A4"/>
    <w:rsid w:val="2C3C3D82"/>
    <w:rsid w:val="2C3E37B3"/>
    <w:rsid w:val="2C3F50E9"/>
    <w:rsid w:val="2C40414B"/>
    <w:rsid w:val="2C4218AC"/>
    <w:rsid w:val="2C492597"/>
    <w:rsid w:val="2C4B0854"/>
    <w:rsid w:val="2C4C14AD"/>
    <w:rsid w:val="2C4D184B"/>
    <w:rsid w:val="2C526E5A"/>
    <w:rsid w:val="2C540816"/>
    <w:rsid w:val="2C54370F"/>
    <w:rsid w:val="2C5B4847"/>
    <w:rsid w:val="2C5C2A38"/>
    <w:rsid w:val="2C5D073F"/>
    <w:rsid w:val="2C5E15A6"/>
    <w:rsid w:val="2C6031A8"/>
    <w:rsid w:val="2C64490B"/>
    <w:rsid w:val="2C666157"/>
    <w:rsid w:val="2C686A8A"/>
    <w:rsid w:val="2C6A4178"/>
    <w:rsid w:val="2C6B0A9A"/>
    <w:rsid w:val="2C6F18D6"/>
    <w:rsid w:val="2C7146B3"/>
    <w:rsid w:val="2C716ABF"/>
    <w:rsid w:val="2C7B0BF1"/>
    <w:rsid w:val="2C805AC0"/>
    <w:rsid w:val="2C8608B9"/>
    <w:rsid w:val="2C870649"/>
    <w:rsid w:val="2C892158"/>
    <w:rsid w:val="2C8A1DAD"/>
    <w:rsid w:val="2C8C7E2C"/>
    <w:rsid w:val="2C8E1743"/>
    <w:rsid w:val="2C8F68CD"/>
    <w:rsid w:val="2C902E1A"/>
    <w:rsid w:val="2C990F38"/>
    <w:rsid w:val="2C9B4896"/>
    <w:rsid w:val="2C9B7944"/>
    <w:rsid w:val="2C9C7D38"/>
    <w:rsid w:val="2C9F751E"/>
    <w:rsid w:val="2CA1234E"/>
    <w:rsid w:val="2CA70A1F"/>
    <w:rsid w:val="2CA83CAD"/>
    <w:rsid w:val="2CAC1228"/>
    <w:rsid w:val="2CAF6A83"/>
    <w:rsid w:val="2CB417AB"/>
    <w:rsid w:val="2CB67EF5"/>
    <w:rsid w:val="2CB96351"/>
    <w:rsid w:val="2CBB4744"/>
    <w:rsid w:val="2CBC6325"/>
    <w:rsid w:val="2CBE461E"/>
    <w:rsid w:val="2CBE6ECE"/>
    <w:rsid w:val="2CC172B6"/>
    <w:rsid w:val="2CC73740"/>
    <w:rsid w:val="2CC83D26"/>
    <w:rsid w:val="2CCA4A6D"/>
    <w:rsid w:val="2CD33FD7"/>
    <w:rsid w:val="2CD917DB"/>
    <w:rsid w:val="2CE2387A"/>
    <w:rsid w:val="2CE41112"/>
    <w:rsid w:val="2CE5425F"/>
    <w:rsid w:val="2CE657FC"/>
    <w:rsid w:val="2CE66DA3"/>
    <w:rsid w:val="2CE92D25"/>
    <w:rsid w:val="2CEC5723"/>
    <w:rsid w:val="2CED4627"/>
    <w:rsid w:val="2CF622BB"/>
    <w:rsid w:val="2CF87E38"/>
    <w:rsid w:val="2CFB4197"/>
    <w:rsid w:val="2CFC7223"/>
    <w:rsid w:val="2D006265"/>
    <w:rsid w:val="2D021A65"/>
    <w:rsid w:val="2D037B33"/>
    <w:rsid w:val="2D103F55"/>
    <w:rsid w:val="2D113FD1"/>
    <w:rsid w:val="2D147AAE"/>
    <w:rsid w:val="2D1609DB"/>
    <w:rsid w:val="2D1854CF"/>
    <w:rsid w:val="2D1C238E"/>
    <w:rsid w:val="2D2155D2"/>
    <w:rsid w:val="2D243BA8"/>
    <w:rsid w:val="2D244C10"/>
    <w:rsid w:val="2D255637"/>
    <w:rsid w:val="2D263E4A"/>
    <w:rsid w:val="2D272749"/>
    <w:rsid w:val="2D2C70BB"/>
    <w:rsid w:val="2D3225EA"/>
    <w:rsid w:val="2D357427"/>
    <w:rsid w:val="2D3A7A3E"/>
    <w:rsid w:val="2D3C6488"/>
    <w:rsid w:val="2D431C8D"/>
    <w:rsid w:val="2D4420E8"/>
    <w:rsid w:val="2D450775"/>
    <w:rsid w:val="2D482013"/>
    <w:rsid w:val="2D4D12A7"/>
    <w:rsid w:val="2D4E2258"/>
    <w:rsid w:val="2D4E3F5D"/>
    <w:rsid w:val="2D512D0F"/>
    <w:rsid w:val="2D545A4C"/>
    <w:rsid w:val="2D576683"/>
    <w:rsid w:val="2D592166"/>
    <w:rsid w:val="2D594667"/>
    <w:rsid w:val="2D6744EF"/>
    <w:rsid w:val="2D6908CC"/>
    <w:rsid w:val="2D6F024A"/>
    <w:rsid w:val="2D7313AF"/>
    <w:rsid w:val="2D772505"/>
    <w:rsid w:val="2D772920"/>
    <w:rsid w:val="2D796670"/>
    <w:rsid w:val="2D7F16C4"/>
    <w:rsid w:val="2D7F28D5"/>
    <w:rsid w:val="2D8079FF"/>
    <w:rsid w:val="2D85554B"/>
    <w:rsid w:val="2D8F394E"/>
    <w:rsid w:val="2D936CF7"/>
    <w:rsid w:val="2D9741AF"/>
    <w:rsid w:val="2DA01E4F"/>
    <w:rsid w:val="2DA3057F"/>
    <w:rsid w:val="2DA425C4"/>
    <w:rsid w:val="2DA46A33"/>
    <w:rsid w:val="2DA51213"/>
    <w:rsid w:val="2DA76830"/>
    <w:rsid w:val="2DA832D7"/>
    <w:rsid w:val="2DB5115A"/>
    <w:rsid w:val="2DBD3FB1"/>
    <w:rsid w:val="2DC62260"/>
    <w:rsid w:val="2DC773DC"/>
    <w:rsid w:val="2DC97E3D"/>
    <w:rsid w:val="2DCB2FB0"/>
    <w:rsid w:val="2DCE0A59"/>
    <w:rsid w:val="2DDA599E"/>
    <w:rsid w:val="2DDC6425"/>
    <w:rsid w:val="2DDE3043"/>
    <w:rsid w:val="2DDE3096"/>
    <w:rsid w:val="2DE025FA"/>
    <w:rsid w:val="2DE71112"/>
    <w:rsid w:val="2DEC42F4"/>
    <w:rsid w:val="2DED4103"/>
    <w:rsid w:val="2DED465A"/>
    <w:rsid w:val="2DEE4CA5"/>
    <w:rsid w:val="2DEF7E77"/>
    <w:rsid w:val="2DF2003B"/>
    <w:rsid w:val="2DF85E0F"/>
    <w:rsid w:val="2DF956FF"/>
    <w:rsid w:val="2DFE1C9D"/>
    <w:rsid w:val="2E043B1E"/>
    <w:rsid w:val="2E060ADD"/>
    <w:rsid w:val="2E082434"/>
    <w:rsid w:val="2E0A16F4"/>
    <w:rsid w:val="2E0C151C"/>
    <w:rsid w:val="2E0C7407"/>
    <w:rsid w:val="2E0D20C4"/>
    <w:rsid w:val="2E0D334B"/>
    <w:rsid w:val="2E0E2DE1"/>
    <w:rsid w:val="2E0F5544"/>
    <w:rsid w:val="2E1104D0"/>
    <w:rsid w:val="2E1243FF"/>
    <w:rsid w:val="2E1262C5"/>
    <w:rsid w:val="2E126DC5"/>
    <w:rsid w:val="2E1E3D43"/>
    <w:rsid w:val="2E1F056B"/>
    <w:rsid w:val="2E2465DC"/>
    <w:rsid w:val="2E265591"/>
    <w:rsid w:val="2E2670E5"/>
    <w:rsid w:val="2E270313"/>
    <w:rsid w:val="2E295F87"/>
    <w:rsid w:val="2E2A30C8"/>
    <w:rsid w:val="2E2A6B67"/>
    <w:rsid w:val="2E327636"/>
    <w:rsid w:val="2E382E84"/>
    <w:rsid w:val="2E3A2E78"/>
    <w:rsid w:val="2E3E0F63"/>
    <w:rsid w:val="2E4006A7"/>
    <w:rsid w:val="2E4122E6"/>
    <w:rsid w:val="2E422F06"/>
    <w:rsid w:val="2E426A22"/>
    <w:rsid w:val="2E440A2C"/>
    <w:rsid w:val="2E445979"/>
    <w:rsid w:val="2E4E3659"/>
    <w:rsid w:val="2E4F1DB7"/>
    <w:rsid w:val="2E501470"/>
    <w:rsid w:val="2E53388C"/>
    <w:rsid w:val="2E557EA7"/>
    <w:rsid w:val="2E5C05DC"/>
    <w:rsid w:val="2E5D164E"/>
    <w:rsid w:val="2E5F2682"/>
    <w:rsid w:val="2E652924"/>
    <w:rsid w:val="2E653D72"/>
    <w:rsid w:val="2E6B6237"/>
    <w:rsid w:val="2E7B7E9F"/>
    <w:rsid w:val="2E816674"/>
    <w:rsid w:val="2E8250B1"/>
    <w:rsid w:val="2E85117B"/>
    <w:rsid w:val="2E901763"/>
    <w:rsid w:val="2E9209D6"/>
    <w:rsid w:val="2E934E6A"/>
    <w:rsid w:val="2E944433"/>
    <w:rsid w:val="2E9706BA"/>
    <w:rsid w:val="2E9771DD"/>
    <w:rsid w:val="2E9D1EEA"/>
    <w:rsid w:val="2E9E240E"/>
    <w:rsid w:val="2EA25668"/>
    <w:rsid w:val="2EA9156E"/>
    <w:rsid w:val="2EAB1AF0"/>
    <w:rsid w:val="2EAD2E6B"/>
    <w:rsid w:val="2EB01C1E"/>
    <w:rsid w:val="2EB52507"/>
    <w:rsid w:val="2EB776F0"/>
    <w:rsid w:val="2EBB7DF1"/>
    <w:rsid w:val="2EBC5B9F"/>
    <w:rsid w:val="2EC00368"/>
    <w:rsid w:val="2EC110AB"/>
    <w:rsid w:val="2EC32D61"/>
    <w:rsid w:val="2EC74599"/>
    <w:rsid w:val="2ECB3388"/>
    <w:rsid w:val="2ECB5242"/>
    <w:rsid w:val="2ECC1D10"/>
    <w:rsid w:val="2ECC321B"/>
    <w:rsid w:val="2ECE2254"/>
    <w:rsid w:val="2ECE27E1"/>
    <w:rsid w:val="2ED41379"/>
    <w:rsid w:val="2EDC434E"/>
    <w:rsid w:val="2EE14ACD"/>
    <w:rsid w:val="2EE42169"/>
    <w:rsid w:val="2EE6067F"/>
    <w:rsid w:val="2EF169CA"/>
    <w:rsid w:val="2EF907B3"/>
    <w:rsid w:val="2EFA280E"/>
    <w:rsid w:val="2EFC2E50"/>
    <w:rsid w:val="2F000A61"/>
    <w:rsid w:val="2F011C06"/>
    <w:rsid w:val="2F084BB6"/>
    <w:rsid w:val="2F094CB2"/>
    <w:rsid w:val="2F0A7BF8"/>
    <w:rsid w:val="2F165600"/>
    <w:rsid w:val="2F1847F8"/>
    <w:rsid w:val="2F1A1356"/>
    <w:rsid w:val="2F1C7B2E"/>
    <w:rsid w:val="2F1E127D"/>
    <w:rsid w:val="2F256D44"/>
    <w:rsid w:val="2F260132"/>
    <w:rsid w:val="2F2D0348"/>
    <w:rsid w:val="2F352847"/>
    <w:rsid w:val="2F35367E"/>
    <w:rsid w:val="2F393FE6"/>
    <w:rsid w:val="2F3B25DC"/>
    <w:rsid w:val="2F4147AB"/>
    <w:rsid w:val="2F4524C3"/>
    <w:rsid w:val="2F454A5C"/>
    <w:rsid w:val="2F456401"/>
    <w:rsid w:val="2F475AF7"/>
    <w:rsid w:val="2F4D22AE"/>
    <w:rsid w:val="2F4E24AA"/>
    <w:rsid w:val="2F4F71FB"/>
    <w:rsid w:val="2F511653"/>
    <w:rsid w:val="2F511EEC"/>
    <w:rsid w:val="2F514097"/>
    <w:rsid w:val="2F520F27"/>
    <w:rsid w:val="2F564B57"/>
    <w:rsid w:val="2F574A64"/>
    <w:rsid w:val="2F5D23D7"/>
    <w:rsid w:val="2F5D4D77"/>
    <w:rsid w:val="2F5F0BC0"/>
    <w:rsid w:val="2F6702A0"/>
    <w:rsid w:val="2F686108"/>
    <w:rsid w:val="2F6946FD"/>
    <w:rsid w:val="2F6A5903"/>
    <w:rsid w:val="2F6D3C19"/>
    <w:rsid w:val="2F6E2FA4"/>
    <w:rsid w:val="2F7031DF"/>
    <w:rsid w:val="2F713483"/>
    <w:rsid w:val="2F775AEE"/>
    <w:rsid w:val="2F785EF2"/>
    <w:rsid w:val="2F834737"/>
    <w:rsid w:val="2F872FAA"/>
    <w:rsid w:val="2F8A0A1C"/>
    <w:rsid w:val="2F8C5826"/>
    <w:rsid w:val="2F904785"/>
    <w:rsid w:val="2F932C60"/>
    <w:rsid w:val="2F9C03F4"/>
    <w:rsid w:val="2F9C6646"/>
    <w:rsid w:val="2FA278C9"/>
    <w:rsid w:val="2FA81888"/>
    <w:rsid w:val="2FAD779F"/>
    <w:rsid w:val="2FB5216D"/>
    <w:rsid w:val="2FB541A2"/>
    <w:rsid w:val="2FB663E9"/>
    <w:rsid w:val="2FB76FDC"/>
    <w:rsid w:val="2FB97845"/>
    <w:rsid w:val="2FBD07F9"/>
    <w:rsid w:val="2FBD18F4"/>
    <w:rsid w:val="2FC33BD3"/>
    <w:rsid w:val="2FC4049F"/>
    <w:rsid w:val="2FC457B0"/>
    <w:rsid w:val="2FC54A2C"/>
    <w:rsid w:val="2FC94726"/>
    <w:rsid w:val="2FC951E5"/>
    <w:rsid w:val="2FCB38D6"/>
    <w:rsid w:val="2FCC3082"/>
    <w:rsid w:val="2FD051AA"/>
    <w:rsid w:val="2FD12616"/>
    <w:rsid w:val="2FD37720"/>
    <w:rsid w:val="2FD63906"/>
    <w:rsid w:val="2FD63DA9"/>
    <w:rsid w:val="2FDE013D"/>
    <w:rsid w:val="2FDE6040"/>
    <w:rsid w:val="2FE1379C"/>
    <w:rsid w:val="2FE5770D"/>
    <w:rsid w:val="2FE75B13"/>
    <w:rsid w:val="2FEA5460"/>
    <w:rsid w:val="2FF10813"/>
    <w:rsid w:val="2FF2559B"/>
    <w:rsid w:val="2FF56E0E"/>
    <w:rsid w:val="2FF63FA8"/>
    <w:rsid w:val="2FF7387C"/>
    <w:rsid w:val="2FF95846"/>
    <w:rsid w:val="2FFD5FE2"/>
    <w:rsid w:val="30001A72"/>
    <w:rsid w:val="300264A9"/>
    <w:rsid w:val="30031B9B"/>
    <w:rsid w:val="30051E6F"/>
    <w:rsid w:val="300819DF"/>
    <w:rsid w:val="300A78C4"/>
    <w:rsid w:val="300B3791"/>
    <w:rsid w:val="300B4C95"/>
    <w:rsid w:val="300C7328"/>
    <w:rsid w:val="30151A08"/>
    <w:rsid w:val="30211269"/>
    <w:rsid w:val="302338A8"/>
    <w:rsid w:val="30286C8C"/>
    <w:rsid w:val="303266D0"/>
    <w:rsid w:val="3033406C"/>
    <w:rsid w:val="30374FCA"/>
    <w:rsid w:val="30375F86"/>
    <w:rsid w:val="303A4CE4"/>
    <w:rsid w:val="303B2311"/>
    <w:rsid w:val="303D6A74"/>
    <w:rsid w:val="30427C69"/>
    <w:rsid w:val="3043301C"/>
    <w:rsid w:val="304616BF"/>
    <w:rsid w:val="30477E56"/>
    <w:rsid w:val="304C1F6E"/>
    <w:rsid w:val="304D2D0D"/>
    <w:rsid w:val="304E011B"/>
    <w:rsid w:val="304E02DD"/>
    <w:rsid w:val="304E3A97"/>
    <w:rsid w:val="304F44CE"/>
    <w:rsid w:val="30595778"/>
    <w:rsid w:val="305A5337"/>
    <w:rsid w:val="305B7D34"/>
    <w:rsid w:val="305D1241"/>
    <w:rsid w:val="305D69EB"/>
    <w:rsid w:val="305F7490"/>
    <w:rsid w:val="30603312"/>
    <w:rsid w:val="306058C5"/>
    <w:rsid w:val="3062519A"/>
    <w:rsid w:val="306310E8"/>
    <w:rsid w:val="30644161"/>
    <w:rsid w:val="306453B6"/>
    <w:rsid w:val="30653662"/>
    <w:rsid w:val="306552F4"/>
    <w:rsid w:val="30683518"/>
    <w:rsid w:val="30857A76"/>
    <w:rsid w:val="308621E5"/>
    <w:rsid w:val="308A55DB"/>
    <w:rsid w:val="308B7D17"/>
    <w:rsid w:val="308E010B"/>
    <w:rsid w:val="308E41AD"/>
    <w:rsid w:val="30914C4E"/>
    <w:rsid w:val="30923790"/>
    <w:rsid w:val="30977944"/>
    <w:rsid w:val="30981BB5"/>
    <w:rsid w:val="309A0029"/>
    <w:rsid w:val="309B15B0"/>
    <w:rsid w:val="309C6EC8"/>
    <w:rsid w:val="309D3803"/>
    <w:rsid w:val="309F3490"/>
    <w:rsid w:val="30A12A25"/>
    <w:rsid w:val="30A164D4"/>
    <w:rsid w:val="30A17A84"/>
    <w:rsid w:val="30A556DE"/>
    <w:rsid w:val="30A872BD"/>
    <w:rsid w:val="30A973F9"/>
    <w:rsid w:val="30AA5D7B"/>
    <w:rsid w:val="30AE6631"/>
    <w:rsid w:val="30BA3C01"/>
    <w:rsid w:val="30BA3F36"/>
    <w:rsid w:val="30BB7448"/>
    <w:rsid w:val="30BE07BF"/>
    <w:rsid w:val="30BE16FF"/>
    <w:rsid w:val="30BF0CEE"/>
    <w:rsid w:val="30C06D85"/>
    <w:rsid w:val="30C442CB"/>
    <w:rsid w:val="30C631E7"/>
    <w:rsid w:val="30C87B29"/>
    <w:rsid w:val="30C90753"/>
    <w:rsid w:val="30C97AC7"/>
    <w:rsid w:val="30CB2D3F"/>
    <w:rsid w:val="30D541D4"/>
    <w:rsid w:val="30D82B02"/>
    <w:rsid w:val="30D8545C"/>
    <w:rsid w:val="30DA1859"/>
    <w:rsid w:val="30E16A06"/>
    <w:rsid w:val="30E82526"/>
    <w:rsid w:val="30EB038B"/>
    <w:rsid w:val="30F13B22"/>
    <w:rsid w:val="30F869C0"/>
    <w:rsid w:val="310078F0"/>
    <w:rsid w:val="3101736E"/>
    <w:rsid w:val="31030561"/>
    <w:rsid w:val="310B3A83"/>
    <w:rsid w:val="310C32EA"/>
    <w:rsid w:val="310D15A9"/>
    <w:rsid w:val="310D3153"/>
    <w:rsid w:val="311061F6"/>
    <w:rsid w:val="311653E9"/>
    <w:rsid w:val="31213FC0"/>
    <w:rsid w:val="3123261E"/>
    <w:rsid w:val="312558E0"/>
    <w:rsid w:val="312C4298"/>
    <w:rsid w:val="312E32CE"/>
    <w:rsid w:val="313464FE"/>
    <w:rsid w:val="313509AC"/>
    <w:rsid w:val="31351FFA"/>
    <w:rsid w:val="31393C5C"/>
    <w:rsid w:val="313A1786"/>
    <w:rsid w:val="313A3032"/>
    <w:rsid w:val="314118A3"/>
    <w:rsid w:val="31480833"/>
    <w:rsid w:val="314A3846"/>
    <w:rsid w:val="314F6BAB"/>
    <w:rsid w:val="31504B1C"/>
    <w:rsid w:val="315A6BF4"/>
    <w:rsid w:val="315C3C8F"/>
    <w:rsid w:val="315E0FF2"/>
    <w:rsid w:val="31601999"/>
    <w:rsid w:val="316058BE"/>
    <w:rsid w:val="31641185"/>
    <w:rsid w:val="316667BA"/>
    <w:rsid w:val="31692AA3"/>
    <w:rsid w:val="316A4C3D"/>
    <w:rsid w:val="316A6002"/>
    <w:rsid w:val="316E0034"/>
    <w:rsid w:val="317A58B0"/>
    <w:rsid w:val="31853836"/>
    <w:rsid w:val="31876E25"/>
    <w:rsid w:val="3188427D"/>
    <w:rsid w:val="31886C95"/>
    <w:rsid w:val="318A5D81"/>
    <w:rsid w:val="318B4258"/>
    <w:rsid w:val="318C7A6F"/>
    <w:rsid w:val="319321E9"/>
    <w:rsid w:val="31963E2A"/>
    <w:rsid w:val="319B1268"/>
    <w:rsid w:val="319C30FB"/>
    <w:rsid w:val="31A52EBC"/>
    <w:rsid w:val="31A565F0"/>
    <w:rsid w:val="31A72B6D"/>
    <w:rsid w:val="31A90A2F"/>
    <w:rsid w:val="31A96C84"/>
    <w:rsid w:val="31AB50E2"/>
    <w:rsid w:val="31AC04D7"/>
    <w:rsid w:val="31AE162A"/>
    <w:rsid w:val="31AF08B2"/>
    <w:rsid w:val="31AF59EF"/>
    <w:rsid w:val="31B3328B"/>
    <w:rsid w:val="31B46080"/>
    <w:rsid w:val="31B630B5"/>
    <w:rsid w:val="31B732C3"/>
    <w:rsid w:val="31BD7894"/>
    <w:rsid w:val="31C00FFD"/>
    <w:rsid w:val="31C504EF"/>
    <w:rsid w:val="31C57C95"/>
    <w:rsid w:val="31C80607"/>
    <w:rsid w:val="31CD38D2"/>
    <w:rsid w:val="31CE54B1"/>
    <w:rsid w:val="31D01945"/>
    <w:rsid w:val="31D167DA"/>
    <w:rsid w:val="31D2501C"/>
    <w:rsid w:val="31D828D6"/>
    <w:rsid w:val="31D953CC"/>
    <w:rsid w:val="31DA44E9"/>
    <w:rsid w:val="31DB5204"/>
    <w:rsid w:val="31E22C62"/>
    <w:rsid w:val="31E74F06"/>
    <w:rsid w:val="31E9063E"/>
    <w:rsid w:val="31EB28FC"/>
    <w:rsid w:val="31EF7A88"/>
    <w:rsid w:val="31F56B38"/>
    <w:rsid w:val="31F67EDC"/>
    <w:rsid w:val="31F830A6"/>
    <w:rsid w:val="31FA3990"/>
    <w:rsid w:val="31FD161E"/>
    <w:rsid w:val="32046BD0"/>
    <w:rsid w:val="320A43CA"/>
    <w:rsid w:val="320C5331"/>
    <w:rsid w:val="320D5E0B"/>
    <w:rsid w:val="32107CFA"/>
    <w:rsid w:val="321A33BF"/>
    <w:rsid w:val="32245AFF"/>
    <w:rsid w:val="32265152"/>
    <w:rsid w:val="3227669B"/>
    <w:rsid w:val="322A2966"/>
    <w:rsid w:val="322D1827"/>
    <w:rsid w:val="322F0AF8"/>
    <w:rsid w:val="32351180"/>
    <w:rsid w:val="3235454B"/>
    <w:rsid w:val="32365B68"/>
    <w:rsid w:val="323963CE"/>
    <w:rsid w:val="323C09E4"/>
    <w:rsid w:val="324343BC"/>
    <w:rsid w:val="32434CEC"/>
    <w:rsid w:val="32443CB8"/>
    <w:rsid w:val="3249370C"/>
    <w:rsid w:val="32494FA5"/>
    <w:rsid w:val="324C6DAE"/>
    <w:rsid w:val="324D2F9B"/>
    <w:rsid w:val="32503005"/>
    <w:rsid w:val="325113A0"/>
    <w:rsid w:val="325504A7"/>
    <w:rsid w:val="32554771"/>
    <w:rsid w:val="32580996"/>
    <w:rsid w:val="32597C54"/>
    <w:rsid w:val="325F407F"/>
    <w:rsid w:val="32606EB2"/>
    <w:rsid w:val="32637D18"/>
    <w:rsid w:val="32655454"/>
    <w:rsid w:val="326615DF"/>
    <w:rsid w:val="32690D48"/>
    <w:rsid w:val="32696033"/>
    <w:rsid w:val="327055CC"/>
    <w:rsid w:val="32706FB1"/>
    <w:rsid w:val="3278758B"/>
    <w:rsid w:val="327A5581"/>
    <w:rsid w:val="327C42D4"/>
    <w:rsid w:val="328821AF"/>
    <w:rsid w:val="329158B5"/>
    <w:rsid w:val="3293788C"/>
    <w:rsid w:val="32961E90"/>
    <w:rsid w:val="329B4F22"/>
    <w:rsid w:val="329D35E0"/>
    <w:rsid w:val="329D394F"/>
    <w:rsid w:val="329D4DED"/>
    <w:rsid w:val="32A068BA"/>
    <w:rsid w:val="32A20ED5"/>
    <w:rsid w:val="32A4534A"/>
    <w:rsid w:val="32A65F45"/>
    <w:rsid w:val="32A76F76"/>
    <w:rsid w:val="32A82611"/>
    <w:rsid w:val="32AA06E9"/>
    <w:rsid w:val="32AD1D1E"/>
    <w:rsid w:val="32AD4F83"/>
    <w:rsid w:val="32AE0660"/>
    <w:rsid w:val="32B3215B"/>
    <w:rsid w:val="32B3272D"/>
    <w:rsid w:val="32B9424C"/>
    <w:rsid w:val="32BD60BC"/>
    <w:rsid w:val="32BE1A7B"/>
    <w:rsid w:val="32BE3ED3"/>
    <w:rsid w:val="32C159B2"/>
    <w:rsid w:val="32C815F8"/>
    <w:rsid w:val="32CE37BC"/>
    <w:rsid w:val="32CF3EE9"/>
    <w:rsid w:val="32D05F4A"/>
    <w:rsid w:val="32D17D09"/>
    <w:rsid w:val="32D700C1"/>
    <w:rsid w:val="32DD5A71"/>
    <w:rsid w:val="32EB3761"/>
    <w:rsid w:val="32F02F31"/>
    <w:rsid w:val="32F0561E"/>
    <w:rsid w:val="32F81DE5"/>
    <w:rsid w:val="32F96BC4"/>
    <w:rsid w:val="32FB6C45"/>
    <w:rsid w:val="32FE389F"/>
    <w:rsid w:val="33044D6B"/>
    <w:rsid w:val="330754C3"/>
    <w:rsid w:val="330A2862"/>
    <w:rsid w:val="331100C0"/>
    <w:rsid w:val="33150B97"/>
    <w:rsid w:val="331838AD"/>
    <w:rsid w:val="331F1D0C"/>
    <w:rsid w:val="331F79B7"/>
    <w:rsid w:val="33265777"/>
    <w:rsid w:val="332B7DCB"/>
    <w:rsid w:val="3333106F"/>
    <w:rsid w:val="33340FD3"/>
    <w:rsid w:val="33370FAD"/>
    <w:rsid w:val="334105A8"/>
    <w:rsid w:val="334222BC"/>
    <w:rsid w:val="334C0A26"/>
    <w:rsid w:val="335055A7"/>
    <w:rsid w:val="33524E7E"/>
    <w:rsid w:val="335B0205"/>
    <w:rsid w:val="335E5BB4"/>
    <w:rsid w:val="33654D7B"/>
    <w:rsid w:val="33661565"/>
    <w:rsid w:val="336658BF"/>
    <w:rsid w:val="336848D9"/>
    <w:rsid w:val="33692FCA"/>
    <w:rsid w:val="3369791F"/>
    <w:rsid w:val="336D4E1A"/>
    <w:rsid w:val="336E4947"/>
    <w:rsid w:val="336E5322"/>
    <w:rsid w:val="33724FCB"/>
    <w:rsid w:val="337D37A8"/>
    <w:rsid w:val="33876E35"/>
    <w:rsid w:val="33895BD1"/>
    <w:rsid w:val="338D1BA1"/>
    <w:rsid w:val="338D7443"/>
    <w:rsid w:val="338E618E"/>
    <w:rsid w:val="338F236C"/>
    <w:rsid w:val="33923FE8"/>
    <w:rsid w:val="33927C18"/>
    <w:rsid w:val="33936F8B"/>
    <w:rsid w:val="339742C0"/>
    <w:rsid w:val="339A1E08"/>
    <w:rsid w:val="339D190C"/>
    <w:rsid w:val="339F208E"/>
    <w:rsid w:val="33A5429C"/>
    <w:rsid w:val="33A55B88"/>
    <w:rsid w:val="33A86C84"/>
    <w:rsid w:val="33AE4B43"/>
    <w:rsid w:val="33B21AB2"/>
    <w:rsid w:val="33B24A9D"/>
    <w:rsid w:val="33B3736C"/>
    <w:rsid w:val="33B66501"/>
    <w:rsid w:val="33BE1094"/>
    <w:rsid w:val="33BF0666"/>
    <w:rsid w:val="33C02224"/>
    <w:rsid w:val="33C126F1"/>
    <w:rsid w:val="33C50708"/>
    <w:rsid w:val="33C54E51"/>
    <w:rsid w:val="33CD7ECC"/>
    <w:rsid w:val="33D31208"/>
    <w:rsid w:val="33DA0D34"/>
    <w:rsid w:val="33DB5755"/>
    <w:rsid w:val="33DC1427"/>
    <w:rsid w:val="33DF26F1"/>
    <w:rsid w:val="33E141A4"/>
    <w:rsid w:val="33E155AC"/>
    <w:rsid w:val="33E25841"/>
    <w:rsid w:val="33EC0ECD"/>
    <w:rsid w:val="33EF333E"/>
    <w:rsid w:val="33F167D7"/>
    <w:rsid w:val="33F55EE7"/>
    <w:rsid w:val="33F627C9"/>
    <w:rsid w:val="33FC1C02"/>
    <w:rsid w:val="33FC265C"/>
    <w:rsid w:val="33FD1717"/>
    <w:rsid w:val="34076784"/>
    <w:rsid w:val="34077590"/>
    <w:rsid w:val="340852B4"/>
    <w:rsid w:val="340B5AC6"/>
    <w:rsid w:val="34116C6C"/>
    <w:rsid w:val="34167F2C"/>
    <w:rsid w:val="34187C37"/>
    <w:rsid w:val="341D24AD"/>
    <w:rsid w:val="342204C4"/>
    <w:rsid w:val="342E567A"/>
    <w:rsid w:val="34300055"/>
    <w:rsid w:val="34362BC5"/>
    <w:rsid w:val="343B1A52"/>
    <w:rsid w:val="343B313F"/>
    <w:rsid w:val="343B41E6"/>
    <w:rsid w:val="343B56FE"/>
    <w:rsid w:val="343F7E28"/>
    <w:rsid w:val="34402D36"/>
    <w:rsid w:val="344362F6"/>
    <w:rsid w:val="34444AD2"/>
    <w:rsid w:val="344471B8"/>
    <w:rsid w:val="344474B9"/>
    <w:rsid w:val="344B72D8"/>
    <w:rsid w:val="344F1BD4"/>
    <w:rsid w:val="344F2DA9"/>
    <w:rsid w:val="344F3433"/>
    <w:rsid w:val="34517318"/>
    <w:rsid w:val="34525525"/>
    <w:rsid w:val="34545F1B"/>
    <w:rsid w:val="3456256C"/>
    <w:rsid w:val="34570405"/>
    <w:rsid w:val="34596E49"/>
    <w:rsid w:val="345D45F6"/>
    <w:rsid w:val="345F58C6"/>
    <w:rsid w:val="34647FE6"/>
    <w:rsid w:val="346A250C"/>
    <w:rsid w:val="346E2747"/>
    <w:rsid w:val="34772830"/>
    <w:rsid w:val="347A51A8"/>
    <w:rsid w:val="347B74D6"/>
    <w:rsid w:val="347C306C"/>
    <w:rsid w:val="347C6171"/>
    <w:rsid w:val="348358DF"/>
    <w:rsid w:val="3486372B"/>
    <w:rsid w:val="34871B34"/>
    <w:rsid w:val="34884210"/>
    <w:rsid w:val="348942E6"/>
    <w:rsid w:val="348E2A01"/>
    <w:rsid w:val="3491234C"/>
    <w:rsid w:val="34934412"/>
    <w:rsid w:val="34971205"/>
    <w:rsid w:val="349C1779"/>
    <w:rsid w:val="349E0C0D"/>
    <w:rsid w:val="349E173E"/>
    <w:rsid w:val="34A1153D"/>
    <w:rsid w:val="34A42974"/>
    <w:rsid w:val="34A61A08"/>
    <w:rsid w:val="34AE1D4C"/>
    <w:rsid w:val="34AF7EA7"/>
    <w:rsid w:val="34B7238F"/>
    <w:rsid w:val="34BB42D8"/>
    <w:rsid w:val="34BD3E03"/>
    <w:rsid w:val="34BE1166"/>
    <w:rsid w:val="34BE3CBB"/>
    <w:rsid w:val="34BE5DA3"/>
    <w:rsid w:val="34BF287A"/>
    <w:rsid w:val="34C94751"/>
    <w:rsid w:val="34D460B5"/>
    <w:rsid w:val="34D53994"/>
    <w:rsid w:val="34D56380"/>
    <w:rsid w:val="34DB376C"/>
    <w:rsid w:val="34EC60DC"/>
    <w:rsid w:val="34ED3FC1"/>
    <w:rsid w:val="34F56374"/>
    <w:rsid w:val="34F565DC"/>
    <w:rsid w:val="34F628B3"/>
    <w:rsid w:val="34F71903"/>
    <w:rsid w:val="34F73D4E"/>
    <w:rsid w:val="34F97EBA"/>
    <w:rsid w:val="34FA0825"/>
    <w:rsid w:val="34FA62E8"/>
    <w:rsid w:val="34FA7B6A"/>
    <w:rsid w:val="34FC21C7"/>
    <w:rsid w:val="35011425"/>
    <w:rsid w:val="350174B0"/>
    <w:rsid w:val="35025A5C"/>
    <w:rsid w:val="3505370B"/>
    <w:rsid w:val="35077809"/>
    <w:rsid w:val="350B551E"/>
    <w:rsid w:val="350D09FD"/>
    <w:rsid w:val="350D2F21"/>
    <w:rsid w:val="350D6249"/>
    <w:rsid w:val="351A1F40"/>
    <w:rsid w:val="351D30C1"/>
    <w:rsid w:val="351F3BBB"/>
    <w:rsid w:val="35272E42"/>
    <w:rsid w:val="35295CEA"/>
    <w:rsid w:val="352C5446"/>
    <w:rsid w:val="35356A22"/>
    <w:rsid w:val="353A3E1E"/>
    <w:rsid w:val="353A7A92"/>
    <w:rsid w:val="353E4427"/>
    <w:rsid w:val="353F2A70"/>
    <w:rsid w:val="354B35B9"/>
    <w:rsid w:val="354E03E2"/>
    <w:rsid w:val="3559102A"/>
    <w:rsid w:val="355A36B3"/>
    <w:rsid w:val="355E0909"/>
    <w:rsid w:val="35666883"/>
    <w:rsid w:val="356C267C"/>
    <w:rsid w:val="356E7B57"/>
    <w:rsid w:val="357534A8"/>
    <w:rsid w:val="357765F0"/>
    <w:rsid w:val="357E3292"/>
    <w:rsid w:val="35835C12"/>
    <w:rsid w:val="35845191"/>
    <w:rsid w:val="35853371"/>
    <w:rsid w:val="35874B4E"/>
    <w:rsid w:val="358838F4"/>
    <w:rsid w:val="358B170D"/>
    <w:rsid w:val="358C0DEB"/>
    <w:rsid w:val="358C170C"/>
    <w:rsid w:val="358E6A31"/>
    <w:rsid w:val="35916201"/>
    <w:rsid w:val="35945B85"/>
    <w:rsid w:val="3597703F"/>
    <w:rsid w:val="359E04AA"/>
    <w:rsid w:val="35A0587A"/>
    <w:rsid w:val="35A17A59"/>
    <w:rsid w:val="35A62CDB"/>
    <w:rsid w:val="35A77096"/>
    <w:rsid w:val="35A96E95"/>
    <w:rsid w:val="35A973B7"/>
    <w:rsid w:val="35AB5F70"/>
    <w:rsid w:val="35AC6DBD"/>
    <w:rsid w:val="35BB11DC"/>
    <w:rsid w:val="35BC70FA"/>
    <w:rsid w:val="35D475DA"/>
    <w:rsid w:val="35DA1C76"/>
    <w:rsid w:val="35DD521C"/>
    <w:rsid w:val="35E27020"/>
    <w:rsid w:val="35E37F32"/>
    <w:rsid w:val="35E64FA1"/>
    <w:rsid w:val="35E80B3E"/>
    <w:rsid w:val="35E8435F"/>
    <w:rsid w:val="35EB26B9"/>
    <w:rsid w:val="35EC00FB"/>
    <w:rsid w:val="35F24731"/>
    <w:rsid w:val="35F45E54"/>
    <w:rsid w:val="35F536B2"/>
    <w:rsid w:val="35FB3280"/>
    <w:rsid w:val="35FB40C6"/>
    <w:rsid w:val="35FE49BA"/>
    <w:rsid w:val="35FE663F"/>
    <w:rsid w:val="36001E68"/>
    <w:rsid w:val="36076B08"/>
    <w:rsid w:val="360965FD"/>
    <w:rsid w:val="360A3C71"/>
    <w:rsid w:val="360C0D61"/>
    <w:rsid w:val="360F51AE"/>
    <w:rsid w:val="361144AD"/>
    <w:rsid w:val="361B1992"/>
    <w:rsid w:val="361D2CC3"/>
    <w:rsid w:val="361F7DB8"/>
    <w:rsid w:val="36212D73"/>
    <w:rsid w:val="362D624A"/>
    <w:rsid w:val="362F1FC2"/>
    <w:rsid w:val="362F6804"/>
    <w:rsid w:val="36330800"/>
    <w:rsid w:val="36384E17"/>
    <w:rsid w:val="36392CC7"/>
    <w:rsid w:val="36394220"/>
    <w:rsid w:val="363A1134"/>
    <w:rsid w:val="363C69D5"/>
    <w:rsid w:val="3640501F"/>
    <w:rsid w:val="36407562"/>
    <w:rsid w:val="36426D69"/>
    <w:rsid w:val="3645491F"/>
    <w:rsid w:val="36460865"/>
    <w:rsid w:val="364737D7"/>
    <w:rsid w:val="364874B8"/>
    <w:rsid w:val="364A31D9"/>
    <w:rsid w:val="364A7E82"/>
    <w:rsid w:val="364E2ADC"/>
    <w:rsid w:val="364E4EBC"/>
    <w:rsid w:val="364E586E"/>
    <w:rsid w:val="364F2CB3"/>
    <w:rsid w:val="364F426A"/>
    <w:rsid w:val="36512FE4"/>
    <w:rsid w:val="36582621"/>
    <w:rsid w:val="3664517F"/>
    <w:rsid w:val="366971C7"/>
    <w:rsid w:val="366A6B7E"/>
    <w:rsid w:val="366E6068"/>
    <w:rsid w:val="366F66F8"/>
    <w:rsid w:val="36731C54"/>
    <w:rsid w:val="367555C3"/>
    <w:rsid w:val="367B5C66"/>
    <w:rsid w:val="36884699"/>
    <w:rsid w:val="36920A14"/>
    <w:rsid w:val="36922553"/>
    <w:rsid w:val="369414DD"/>
    <w:rsid w:val="36956834"/>
    <w:rsid w:val="36957809"/>
    <w:rsid w:val="36980F7E"/>
    <w:rsid w:val="369B1A60"/>
    <w:rsid w:val="369B4B3E"/>
    <w:rsid w:val="369C416F"/>
    <w:rsid w:val="369F005B"/>
    <w:rsid w:val="36A027E8"/>
    <w:rsid w:val="36A16964"/>
    <w:rsid w:val="36A30093"/>
    <w:rsid w:val="36A37790"/>
    <w:rsid w:val="36A54E22"/>
    <w:rsid w:val="36AA5AB9"/>
    <w:rsid w:val="36AA6F0F"/>
    <w:rsid w:val="36AC2732"/>
    <w:rsid w:val="36B441F4"/>
    <w:rsid w:val="36B44762"/>
    <w:rsid w:val="36B479FA"/>
    <w:rsid w:val="36B74B2C"/>
    <w:rsid w:val="36BA0017"/>
    <w:rsid w:val="36BB19B3"/>
    <w:rsid w:val="36BD624B"/>
    <w:rsid w:val="36C55CAD"/>
    <w:rsid w:val="36C66A4E"/>
    <w:rsid w:val="36C8103E"/>
    <w:rsid w:val="36CA5AB8"/>
    <w:rsid w:val="36CD310C"/>
    <w:rsid w:val="36CF7915"/>
    <w:rsid w:val="36D7221C"/>
    <w:rsid w:val="36DA3715"/>
    <w:rsid w:val="36DB501A"/>
    <w:rsid w:val="36DB7BCD"/>
    <w:rsid w:val="36DC0881"/>
    <w:rsid w:val="36E120D6"/>
    <w:rsid w:val="36E649E5"/>
    <w:rsid w:val="36EC290D"/>
    <w:rsid w:val="36EC4D17"/>
    <w:rsid w:val="36EE0A1A"/>
    <w:rsid w:val="36F01751"/>
    <w:rsid w:val="36F0469B"/>
    <w:rsid w:val="36F22869"/>
    <w:rsid w:val="36F230BC"/>
    <w:rsid w:val="36F31265"/>
    <w:rsid w:val="36F367E1"/>
    <w:rsid w:val="36F86DA1"/>
    <w:rsid w:val="36FA0B4C"/>
    <w:rsid w:val="36FA1D81"/>
    <w:rsid w:val="36FB6A1B"/>
    <w:rsid w:val="36FB711E"/>
    <w:rsid w:val="36FC2713"/>
    <w:rsid w:val="36FE7766"/>
    <w:rsid w:val="37055771"/>
    <w:rsid w:val="3706481C"/>
    <w:rsid w:val="37081B9D"/>
    <w:rsid w:val="370D777A"/>
    <w:rsid w:val="370E6531"/>
    <w:rsid w:val="37110726"/>
    <w:rsid w:val="37126F1C"/>
    <w:rsid w:val="371865FE"/>
    <w:rsid w:val="371917F8"/>
    <w:rsid w:val="371B50A8"/>
    <w:rsid w:val="371B6328"/>
    <w:rsid w:val="371B7587"/>
    <w:rsid w:val="371F190D"/>
    <w:rsid w:val="37217B78"/>
    <w:rsid w:val="372238D5"/>
    <w:rsid w:val="3726331B"/>
    <w:rsid w:val="37266137"/>
    <w:rsid w:val="3729254E"/>
    <w:rsid w:val="372A7AFD"/>
    <w:rsid w:val="372B77A2"/>
    <w:rsid w:val="372D3B2A"/>
    <w:rsid w:val="3731686D"/>
    <w:rsid w:val="37334E7C"/>
    <w:rsid w:val="37377C8A"/>
    <w:rsid w:val="373D2CDC"/>
    <w:rsid w:val="373E6536"/>
    <w:rsid w:val="37403D43"/>
    <w:rsid w:val="37456F80"/>
    <w:rsid w:val="37461574"/>
    <w:rsid w:val="3749730B"/>
    <w:rsid w:val="374B2FB2"/>
    <w:rsid w:val="374E7540"/>
    <w:rsid w:val="375257FF"/>
    <w:rsid w:val="375448CA"/>
    <w:rsid w:val="37654561"/>
    <w:rsid w:val="37657083"/>
    <w:rsid w:val="37671737"/>
    <w:rsid w:val="376A257E"/>
    <w:rsid w:val="376B5305"/>
    <w:rsid w:val="377062A2"/>
    <w:rsid w:val="37743A10"/>
    <w:rsid w:val="37753A04"/>
    <w:rsid w:val="377F28CB"/>
    <w:rsid w:val="378018EB"/>
    <w:rsid w:val="378105AD"/>
    <w:rsid w:val="37817C29"/>
    <w:rsid w:val="378200E4"/>
    <w:rsid w:val="37832B82"/>
    <w:rsid w:val="378F4EE5"/>
    <w:rsid w:val="378F76FF"/>
    <w:rsid w:val="37906C3A"/>
    <w:rsid w:val="37913BA3"/>
    <w:rsid w:val="37933367"/>
    <w:rsid w:val="3795482D"/>
    <w:rsid w:val="37971B68"/>
    <w:rsid w:val="37976CC0"/>
    <w:rsid w:val="379D070E"/>
    <w:rsid w:val="379E11E0"/>
    <w:rsid w:val="379E1AEA"/>
    <w:rsid w:val="379E63CE"/>
    <w:rsid w:val="37A13C39"/>
    <w:rsid w:val="37A14947"/>
    <w:rsid w:val="37A666DD"/>
    <w:rsid w:val="37AA1445"/>
    <w:rsid w:val="37AC7031"/>
    <w:rsid w:val="37AE5168"/>
    <w:rsid w:val="37AF0811"/>
    <w:rsid w:val="37B02513"/>
    <w:rsid w:val="37B02C8E"/>
    <w:rsid w:val="37B46565"/>
    <w:rsid w:val="37C4498C"/>
    <w:rsid w:val="37CA6137"/>
    <w:rsid w:val="37D26D84"/>
    <w:rsid w:val="37D36EF9"/>
    <w:rsid w:val="37D554D2"/>
    <w:rsid w:val="37D62236"/>
    <w:rsid w:val="37DA41AF"/>
    <w:rsid w:val="37DE369E"/>
    <w:rsid w:val="37E30CA7"/>
    <w:rsid w:val="37E34BD0"/>
    <w:rsid w:val="37E45748"/>
    <w:rsid w:val="37E669B3"/>
    <w:rsid w:val="37E7627E"/>
    <w:rsid w:val="37E912CE"/>
    <w:rsid w:val="37F00179"/>
    <w:rsid w:val="37F05525"/>
    <w:rsid w:val="37F42E63"/>
    <w:rsid w:val="37F92BAF"/>
    <w:rsid w:val="37FA215C"/>
    <w:rsid w:val="38003924"/>
    <w:rsid w:val="380811F8"/>
    <w:rsid w:val="38104602"/>
    <w:rsid w:val="381347B4"/>
    <w:rsid w:val="38171B31"/>
    <w:rsid w:val="381940F1"/>
    <w:rsid w:val="381A6C19"/>
    <w:rsid w:val="381B1019"/>
    <w:rsid w:val="381E14DB"/>
    <w:rsid w:val="382257C6"/>
    <w:rsid w:val="38263203"/>
    <w:rsid w:val="382B3A06"/>
    <w:rsid w:val="382C4A0B"/>
    <w:rsid w:val="382D1791"/>
    <w:rsid w:val="382F6B9C"/>
    <w:rsid w:val="38304EAD"/>
    <w:rsid w:val="3830529B"/>
    <w:rsid w:val="38325F32"/>
    <w:rsid w:val="383604C1"/>
    <w:rsid w:val="38380B13"/>
    <w:rsid w:val="38384950"/>
    <w:rsid w:val="383B3591"/>
    <w:rsid w:val="383D3728"/>
    <w:rsid w:val="383D6282"/>
    <w:rsid w:val="38482EC7"/>
    <w:rsid w:val="38484124"/>
    <w:rsid w:val="38572002"/>
    <w:rsid w:val="38577409"/>
    <w:rsid w:val="38577C75"/>
    <w:rsid w:val="385B51EE"/>
    <w:rsid w:val="385C7B1B"/>
    <w:rsid w:val="385D7F83"/>
    <w:rsid w:val="38663BD5"/>
    <w:rsid w:val="386D724A"/>
    <w:rsid w:val="387070F6"/>
    <w:rsid w:val="38726196"/>
    <w:rsid w:val="387273B3"/>
    <w:rsid w:val="38740155"/>
    <w:rsid w:val="38822D17"/>
    <w:rsid w:val="388E6212"/>
    <w:rsid w:val="38976866"/>
    <w:rsid w:val="389D2998"/>
    <w:rsid w:val="389E2406"/>
    <w:rsid w:val="38A762B5"/>
    <w:rsid w:val="38A81BB8"/>
    <w:rsid w:val="38A8270B"/>
    <w:rsid w:val="38AF1D60"/>
    <w:rsid w:val="38B04C70"/>
    <w:rsid w:val="38B50463"/>
    <w:rsid w:val="38B5617F"/>
    <w:rsid w:val="38B95B73"/>
    <w:rsid w:val="38BB2A8F"/>
    <w:rsid w:val="38C3367B"/>
    <w:rsid w:val="38C6092C"/>
    <w:rsid w:val="38CF1BED"/>
    <w:rsid w:val="38D01BC5"/>
    <w:rsid w:val="38D439A5"/>
    <w:rsid w:val="38D57191"/>
    <w:rsid w:val="38D64BF0"/>
    <w:rsid w:val="38DA5B75"/>
    <w:rsid w:val="38DE1A7D"/>
    <w:rsid w:val="38E06D0B"/>
    <w:rsid w:val="38E208A8"/>
    <w:rsid w:val="38E3535D"/>
    <w:rsid w:val="38E547C3"/>
    <w:rsid w:val="38E83305"/>
    <w:rsid w:val="38E97D70"/>
    <w:rsid w:val="38EA62CA"/>
    <w:rsid w:val="38F66AAE"/>
    <w:rsid w:val="38F91E49"/>
    <w:rsid w:val="38F93AA7"/>
    <w:rsid w:val="39033872"/>
    <w:rsid w:val="39045C0C"/>
    <w:rsid w:val="39055987"/>
    <w:rsid w:val="391177B9"/>
    <w:rsid w:val="391334D5"/>
    <w:rsid w:val="39137317"/>
    <w:rsid w:val="391768AD"/>
    <w:rsid w:val="391928FA"/>
    <w:rsid w:val="391D1543"/>
    <w:rsid w:val="39214919"/>
    <w:rsid w:val="39225927"/>
    <w:rsid w:val="3929451C"/>
    <w:rsid w:val="392D3BA6"/>
    <w:rsid w:val="392F5C33"/>
    <w:rsid w:val="39343980"/>
    <w:rsid w:val="39426B96"/>
    <w:rsid w:val="39470D06"/>
    <w:rsid w:val="39476F6B"/>
    <w:rsid w:val="394C1614"/>
    <w:rsid w:val="394E231E"/>
    <w:rsid w:val="3952093F"/>
    <w:rsid w:val="39526266"/>
    <w:rsid w:val="39537110"/>
    <w:rsid w:val="39556E94"/>
    <w:rsid w:val="395747F4"/>
    <w:rsid w:val="395E136F"/>
    <w:rsid w:val="396258B8"/>
    <w:rsid w:val="39641027"/>
    <w:rsid w:val="3966340E"/>
    <w:rsid w:val="396802D0"/>
    <w:rsid w:val="39723BA6"/>
    <w:rsid w:val="39770BA7"/>
    <w:rsid w:val="397A6819"/>
    <w:rsid w:val="397C1B66"/>
    <w:rsid w:val="397D2F3A"/>
    <w:rsid w:val="39805A61"/>
    <w:rsid w:val="398D3CA3"/>
    <w:rsid w:val="398E34A3"/>
    <w:rsid w:val="398E45F6"/>
    <w:rsid w:val="398F1C21"/>
    <w:rsid w:val="399078E9"/>
    <w:rsid w:val="39974106"/>
    <w:rsid w:val="399A4287"/>
    <w:rsid w:val="399E3E1E"/>
    <w:rsid w:val="39A04B43"/>
    <w:rsid w:val="39A24859"/>
    <w:rsid w:val="39A61CC3"/>
    <w:rsid w:val="39A72761"/>
    <w:rsid w:val="39AA07F6"/>
    <w:rsid w:val="39AB53CF"/>
    <w:rsid w:val="39AF7F81"/>
    <w:rsid w:val="39B2019D"/>
    <w:rsid w:val="39B64E11"/>
    <w:rsid w:val="39B96BED"/>
    <w:rsid w:val="39BD5BE5"/>
    <w:rsid w:val="39C3743C"/>
    <w:rsid w:val="39C4240D"/>
    <w:rsid w:val="39C42748"/>
    <w:rsid w:val="39CD30DA"/>
    <w:rsid w:val="39D12B48"/>
    <w:rsid w:val="39D230F3"/>
    <w:rsid w:val="39D24088"/>
    <w:rsid w:val="39D377EF"/>
    <w:rsid w:val="39DB7186"/>
    <w:rsid w:val="39DE6B49"/>
    <w:rsid w:val="39DF16C5"/>
    <w:rsid w:val="39E6791F"/>
    <w:rsid w:val="39E77162"/>
    <w:rsid w:val="39EE1141"/>
    <w:rsid w:val="39EF0F9F"/>
    <w:rsid w:val="39F01A68"/>
    <w:rsid w:val="39F02A80"/>
    <w:rsid w:val="39F07CBA"/>
    <w:rsid w:val="39F15601"/>
    <w:rsid w:val="39F353A6"/>
    <w:rsid w:val="39F4076D"/>
    <w:rsid w:val="39F50E2C"/>
    <w:rsid w:val="39FB4D10"/>
    <w:rsid w:val="39FE1364"/>
    <w:rsid w:val="39FE51E3"/>
    <w:rsid w:val="3A002EF0"/>
    <w:rsid w:val="3A0042EF"/>
    <w:rsid w:val="3A0111D8"/>
    <w:rsid w:val="3A0722F4"/>
    <w:rsid w:val="3A081D7F"/>
    <w:rsid w:val="3A0A0D7C"/>
    <w:rsid w:val="3A0D1F61"/>
    <w:rsid w:val="3A0E7F00"/>
    <w:rsid w:val="3A0F6486"/>
    <w:rsid w:val="3A1129CF"/>
    <w:rsid w:val="3A157721"/>
    <w:rsid w:val="3A1972D4"/>
    <w:rsid w:val="3A1E09BF"/>
    <w:rsid w:val="3A1E7DE4"/>
    <w:rsid w:val="3A233B34"/>
    <w:rsid w:val="3A236610"/>
    <w:rsid w:val="3A252232"/>
    <w:rsid w:val="3A2532CA"/>
    <w:rsid w:val="3A2B2066"/>
    <w:rsid w:val="3A2F0407"/>
    <w:rsid w:val="3A335259"/>
    <w:rsid w:val="3A366920"/>
    <w:rsid w:val="3A37370B"/>
    <w:rsid w:val="3A3C2EFF"/>
    <w:rsid w:val="3A3F3316"/>
    <w:rsid w:val="3A491698"/>
    <w:rsid w:val="3A4A3E29"/>
    <w:rsid w:val="3A574183"/>
    <w:rsid w:val="3A584A15"/>
    <w:rsid w:val="3A5B5577"/>
    <w:rsid w:val="3A607B74"/>
    <w:rsid w:val="3A657163"/>
    <w:rsid w:val="3A6D130B"/>
    <w:rsid w:val="3A7050FC"/>
    <w:rsid w:val="3A75632A"/>
    <w:rsid w:val="3A7F5F93"/>
    <w:rsid w:val="3A8C3145"/>
    <w:rsid w:val="3A8C6FC6"/>
    <w:rsid w:val="3A8F28EF"/>
    <w:rsid w:val="3A91186F"/>
    <w:rsid w:val="3A953751"/>
    <w:rsid w:val="3A9E0358"/>
    <w:rsid w:val="3A9E048B"/>
    <w:rsid w:val="3AA27206"/>
    <w:rsid w:val="3AA53191"/>
    <w:rsid w:val="3AA9751D"/>
    <w:rsid w:val="3AAA48E1"/>
    <w:rsid w:val="3AAB4C20"/>
    <w:rsid w:val="3AAC2CD8"/>
    <w:rsid w:val="3ABB63F2"/>
    <w:rsid w:val="3ABE5D2E"/>
    <w:rsid w:val="3ABF18AF"/>
    <w:rsid w:val="3ABF1F19"/>
    <w:rsid w:val="3ABF795C"/>
    <w:rsid w:val="3AC20DBD"/>
    <w:rsid w:val="3AC214B3"/>
    <w:rsid w:val="3AC343F1"/>
    <w:rsid w:val="3AC52BB3"/>
    <w:rsid w:val="3AC94A94"/>
    <w:rsid w:val="3AC96534"/>
    <w:rsid w:val="3AC97E01"/>
    <w:rsid w:val="3ACC060E"/>
    <w:rsid w:val="3ACC635A"/>
    <w:rsid w:val="3AD21656"/>
    <w:rsid w:val="3AD757F7"/>
    <w:rsid w:val="3AD82C28"/>
    <w:rsid w:val="3ADB1E0A"/>
    <w:rsid w:val="3ADF0DA7"/>
    <w:rsid w:val="3AE710BD"/>
    <w:rsid w:val="3AE81D94"/>
    <w:rsid w:val="3AE83EA5"/>
    <w:rsid w:val="3AE97B03"/>
    <w:rsid w:val="3AEA3868"/>
    <w:rsid w:val="3AEA72FC"/>
    <w:rsid w:val="3AF008BB"/>
    <w:rsid w:val="3AF36ACC"/>
    <w:rsid w:val="3AFD7E93"/>
    <w:rsid w:val="3AFE37AB"/>
    <w:rsid w:val="3AFE7EC5"/>
    <w:rsid w:val="3B025500"/>
    <w:rsid w:val="3B037FA8"/>
    <w:rsid w:val="3B054AEC"/>
    <w:rsid w:val="3B0F4EA3"/>
    <w:rsid w:val="3B101D0F"/>
    <w:rsid w:val="3B156592"/>
    <w:rsid w:val="3B176D03"/>
    <w:rsid w:val="3B1A4C15"/>
    <w:rsid w:val="3B1C7D4F"/>
    <w:rsid w:val="3B210817"/>
    <w:rsid w:val="3B2348D8"/>
    <w:rsid w:val="3B236FBE"/>
    <w:rsid w:val="3B282D1F"/>
    <w:rsid w:val="3B2A4572"/>
    <w:rsid w:val="3B2C7C2A"/>
    <w:rsid w:val="3B2D120A"/>
    <w:rsid w:val="3B2D29D5"/>
    <w:rsid w:val="3B332FDD"/>
    <w:rsid w:val="3B382A00"/>
    <w:rsid w:val="3B385A10"/>
    <w:rsid w:val="3B3D6FB3"/>
    <w:rsid w:val="3B435F1B"/>
    <w:rsid w:val="3B441006"/>
    <w:rsid w:val="3B5124C8"/>
    <w:rsid w:val="3B542962"/>
    <w:rsid w:val="3B5A5639"/>
    <w:rsid w:val="3B5F200A"/>
    <w:rsid w:val="3B602C1D"/>
    <w:rsid w:val="3B611CEF"/>
    <w:rsid w:val="3B626996"/>
    <w:rsid w:val="3B6346E2"/>
    <w:rsid w:val="3B66770B"/>
    <w:rsid w:val="3B693FE3"/>
    <w:rsid w:val="3B6A36F9"/>
    <w:rsid w:val="3B6D1E13"/>
    <w:rsid w:val="3B6E03B8"/>
    <w:rsid w:val="3B723878"/>
    <w:rsid w:val="3B724C3B"/>
    <w:rsid w:val="3B7A1FB2"/>
    <w:rsid w:val="3B7A7332"/>
    <w:rsid w:val="3B814660"/>
    <w:rsid w:val="3B8415BD"/>
    <w:rsid w:val="3B863571"/>
    <w:rsid w:val="3B8B70DB"/>
    <w:rsid w:val="3B8B7871"/>
    <w:rsid w:val="3B8D7CF9"/>
    <w:rsid w:val="3B900410"/>
    <w:rsid w:val="3B920FE9"/>
    <w:rsid w:val="3B936986"/>
    <w:rsid w:val="3B950A33"/>
    <w:rsid w:val="3B995C83"/>
    <w:rsid w:val="3B9A13C6"/>
    <w:rsid w:val="3B9A1CA2"/>
    <w:rsid w:val="3B9A3EE5"/>
    <w:rsid w:val="3B9B4ED1"/>
    <w:rsid w:val="3B9D16A1"/>
    <w:rsid w:val="3B9D530F"/>
    <w:rsid w:val="3B9D79CE"/>
    <w:rsid w:val="3B9E7492"/>
    <w:rsid w:val="3BA367E6"/>
    <w:rsid w:val="3BA41567"/>
    <w:rsid w:val="3BAC1C67"/>
    <w:rsid w:val="3BAE1BDB"/>
    <w:rsid w:val="3BAF0889"/>
    <w:rsid w:val="3BB13C73"/>
    <w:rsid w:val="3BB46691"/>
    <w:rsid w:val="3BBB3D32"/>
    <w:rsid w:val="3BBC20BB"/>
    <w:rsid w:val="3BBD7862"/>
    <w:rsid w:val="3BBF03CE"/>
    <w:rsid w:val="3BC200B4"/>
    <w:rsid w:val="3BC3083F"/>
    <w:rsid w:val="3BC40965"/>
    <w:rsid w:val="3BC50631"/>
    <w:rsid w:val="3BC96A15"/>
    <w:rsid w:val="3BCB0097"/>
    <w:rsid w:val="3BCB0409"/>
    <w:rsid w:val="3BD53DC1"/>
    <w:rsid w:val="3BD64773"/>
    <w:rsid w:val="3BDF1817"/>
    <w:rsid w:val="3BE15AA4"/>
    <w:rsid w:val="3BE451BC"/>
    <w:rsid w:val="3BE53AE4"/>
    <w:rsid w:val="3BE63A70"/>
    <w:rsid w:val="3BEC52A1"/>
    <w:rsid w:val="3BF06270"/>
    <w:rsid w:val="3BF275D1"/>
    <w:rsid w:val="3BF47F65"/>
    <w:rsid w:val="3BF65DC7"/>
    <w:rsid w:val="3BF667F2"/>
    <w:rsid w:val="3BF76A66"/>
    <w:rsid w:val="3BF86FFB"/>
    <w:rsid w:val="3C06421F"/>
    <w:rsid w:val="3C0A6531"/>
    <w:rsid w:val="3C0D04B8"/>
    <w:rsid w:val="3C0D25F0"/>
    <w:rsid w:val="3C0E3DDB"/>
    <w:rsid w:val="3C0F6F94"/>
    <w:rsid w:val="3C105A79"/>
    <w:rsid w:val="3C106247"/>
    <w:rsid w:val="3C14082A"/>
    <w:rsid w:val="3C1854E8"/>
    <w:rsid w:val="3C1E4165"/>
    <w:rsid w:val="3C230538"/>
    <w:rsid w:val="3C2369A8"/>
    <w:rsid w:val="3C251627"/>
    <w:rsid w:val="3C26334F"/>
    <w:rsid w:val="3C2757AE"/>
    <w:rsid w:val="3C3A76D8"/>
    <w:rsid w:val="3C3C43C8"/>
    <w:rsid w:val="3C3F0FE9"/>
    <w:rsid w:val="3C476D95"/>
    <w:rsid w:val="3C4D2B6E"/>
    <w:rsid w:val="3C502C92"/>
    <w:rsid w:val="3C577B7C"/>
    <w:rsid w:val="3C597CE1"/>
    <w:rsid w:val="3C5C6C20"/>
    <w:rsid w:val="3C5F7B86"/>
    <w:rsid w:val="3C61665E"/>
    <w:rsid w:val="3C643DF1"/>
    <w:rsid w:val="3C6645C6"/>
    <w:rsid w:val="3C672EE5"/>
    <w:rsid w:val="3C6731CF"/>
    <w:rsid w:val="3C697387"/>
    <w:rsid w:val="3C765760"/>
    <w:rsid w:val="3C7933B0"/>
    <w:rsid w:val="3C7F7D63"/>
    <w:rsid w:val="3C8278A0"/>
    <w:rsid w:val="3C8367AD"/>
    <w:rsid w:val="3C8B09A3"/>
    <w:rsid w:val="3C8B6440"/>
    <w:rsid w:val="3C926537"/>
    <w:rsid w:val="3C967B2F"/>
    <w:rsid w:val="3C9726B0"/>
    <w:rsid w:val="3C9B3E3C"/>
    <w:rsid w:val="3C9F5ADB"/>
    <w:rsid w:val="3CA110D5"/>
    <w:rsid w:val="3CA32E48"/>
    <w:rsid w:val="3CA35BA3"/>
    <w:rsid w:val="3CA408E8"/>
    <w:rsid w:val="3CA4126D"/>
    <w:rsid w:val="3CAA4150"/>
    <w:rsid w:val="3CAC2893"/>
    <w:rsid w:val="3CAF705F"/>
    <w:rsid w:val="3CAF7D8B"/>
    <w:rsid w:val="3CB345A0"/>
    <w:rsid w:val="3CB353B6"/>
    <w:rsid w:val="3CB61875"/>
    <w:rsid w:val="3CB75712"/>
    <w:rsid w:val="3CBD0327"/>
    <w:rsid w:val="3CC85251"/>
    <w:rsid w:val="3CCB2DE2"/>
    <w:rsid w:val="3CCC367E"/>
    <w:rsid w:val="3CD44DCD"/>
    <w:rsid w:val="3CD62AC0"/>
    <w:rsid w:val="3CD70402"/>
    <w:rsid w:val="3CD70AB1"/>
    <w:rsid w:val="3CDA7DA7"/>
    <w:rsid w:val="3CE138EA"/>
    <w:rsid w:val="3CE279C9"/>
    <w:rsid w:val="3CE40B0E"/>
    <w:rsid w:val="3CE5109A"/>
    <w:rsid w:val="3CEC29BB"/>
    <w:rsid w:val="3CED0056"/>
    <w:rsid w:val="3CED62C6"/>
    <w:rsid w:val="3CEF3D05"/>
    <w:rsid w:val="3CF02E20"/>
    <w:rsid w:val="3CF2634E"/>
    <w:rsid w:val="3CF42A86"/>
    <w:rsid w:val="3CFE1DCA"/>
    <w:rsid w:val="3D056FAA"/>
    <w:rsid w:val="3D071C88"/>
    <w:rsid w:val="3D0B1124"/>
    <w:rsid w:val="3D0C2C65"/>
    <w:rsid w:val="3D0D1CAB"/>
    <w:rsid w:val="3D11226F"/>
    <w:rsid w:val="3D11514D"/>
    <w:rsid w:val="3D145AE6"/>
    <w:rsid w:val="3D161309"/>
    <w:rsid w:val="3D171247"/>
    <w:rsid w:val="3D1A0F50"/>
    <w:rsid w:val="3D1B504E"/>
    <w:rsid w:val="3D1D2542"/>
    <w:rsid w:val="3D2164F6"/>
    <w:rsid w:val="3D25539B"/>
    <w:rsid w:val="3D2814B4"/>
    <w:rsid w:val="3D393C13"/>
    <w:rsid w:val="3D3E5AEC"/>
    <w:rsid w:val="3D3E7FC0"/>
    <w:rsid w:val="3D4072AC"/>
    <w:rsid w:val="3D424389"/>
    <w:rsid w:val="3D430B03"/>
    <w:rsid w:val="3D435B59"/>
    <w:rsid w:val="3D470B21"/>
    <w:rsid w:val="3D474883"/>
    <w:rsid w:val="3D48384F"/>
    <w:rsid w:val="3D4B0EF9"/>
    <w:rsid w:val="3D4B47A9"/>
    <w:rsid w:val="3D4B5233"/>
    <w:rsid w:val="3D51281E"/>
    <w:rsid w:val="3D5316F7"/>
    <w:rsid w:val="3D551E19"/>
    <w:rsid w:val="3D581707"/>
    <w:rsid w:val="3D5D71B4"/>
    <w:rsid w:val="3D5F50CD"/>
    <w:rsid w:val="3D656935"/>
    <w:rsid w:val="3D663E86"/>
    <w:rsid w:val="3D6A6063"/>
    <w:rsid w:val="3D6D4A8B"/>
    <w:rsid w:val="3D712EC0"/>
    <w:rsid w:val="3D782519"/>
    <w:rsid w:val="3D82081E"/>
    <w:rsid w:val="3D837762"/>
    <w:rsid w:val="3D891543"/>
    <w:rsid w:val="3D8B2BE7"/>
    <w:rsid w:val="3D8B764A"/>
    <w:rsid w:val="3D915310"/>
    <w:rsid w:val="3D931594"/>
    <w:rsid w:val="3D946FE4"/>
    <w:rsid w:val="3D9A1374"/>
    <w:rsid w:val="3D9F2D3C"/>
    <w:rsid w:val="3DA0161A"/>
    <w:rsid w:val="3DA5726A"/>
    <w:rsid w:val="3DA62C98"/>
    <w:rsid w:val="3DA7389E"/>
    <w:rsid w:val="3DAD66E8"/>
    <w:rsid w:val="3DB54CD2"/>
    <w:rsid w:val="3DBC4EBD"/>
    <w:rsid w:val="3DBD4357"/>
    <w:rsid w:val="3DBE3991"/>
    <w:rsid w:val="3DC75ABD"/>
    <w:rsid w:val="3DC81CBB"/>
    <w:rsid w:val="3DD12431"/>
    <w:rsid w:val="3DD1625B"/>
    <w:rsid w:val="3DD611DC"/>
    <w:rsid w:val="3DDB2452"/>
    <w:rsid w:val="3DDC5957"/>
    <w:rsid w:val="3DDE277A"/>
    <w:rsid w:val="3DE83EA4"/>
    <w:rsid w:val="3DEF2CA5"/>
    <w:rsid w:val="3DF13762"/>
    <w:rsid w:val="3DF33394"/>
    <w:rsid w:val="3DF44616"/>
    <w:rsid w:val="3DFB111C"/>
    <w:rsid w:val="3DFB3FF3"/>
    <w:rsid w:val="3DFC1B15"/>
    <w:rsid w:val="3E000949"/>
    <w:rsid w:val="3E007A31"/>
    <w:rsid w:val="3E030197"/>
    <w:rsid w:val="3E045AE2"/>
    <w:rsid w:val="3E0756BF"/>
    <w:rsid w:val="3E097013"/>
    <w:rsid w:val="3E0E5EB6"/>
    <w:rsid w:val="3E133F77"/>
    <w:rsid w:val="3E15354A"/>
    <w:rsid w:val="3E1C3755"/>
    <w:rsid w:val="3E1F6FED"/>
    <w:rsid w:val="3E275A1B"/>
    <w:rsid w:val="3E2E455D"/>
    <w:rsid w:val="3E3375AE"/>
    <w:rsid w:val="3E364740"/>
    <w:rsid w:val="3E3734F9"/>
    <w:rsid w:val="3E38004A"/>
    <w:rsid w:val="3E3D5849"/>
    <w:rsid w:val="3E410134"/>
    <w:rsid w:val="3E411DCD"/>
    <w:rsid w:val="3E495AD4"/>
    <w:rsid w:val="3E4A4E76"/>
    <w:rsid w:val="3E4B0183"/>
    <w:rsid w:val="3E4B1963"/>
    <w:rsid w:val="3E4D4F41"/>
    <w:rsid w:val="3E551467"/>
    <w:rsid w:val="3E5527E2"/>
    <w:rsid w:val="3E5839E9"/>
    <w:rsid w:val="3E5A59DB"/>
    <w:rsid w:val="3E5D4B68"/>
    <w:rsid w:val="3E5F71BC"/>
    <w:rsid w:val="3E604FCD"/>
    <w:rsid w:val="3E6309CA"/>
    <w:rsid w:val="3E640984"/>
    <w:rsid w:val="3E642FEB"/>
    <w:rsid w:val="3E65758D"/>
    <w:rsid w:val="3E6A003B"/>
    <w:rsid w:val="3E6A34A4"/>
    <w:rsid w:val="3E7120C3"/>
    <w:rsid w:val="3E772AED"/>
    <w:rsid w:val="3E7A3FF6"/>
    <w:rsid w:val="3E7B790B"/>
    <w:rsid w:val="3E7C68EA"/>
    <w:rsid w:val="3E7E081F"/>
    <w:rsid w:val="3E810EE1"/>
    <w:rsid w:val="3E8376C8"/>
    <w:rsid w:val="3E8424D4"/>
    <w:rsid w:val="3E882ADA"/>
    <w:rsid w:val="3E8A3E0A"/>
    <w:rsid w:val="3E8B1A11"/>
    <w:rsid w:val="3E8C629B"/>
    <w:rsid w:val="3E916862"/>
    <w:rsid w:val="3E9219D7"/>
    <w:rsid w:val="3E925A55"/>
    <w:rsid w:val="3E9264FE"/>
    <w:rsid w:val="3E957334"/>
    <w:rsid w:val="3E9A01F4"/>
    <w:rsid w:val="3E9B760A"/>
    <w:rsid w:val="3EA335A8"/>
    <w:rsid w:val="3EA74E3A"/>
    <w:rsid w:val="3EAD2C72"/>
    <w:rsid w:val="3EAF137D"/>
    <w:rsid w:val="3EB041AC"/>
    <w:rsid w:val="3EB41AC0"/>
    <w:rsid w:val="3EB47508"/>
    <w:rsid w:val="3EB54D87"/>
    <w:rsid w:val="3EB63DBB"/>
    <w:rsid w:val="3EB6742E"/>
    <w:rsid w:val="3EBB4269"/>
    <w:rsid w:val="3EBE1D6D"/>
    <w:rsid w:val="3EC42E02"/>
    <w:rsid w:val="3EC64F05"/>
    <w:rsid w:val="3EC90169"/>
    <w:rsid w:val="3ECD2C78"/>
    <w:rsid w:val="3ED04732"/>
    <w:rsid w:val="3EDF09C3"/>
    <w:rsid w:val="3EE34C95"/>
    <w:rsid w:val="3EE704E3"/>
    <w:rsid w:val="3EE96579"/>
    <w:rsid w:val="3EEC07A8"/>
    <w:rsid w:val="3EEF6083"/>
    <w:rsid w:val="3EF00892"/>
    <w:rsid w:val="3EF21DDE"/>
    <w:rsid w:val="3EF446E4"/>
    <w:rsid w:val="3EF464EA"/>
    <w:rsid w:val="3EF61896"/>
    <w:rsid w:val="3EF75FE7"/>
    <w:rsid w:val="3EF913BF"/>
    <w:rsid w:val="3EFB709B"/>
    <w:rsid w:val="3F0074AA"/>
    <w:rsid w:val="3F017866"/>
    <w:rsid w:val="3F022252"/>
    <w:rsid w:val="3F0343B3"/>
    <w:rsid w:val="3F093AD2"/>
    <w:rsid w:val="3F0B0ECA"/>
    <w:rsid w:val="3F0C41C6"/>
    <w:rsid w:val="3F0D257F"/>
    <w:rsid w:val="3F0E364B"/>
    <w:rsid w:val="3F164C59"/>
    <w:rsid w:val="3F1860AE"/>
    <w:rsid w:val="3F187717"/>
    <w:rsid w:val="3F1D2EAE"/>
    <w:rsid w:val="3F1D4F57"/>
    <w:rsid w:val="3F1F5BC1"/>
    <w:rsid w:val="3F22044C"/>
    <w:rsid w:val="3F2439C5"/>
    <w:rsid w:val="3F247646"/>
    <w:rsid w:val="3F3408E2"/>
    <w:rsid w:val="3F3A3301"/>
    <w:rsid w:val="3F3E0F4A"/>
    <w:rsid w:val="3F457CAE"/>
    <w:rsid w:val="3F4A1C02"/>
    <w:rsid w:val="3F4A412B"/>
    <w:rsid w:val="3F4C64D5"/>
    <w:rsid w:val="3F500C62"/>
    <w:rsid w:val="3F5033F6"/>
    <w:rsid w:val="3F5120C4"/>
    <w:rsid w:val="3F52287D"/>
    <w:rsid w:val="3F543D80"/>
    <w:rsid w:val="3F576CD6"/>
    <w:rsid w:val="3F591BE7"/>
    <w:rsid w:val="3F5D06ED"/>
    <w:rsid w:val="3F626F64"/>
    <w:rsid w:val="3F635F85"/>
    <w:rsid w:val="3F6410A3"/>
    <w:rsid w:val="3F6423EC"/>
    <w:rsid w:val="3F666B92"/>
    <w:rsid w:val="3F6C40CA"/>
    <w:rsid w:val="3F6C7DE3"/>
    <w:rsid w:val="3F6D4F2E"/>
    <w:rsid w:val="3F7218C4"/>
    <w:rsid w:val="3F754701"/>
    <w:rsid w:val="3F755AD9"/>
    <w:rsid w:val="3F786788"/>
    <w:rsid w:val="3F797CD5"/>
    <w:rsid w:val="3F7B7B62"/>
    <w:rsid w:val="3F822FC6"/>
    <w:rsid w:val="3F8336E1"/>
    <w:rsid w:val="3F872AF4"/>
    <w:rsid w:val="3F8941EE"/>
    <w:rsid w:val="3F8A540E"/>
    <w:rsid w:val="3F8C2E0D"/>
    <w:rsid w:val="3F8F0B74"/>
    <w:rsid w:val="3F91485C"/>
    <w:rsid w:val="3F946785"/>
    <w:rsid w:val="3F972509"/>
    <w:rsid w:val="3F990DCA"/>
    <w:rsid w:val="3F9C496C"/>
    <w:rsid w:val="3F9D4891"/>
    <w:rsid w:val="3F9E1F7C"/>
    <w:rsid w:val="3F9F09C5"/>
    <w:rsid w:val="3FA06623"/>
    <w:rsid w:val="3FA66918"/>
    <w:rsid w:val="3FAA67EB"/>
    <w:rsid w:val="3FAD0802"/>
    <w:rsid w:val="3FAE583D"/>
    <w:rsid w:val="3FAE7AF0"/>
    <w:rsid w:val="3FB34A29"/>
    <w:rsid w:val="3FB45881"/>
    <w:rsid w:val="3FB5178A"/>
    <w:rsid w:val="3FB76B83"/>
    <w:rsid w:val="3FBB4CED"/>
    <w:rsid w:val="3FC576AB"/>
    <w:rsid w:val="3FC87A54"/>
    <w:rsid w:val="3FCA13D1"/>
    <w:rsid w:val="3FCB7B15"/>
    <w:rsid w:val="3FD10D3A"/>
    <w:rsid w:val="3FD117BC"/>
    <w:rsid w:val="3FD24EB8"/>
    <w:rsid w:val="3FDC0CAB"/>
    <w:rsid w:val="3FE66695"/>
    <w:rsid w:val="3FEA0D7F"/>
    <w:rsid w:val="3FEE6C38"/>
    <w:rsid w:val="3FEF2FAC"/>
    <w:rsid w:val="3FF46AAD"/>
    <w:rsid w:val="3FF47756"/>
    <w:rsid w:val="3FFA40F0"/>
    <w:rsid w:val="3FFA53EF"/>
    <w:rsid w:val="40016AF7"/>
    <w:rsid w:val="400A2653"/>
    <w:rsid w:val="400B75C2"/>
    <w:rsid w:val="400D46F4"/>
    <w:rsid w:val="401144E6"/>
    <w:rsid w:val="40121A61"/>
    <w:rsid w:val="40155878"/>
    <w:rsid w:val="40176297"/>
    <w:rsid w:val="40184FA6"/>
    <w:rsid w:val="4018500B"/>
    <w:rsid w:val="40185F94"/>
    <w:rsid w:val="40195FC5"/>
    <w:rsid w:val="401A2B10"/>
    <w:rsid w:val="40210114"/>
    <w:rsid w:val="40215548"/>
    <w:rsid w:val="402204A1"/>
    <w:rsid w:val="402951F0"/>
    <w:rsid w:val="402E753F"/>
    <w:rsid w:val="40321C4D"/>
    <w:rsid w:val="40340A58"/>
    <w:rsid w:val="403411AA"/>
    <w:rsid w:val="40346DCE"/>
    <w:rsid w:val="4039469B"/>
    <w:rsid w:val="403A3D55"/>
    <w:rsid w:val="403F036D"/>
    <w:rsid w:val="40416794"/>
    <w:rsid w:val="404213DB"/>
    <w:rsid w:val="404317BD"/>
    <w:rsid w:val="404E1FF9"/>
    <w:rsid w:val="404F0BB3"/>
    <w:rsid w:val="40532B86"/>
    <w:rsid w:val="40545037"/>
    <w:rsid w:val="40591E1C"/>
    <w:rsid w:val="405D57E1"/>
    <w:rsid w:val="405E0773"/>
    <w:rsid w:val="405E162A"/>
    <w:rsid w:val="40616F48"/>
    <w:rsid w:val="40632C53"/>
    <w:rsid w:val="40692574"/>
    <w:rsid w:val="406E1FB7"/>
    <w:rsid w:val="406E291D"/>
    <w:rsid w:val="406F6EA5"/>
    <w:rsid w:val="40704310"/>
    <w:rsid w:val="40756469"/>
    <w:rsid w:val="407765EC"/>
    <w:rsid w:val="40792C8E"/>
    <w:rsid w:val="407A44D6"/>
    <w:rsid w:val="407D0B69"/>
    <w:rsid w:val="40853841"/>
    <w:rsid w:val="4089564D"/>
    <w:rsid w:val="408E10CB"/>
    <w:rsid w:val="40922550"/>
    <w:rsid w:val="40945049"/>
    <w:rsid w:val="409453F1"/>
    <w:rsid w:val="409616F7"/>
    <w:rsid w:val="40972D9E"/>
    <w:rsid w:val="409A2F96"/>
    <w:rsid w:val="409B65ED"/>
    <w:rsid w:val="409E1373"/>
    <w:rsid w:val="40A15E24"/>
    <w:rsid w:val="40A43BA6"/>
    <w:rsid w:val="40A61EA2"/>
    <w:rsid w:val="40A67F32"/>
    <w:rsid w:val="40AE757C"/>
    <w:rsid w:val="40BA5CD0"/>
    <w:rsid w:val="40C35B4F"/>
    <w:rsid w:val="40C81049"/>
    <w:rsid w:val="40C91A50"/>
    <w:rsid w:val="40CB029A"/>
    <w:rsid w:val="40CF1A2C"/>
    <w:rsid w:val="40D16195"/>
    <w:rsid w:val="40D37678"/>
    <w:rsid w:val="40D9750B"/>
    <w:rsid w:val="40DC0D21"/>
    <w:rsid w:val="40DC250D"/>
    <w:rsid w:val="40DC68A2"/>
    <w:rsid w:val="40E13BB9"/>
    <w:rsid w:val="40E165AE"/>
    <w:rsid w:val="40E75901"/>
    <w:rsid w:val="40EE5171"/>
    <w:rsid w:val="40F43821"/>
    <w:rsid w:val="40FC5992"/>
    <w:rsid w:val="40FD5A6A"/>
    <w:rsid w:val="410B080A"/>
    <w:rsid w:val="410B4B70"/>
    <w:rsid w:val="410E58EF"/>
    <w:rsid w:val="411221C2"/>
    <w:rsid w:val="41161776"/>
    <w:rsid w:val="41187505"/>
    <w:rsid w:val="411A3A61"/>
    <w:rsid w:val="411F2B21"/>
    <w:rsid w:val="412331E2"/>
    <w:rsid w:val="41233C3C"/>
    <w:rsid w:val="412A6906"/>
    <w:rsid w:val="412C2B69"/>
    <w:rsid w:val="413D7AB2"/>
    <w:rsid w:val="4140469F"/>
    <w:rsid w:val="41452699"/>
    <w:rsid w:val="414D0E1F"/>
    <w:rsid w:val="414E57A1"/>
    <w:rsid w:val="414E7FEA"/>
    <w:rsid w:val="414F72A2"/>
    <w:rsid w:val="41512B7B"/>
    <w:rsid w:val="415154E2"/>
    <w:rsid w:val="41553B15"/>
    <w:rsid w:val="41557E88"/>
    <w:rsid w:val="4158134A"/>
    <w:rsid w:val="41586ECA"/>
    <w:rsid w:val="415B4D44"/>
    <w:rsid w:val="415D74CE"/>
    <w:rsid w:val="416074D3"/>
    <w:rsid w:val="41614C8F"/>
    <w:rsid w:val="416C4775"/>
    <w:rsid w:val="416D3BAC"/>
    <w:rsid w:val="416F5CAE"/>
    <w:rsid w:val="41704757"/>
    <w:rsid w:val="41750A92"/>
    <w:rsid w:val="4177517B"/>
    <w:rsid w:val="417A2628"/>
    <w:rsid w:val="41804EF9"/>
    <w:rsid w:val="41813E0A"/>
    <w:rsid w:val="41875415"/>
    <w:rsid w:val="418A09F4"/>
    <w:rsid w:val="41935095"/>
    <w:rsid w:val="41942D31"/>
    <w:rsid w:val="41953961"/>
    <w:rsid w:val="41990C37"/>
    <w:rsid w:val="41A37CAE"/>
    <w:rsid w:val="41A47734"/>
    <w:rsid w:val="41A54740"/>
    <w:rsid w:val="41A57C48"/>
    <w:rsid w:val="41AD132B"/>
    <w:rsid w:val="41AD1B38"/>
    <w:rsid w:val="41AF4525"/>
    <w:rsid w:val="41B32E48"/>
    <w:rsid w:val="41B33A07"/>
    <w:rsid w:val="41B4781F"/>
    <w:rsid w:val="41BA7281"/>
    <w:rsid w:val="41BC6935"/>
    <w:rsid w:val="41C5261C"/>
    <w:rsid w:val="41C8308E"/>
    <w:rsid w:val="41C83EDD"/>
    <w:rsid w:val="41C965D4"/>
    <w:rsid w:val="41C96928"/>
    <w:rsid w:val="41CF2422"/>
    <w:rsid w:val="41CF3063"/>
    <w:rsid w:val="41D5168B"/>
    <w:rsid w:val="41D61DDE"/>
    <w:rsid w:val="41D659E7"/>
    <w:rsid w:val="41DC0D69"/>
    <w:rsid w:val="41E21777"/>
    <w:rsid w:val="41E23FDF"/>
    <w:rsid w:val="41E36D68"/>
    <w:rsid w:val="41E41954"/>
    <w:rsid w:val="41E567ED"/>
    <w:rsid w:val="41EA1493"/>
    <w:rsid w:val="41EA7363"/>
    <w:rsid w:val="41EB2BB3"/>
    <w:rsid w:val="41EC0D67"/>
    <w:rsid w:val="41EF4656"/>
    <w:rsid w:val="41F10D69"/>
    <w:rsid w:val="41FA16D6"/>
    <w:rsid w:val="420A743F"/>
    <w:rsid w:val="4219352E"/>
    <w:rsid w:val="421E7DEB"/>
    <w:rsid w:val="42263C91"/>
    <w:rsid w:val="422714D2"/>
    <w:rsid w:val="42277FF1"/>
    <w:rsid w:val="422B4954"/>
    <w:rsid w:val="42305288"/>
    <w:rsid w:val="42314053"/>
    <w:rsid w:val="4231678E"/>
    <w:rsid w:val="423170C2"/>
    <w:rsid w:val="42333761"/>
    <w:rsid w:val="423C2022"/>
    <w:rsid w:val="424120CD"/>
    <w:rsid w:val="42452A58"/>
    <w:rsid w:val="424868B1"/>
    <w:rsid w:val="424A35ED"/>
    <w:rsid w:val="424B2D79"/>
    <w:rsid w:val="424B3CDF"/>
    <w:rsid w:val="42505FF9"/>
    <w:rsid w:val="4253636A"/>
    <w:rsid w:val="4254033B"/>
    <w:rsid w:val="42556644"/>
    <w:rsid w:val="42601A25"/>
    <w:rsid w:val="42612458"/>
    <w:rsid w:val="42624E9E"/>
    <w:rsid w:val="426506DB"/>
    <w:rsid w:val="42674891"/>
    <w:rsid w:val="426947B1"/>
    <w:rsid w:val="426C56E9"/>
    <w:rsid w:val="426F464E"/>
    <w:rsid w:val="42702888"/>
    <w:rsid w:val="427144C1"/>
    <w:rsid w:val="42795576"/>
    <w:rsid w:val="427B455D"/>
    <w:rsid w:val="427D756E"/>
    <w:rsid w:val="42842E7A"/>
    <w:rsid w:val="42847BEB"/>
    <w:rsid w:val="428C42F8"/>
    <w:rsid w:val="4290738A"/>
    <w:rsid w:val="429949F1"/>
    <w:rsid w:val="42A07E46"/>
    <w:rsid w:val="42A27049"/>
    <w:rsid w:val="42A86D00"/>
    <w:rsid w:val="42AD00B8"/>
    <w:rsid w:val="42B1236F"/>
    <w:rsid w:val="42B54B86"/>
    <w:rsid w:val="42B71268"/>
    <w:rsid w:val="42BE22F0"/>
    <w:rsid w:val="42C1383A"/>
    <w:rsid w:val="42C71EB5"/>
    <w:rsid w:val="42CA7129"/>
    <w:rsid w:val="42CD3A07"/>
    <w:rsid w:val="42D135BA"/>
    <w:rsid w:val="42D1560B"/>
    <w:rsid w:val="42D24401"/>
    <w:rsid w:val="42D315AC"/>
    <w:rsid w:val="42D3285B"/>
    <w:rsid w:val="42DC527F"/>
    <w:rsid w:val="42E26F1E"/>
    <w:rsid w:val="42E608FB"/>
    <w:rsid w:val="42E67A58"/>
    <w:rsid w:val="42E8557C"/>
    <w:rsid w:val="42E97475"/>
    <w:rsid w:val="42EB7271"/>
    <w:rsid w:val="42F25D02"/>
    <w:rsid w:val="42F32264"/>
    <w:rsid w:val="42FA6A00"/>
    <w:rsid w:val="42FE7EB9"/>
    <w:rsid w:val="430139CB"/>
    <w:rsid w:val="43043B52"/>
    <w:rsid w:val="430C3B10"/>
    <w:rsid w:val="430E2686"/>
    <w:rsid w:val="430F6E4C"/>
    <w:rsid w:val="430F7403"/>
    <w:rsid w:val="43103651"/>
    <w:rsid w:val="431471A2"/>
    <w:rsid w:val="431529CC"/>
    <w:rsid w:val="4317054A"/>
    <w:rsid w:val="4317658D"/>
    <w:rsid w:val="431D3FCB"/>
    <w:rsid w:val="43210F93"/>
    <w:rsid w:val="432602A9"/>
    <w:rsid w:val="43264C02"/>
    <w:rsid w:val="432B2CB1"/>
    <w:rsid w:val="432D584C"/>
    <w:rsid w:val="433400FB"/>
    <w:rsid w:val="4337046E"/>
    <w:rsid w:val="4337590B"/>
    <w:rsid w:val="433A63C6"/>
    <w:rsid w:val="433B00F0"/>
    <w:rsid w:val="433B2266"/>
    <w:rsid w:val="43406C27"/>
    <w:rsid w:val="43414C53"/>
    <w:rsid w:val="43416141"/>
    <w:rsid w:val="434565E5"/>
    <w:rsid w:val="43464479"/>
    <w:rsid w:val="43476B9D"/>
    <w:rsid w:val="434D155D"/>
    <w:rsid w:val="434E6FAD"/>
    <w:rsid w:val="4350531F"/>
    <w:rsid w:val="43554319"/>
    <w:rsid w:val="435B22D9"/>
    <w:rsid w:val="435B2C51"/>
    <w:rsid w:val="435C652E"/>
    <w:rsid w:val="435E047F"/>
    <w:rsid w:val="435F07D0"/>
    <w:rsid w:val="4365777C"/>
    <w:rsid w:val="4367225F"/>
    <w:rsid w:val="436D50C5"/>
    <w:rsid w:val="43794211"/>
    <w:rsid w:val="43820BD7"/>
    <w:rsid w:val="438539C9"/>
    <w:rsid w:val="43917911"/>
    <w:rsid w:val="439F2567"/>
    <w:rsid w:val="43A50D7F"/>
    <w:rsid w:val="43A542E6"/>
    <w:rsid w:val="43A55529"/>
    <w:rsid w:val="43A7697D"/>
    <w:rsid w:val="43AA712C"/>
    <w:rsid w:val="43AC73A0"/>
    <w:rsid w:val="43B468CF"/>
    <w:rsid w:val="43B6440D"/>
    <w:rsid w:val="43BC5DB1"/>
    <w:rsid w:val="43BD64AC"/>
    <w:rsid w:val="43C061C7"/>
    <w:rsid w:val="43C67223"/>
    <w:rsid w:val="43C933BB"/>
    <w:rsid w:val="43CE2F1F"/>
    <w:rsid w:val="43D14DA3"/>
    <w:rsid w:val="43D22D4B"/>
    <w:rsid w:val="43D27604"/>
    <w:rsid w:val="43D457B2"/>
    <w:rsid w:val="43DA2F61"/>
    <w:rsid w:val="43DC54C0"/>
    <w:rsid w:val="43DE1080"/>
    <w:rsid w:val="43E017A3"/>
    <w:rsid w:val="43E25198"/>
    <w:rsid w:val="43E3478C"/>
    <w:rsid w:val="43E40D58"/>
    <w:rsid w:val="43E634D3"/>
    <w:rsid w:val="43EC05A9"/>
    <w:rsid w:val="43ED07B9"/>
    <w:rsid w:val="43ED6B42"/>
    <w:rsid w:val="43F108B7"/>
    <w:rsid w:val="43FA1980"/>
    <w:rsid w:val="43FB15BF"/>
    <w:rsid w:val="43FB1735"/>
    <w:rsid w:val="43FC62FB"/>
    <w:rsid w:val="43FE4785"/>
    <w:rsid w:val="440261AB"/>
    <w:rsid w:val="44054362"/>
    <w:rsid w:val="44067334"/>
    <w:rsid w:val="440675D2"/>
    <w:rsid w:val="44080DD7"/>
    <w:rsid w:val="44085323"/>
    <w:rsid w:val="440920A4"/>
    <w:rsid w:val="440A2784"/>
    <w:rsid w:val="440A3FEE"/>
    <w:rsid w:val="440A74C1"/>
    <w:rsid w:val="440D10EF"/>
    <w:rsid w:val="440E1CBC"/>
    <w:rsid w:val="440F2713"/>
    <w:rsid w:val="44126D05"/>
    <w:rsid w:val="44184AD2"/>
    <w:rsid w:val="441A708C"/>
    <w:rsid w:val="442260AB"/>
    <w:rsid w:val="4429042D"/>
    <w:rsid w:val="442C0E76"/>
    <w:rsid w:val="442E2BE7"/>
    <w:rsid w:val="44305BFE"/>
    <w:rsid w:val="44384737"/>
    <w:rsid w:val="443854BB"/>
    <w:rsid w:val="4439400C"/>
    <w:rsid w:val="443B4249"/>
    <w:rsid w:val="443F1622"/>
    <w:rsid w:val="444627BC"/>
    <w:rsid w:val="4446612A"/>
    <w:rsid w:val="44480C3C"/>
    <w:rsid w:val="444C59F5"/>
    <w:rsid w:val="445134D9"/>
    <w:rsid w:val="44535F5D"/>
    <w:rsid w:val="44545512"/>
    <w:rsid w:val="44557097"/>
    <w:rsid w:val="44557B2A"/>
    <w:rsid w:val="445E2D5D"/>
    <w:rsid w:val="44632A83"/>
    <w:rsid w:val="446566C3"/>
    <w:rsid w:val="44663053"/>
    <w:rsid w:val="44667832"/>
    <w:rsid w:val="446A6526"/>
    <w:rsid w:val="446A679B"/>
    <w:rsid w:val="447363EE"/>
    <w:rsid w:val="44755E74"/>
    <w:rsid w:val="447D214A"/>
    <w:rsid w:val="447E080E"/>
    <w:rsid w:val="4481536A"/>
    <w:rsid w:val="448278CE"/>
    <w:rsid w:val="44832A03"/>
    <w:rsid w:val="448D6121"/>
    <w:rsid w:val="44917EB5"/>
    <w:rsid w:val="4493522E"/>
    <w:rsid w:val="449365F0"/>
    <w:rsid w:val="44962D8B"/>
    <w:rsid w:val="449A799B"/>
    <w:rsid w:val="44A3023D"/>
    <w:rsid w:val="44A9738C"/>
    <w:rsid w:val="44AA6D2D"/>
    <w:rsid w:val="44AE020A"/>
    <w:rsid w:val="44B637C7"/>
    <w:rsid w:val="44BB05FB"/>
    <w:rsid w:val="44C17B0A"/>
    <w:rsid w:val="44C23556"/>
    <w:rsid w:val="44C27E04"/>
    <w:rsid w:val="44C60D21"/>
    <w:rsid w:val="44C75265"/>
    <w:rsid w:val="44CC43D1"/>
    <w:rsid w:val="44CD6C8C"/>
    <w:rsid w:val="44D22496"/>
    <w:rsid w:val="44D23442"/>
    <w:rsid w:val="44D2693A"/>
    <w:rsid w:val="44D3423A"/>
    <w:rsid w:val="44DF1057"/>
    <w:rsid w:val="44E374FA"/>
    <w:rsid w:val="44E4059F"/>
    <w:rsid w:val="44E4666D"/>
    <w:rsid w:val="44F03CC6"/>
    <w:rsid w:val="44F344B4"/>
    <w:rsid w:val="44F40D44"/>
    <w:rsid w:val="44F55FB5"/>
    <w:rsid w:val="44F630C5"/>
    <w:rsid w:val="44F7166B"/>
    <w:rsid w:val="44F77846"/>
    <w:rsid w:val="44FE1099"/>
    <w:rsid w:val="4501355F"/>
    <w:rsid w:val="4506529F"/>
    <w:rsid w:val="450C33A1"/>
    <w:rsid w:val="45123A25"/>
    <w:rsid w:val="4512400D"/>
    <w:rsid w:val="4514119C"/>
    <w:rsid w:val="45155374"/>
    <w:rsid w:val="45187040"/>
    <w:rsid w:val="451D2FB2"/>
    <w:rsid w:val="452178E3"/>
    <w:rsid w:val="45241D1D"/>
    <w:rsid w:val="452B516A"/>
    <w:rsid w:val="452E7431"/>
    <w:rsid w:val="45323E79"/>
    <w:rsid w:val="45357CE4"/>
    <w:rsid w:val="453764F8"/>
    <w:rsid w:val="453A003B"/>
    <w:rsid w:val="453A39F4"/>
    <w:rsid w:val="45443A15"/>
    <w:rsid w:val="4545354D"/>
    <w:rsid w:val="454B1628"/>
    <w:rsid w:val="454B4E95"/>
    <w:rsid w:val="454C62D1"/>
    <w:rsid w:val="454D7D71"/>
    <w:rsid w:val="45540E48"/>
    <w:rsid w:val="45553A0D"/>
    <w:rsid w:val="45570BED"/>
    <w:rsid w:val="455C760E"/>
    <w:rsid w:val="455F3534"/>
    <w:rsid w:val="45611A6C"/>
    <w:rsid w:val="4569120C"/>
    <w:rsid w:val="456A5531"/>
    <w:rsid w:val="456E1540"/>
    <w:rsid w:val="456E1D4B"/>
    <w:rsid w:val="45711332"/>
    <w:rsid w:val="45750533"/>
    <w:rsid w:val="457E1BEB"/>
    <w:rsid w:val="45861533"/>
    <w:rsid w:val="45861D1D"/>
    <w:rsid w:val="4588524B"/>
    <w:rsid w:val="45886FF9"/>
    <w:rsid w:val="4591440A"/>
    <w:rsid w:val="459319E1"/>
    <w:rsid w:val="459843E5"/>
    <w:rsid w:val="45A13A01"/>
    <w:rsid w:val="45A5266A"/>
    <w:rsid w:val="45A71336"/>
    <w:rsid w:val="45A74FFA"/>
    <w:rsid w:val="45AD03C9"/>
    <w:rsid w:val="45B10FBA"/>
    <w:rsid w:val="45B608EA"/>
    <w:rsid w:val="45BB5620"/>
    <w:rsid w:val="45BB7D5C"/>
    <w:rsid w:val="45BC32DF"/>
    <w:rsid w:val="45C12C81"/>
    <w:rsid w:val="45C356EC"/>
    <w:rsid w:val="45C53BBD"/>
    <w:rsid w:val="45CC62CC"/>
    <w:rsid w:val="45D10B01"/>
    <w:rsid w:val="45D46342"/>
    <w:rsid w:val="45D57602"/>
    <w:rsid w:val="45D97854"/>
    <w:rsid w:val="45DB6B86"/>
    <w:rsid w:val="45DD518F"/>
    <w:rsid w:val="45DE7757"/>
    <w:rsid w:val="45DF393E"/>
    <w:rsid w:val="45E14733"/>
    <w:rsid w:val="45EC17C5"/>
    <w:rsid w:val="45F12849"/>
    <w:rsid w:val="45F361F0"/>
    <w:rsid w:val="45F76EAB"/>
    <w:rsid w:val="45F8280F"/>
    <w:rsid w:val="45FC3068"/>
    <w:rsid w:val="46015CE6"/>
    <w:rsid w:val="46063E62"/>
    <w:rsid w:val="460812C2"/>
    <w:rsid w:val="460A0561"/>
    <w:rsid w:val="460B74D1"/>
    <w:rsid w:val="461366E5"/>
    <w:rsid w:val="46146717"/>
    <w:rsid w:val="461671FC"/>
    <w:rsid w:val="461B7E6D"/>
    <w:rsid w:val="46216FB1"/>
    <w:rsid w:val="46225168"/>
    <w:rsid w:val="462A27C5"/>
    <w:rsid w:val="462A5DF1"/>
    <w:rsid w:val="462F7F12"/>
    <w:rsid w:val="46342CDD"/>
    <w:rsid w:val="46342E1A"/>
    <w:rsid w:val="46373770"/>
    <w:rsid w:val="46387F9D"/>
    <w:rsid w:val="463B0081"/>
    <w:rsid w:val="463E6CFA"/>
    <w:rsid w:val="4642623D"/>
    <w:rsid w:val="46434728"/>
    <w:rsid w:val="46446A64"/>
    <w:rsid w:val="464550CB"/>
    <w:rsid w:val="464866FD"/>
    <w:rsid w:val="46491A07"/>
    <w:rsid w:val="464959D2"/>
    <w:rsid w:val="46496788"/>
    <w:rsid w:val="46505D0B"/>
    <w:rsid w:val="465F5FAB"/>
    <w:rsid w:val="465F64FB"/>
    <w:rsid w:val="46613AB1"/>
    <w:rsid w:val="4661541D"/>
    <w:rsid w:val="466330E0"/>
    <w:rsid w:val="46647221"/>
    <w:rsid w:val="466537B6"/>
    <w:rsid w:val="4668684B"/>
    <w:rsid w:val="466A53EC"/>
    <w:rsid w:val="466C66C8"/>
    <w:rsid w:val="467104F8"/>
    <w:rsid w:val="46746059"/>
    <w:rsid w:val="467A0FDA"/>
    <w:rsid w:val="467F0FD8"/>
    <w:rsid w:val="46821C9A"/>
    <w:rsid w:val="468272AB"/>
    <w:rsid w:val="468B5E60"/>
    <w:rsid w:val="468C02C3"/>
    <w:rsid w:val="468E202C"/>
    <w:rsid w:val="46906691"/>
    <w:rsid w:val="469A0A74"/>
    <w:rsid w:val="469A4ED5"/>
    <w:rsid w:val="469F0DAB"/>
    <w:rsid w:val="46A135A5"/>
    <w:rsid w:val="46A314CE"/>
    <w:rsid w:val="46A368F6"/>
    <w:rsid w:val="46A502E7"/>
    <w:rsid w:val="46A658C8"/>
    <w:rsid w:val="46A777AD"/>
    <w:rsid w:val="46AC0EB8"/>
    <w:rsid w:val="46AC3083"/>
    <w:rsid w:val="46AD234D"/>
    <w:rsid w:val="46AF413F"/>
    <w:rsid w:val="46B13CD4"/>
    <w:rsid w:val="46B245AD"/>
    <w:rsid w:val="46B34AC7"/>
    <w:rsid w:val="46B4638A"/>
    <w:rsid w:val="46BA1157"/>
    <w:rsid w:val="46BF650A"/>
    <w:rsid w:val="46C161A4"/>
    <w:rsid w:val="46C502F0"/>
    <w:rsid w:val="46C54904"/>
    <w:rsid w:val="46C91ABA"/>
    <w:rsid w:val="46CA7431"/>
    <w:rsid w:val="46CE4EDF"/>
    <w:rsid w:val="46D76532"/>
    <w:rsid w:val="46D869DE"/>
    <w:rsid w:val="46D86ED1"/>
    <w:rsid w:val="46DB0177"/>
    <w:rsid w:val="46DB4E9C"/>
    <w:rsid w:val="46DD1695"/>
    <w:rsid w:val="46E14EB7"/>
    <w:rsid w:val="46E81076"/>
    <w:rsid w:val="46EA0153"/>
    <w:rsid w:val="46EA3984"/>
    <w:rsid w:val="46EB0B8A"/>
    <w:rsid w:val="46EE1D0F"/>
    <w:rsid w:val="46F11EC4"/>
    <w:rsid w:val="46F81F5C"/>
    <w:rsid w:val="46FA6F83"/>
    <w:rsid w:val="47004D08"/>
    <w:rsid w:val="47007878"/>
    <w:rsid w:val="47031F0C"/>
    <w:rsid w:val="47045DAD"/>
    <w:rsid w:val="47085054"/>
    <w:rsid w:val="470B642F"/>
    <w:rsid w:val="470C2CD9"/>
    <w:rsid w:val="470E499C"/>
    <w:rsid w:val="47116EE7"/>
    <w:rsid w:val="471E572C"/>
    <w:rsid w:val="471F1BDF"/>
    <w:rsid w:val="472054A3"/>
    <w:rsid w:val="4722239C"/>
    <w:rsid w:val="47230F03"/>
    <w:rsid w:val="472535C4"/>
    <w:rsid w:val="472A1E05"/>
    <w:rsid w:val="472B78A0"/>
    <w:rsid w:val="472D279C"/>
    <w:rsid w:val="472F4F2F"/>
    <w:rsid w:val="473A59EC"/>
    <w:rsid w:val="473F59BA"/>
    <w:rsid w:val="47424424"/>
    <w:rsid w:val="47482EE3"/>
    <w:rsid w:val="47490699"/>
    <w:rsid w:val="474A164D"/>
    <w:rsid w:val="474C34F3"/>
    <w:rsid w:val="474D3EAB"/>
    <w:rsid w:val="475E2092"/>
    <w:rsid w:val="47606D5C"/>
    <w:rsid w:val="4761074E"/>
    <w:rsid w:val="47613D9E"/>
    <w:rsid w:val="47615981"/>
    <w:rsid w:val="476A47EB"/>
    <w:rsid w:val="476B6B9E"/>
    <w:rsid w:val="476F62A4"/>
    <w:rsid w:val="477203EA"/>
    <w:rsid w:val="477C3E4E"/>
    <w:rsid w:val="477E50BA"/>
    <w:rsid w:val="47832605"/>
    <w:rsid w:val="478448E5"/>
    <w:rsid w:val="478703F2"/>
    <w:rsid w:val="47891E7B"/>
    <w:rsid w:val="478C3F8F"/>
    <w:rsid w:val="479C2EC7"/>
    <w:rsid w:val="47A0332E"/>
    <w:rsid w:val="47A430FB"/>
    <w:rsid w:val="47A553FF"/>
    <w:rsid w:val="47A9231D"/>
    <w:rsid w:val="47AD71EA"/>
    <w:rsid w:val="47B21517"/>
    <w:rsid w:val="47B642F1"/>
    <w:rsid w:val="47BC11DC"/>
    <w:rsid w:val="47C30812"/>
    <w:rsid w:val="47C744B1"/>
    <w:rsid w:val="47C97DF4"/>
    <w:rsid w:val="47CC1BEA"/>
    <w:rsid w:val="47D04B55"/>
    <w:rsid w:val="47DE6E96"/>
    <w:rsid w:val="47DF731A"/>
    <w:rsid w:val="47E16569"/>
    <w:rsid w:val="47E21B2B"/>
    <w:rsid w:val="47E47738"/>
    <w:rsid w:val="47E52B5C"/>
    <w:rsid w:val="47E54C2B"/>
    <w:rsid w:val="47F143B6"/>
    <w:rsid w:val="47F166A9"/>
    <w:rsid w:val="47F21F25"/>
    <w:rsid w:val="47F51EB7"/>
    <w:rsid w:val="47F60B91"/>
    <w:rsid w:val="47F76A2D"/>
    <w:rsid w:val="47F95F5F"/>
    <w:rsid w:val="47FB1D46"/>
    <w:rsid w:val="47FD7330"/>
    <w:rsid w:val="48004A2A"/>
    <w:rsid w:val="48010A11"/>
    <w:rsid w:val="48011B42"/>
    <w:rsid w:val="48014A70"/>
    <w:rsid w:val="48046F51"/>
    <w:rsid w:val="48064CD8"/>
    <w:rsid w:val="480A3BFF"/>
    <w:rsid w:val="480C3504"/>
    <w:rsid w:val="480E21B8"/>
    <w:rsid w:val="480F1ABD"/>
    <w:rsid w:val="48130631"/>
    <w:rsid w:val="48144C6C"/>
    <w:rsid w:val="481A70F5"/>
    <w:rsid w:val="481B26DE"/>
    <w:rsid w:val="481E2922"/>
    <w:rsid w:val="481F42F3"/>
    <w:rsid w:val="48256386"/>
    <w:rsid w:val="482564A3"/>
    <w:rsid w:val="48285B97"/>
    <w:rsid w:val="482C010F"/>
    <w:rsid w:val="483130EA"/>
    <w:rsid w:val="48396C36"/>
    <w:rsid w:val="483B0FC1"/>
    <w:rsid w:val="483F5B54"/>
    <w:rsid w:val="484102F0"/>
    <w:rsid w:val="484B7B9A"/>
    <w:rsid w:val="484E2293"/>
    <w:rsid w:val="485F2352"/>
    <w:rsid w:val="48605CE7"/>
    <w:rsid w:val="48670E31"/>
    <w:rsid w:val="486B6889"/>
    <w:rsid w:val="48714635"/>
    <w:rsid w:val="48723F2C"/>
    <w:rsid w:val="48727098"/>
    <w:rsid w:val="487870AF"/>
    <w:rsid w:val="487B0C1B"/>
    <w:rsid w:val="488031F9"/>
    <w:rsid w:val="48812AD7"/>
    <w:rsid w:val="48813331"/>
    <w:rsid w:val="48815F2A"/>
    <w:rsid w:val="48825D8A"/>
    <w:rsid w:val="48845084"/>
    <w:rsid w:val="48872140"/>
    <w:rsid w:val="488E4E07"/>
    <w:rsid w:val="488F19C1"/>
    <w:rsid w:val="48901C3B"/>
    <w:rsid w:val="48974F20"/>
    <w:rsid w:val="489F7E7B"/>
    <w:rsid w:val="48A055E5"/>
    <w:rsid w:val="48A16C9E"/>
    <w:rsid w:val="48A51D4C"/>
    <w:rsid w:val="48A6452B"/>
    <w:rsid w:val="48A7165F"/>
    <w:rsid w:val="48AB372A"/>
    <w:rsid w:val="48AF2AEE"/>
    <w:rsid w:val="48B4364E"/>
    <w:rsid w:val="48BB1493"/>
    <w:rsid w:val="48BF5171"/>
    <w:rsid w:val="48C12F4D"/>
    <w:rsid w:val="48C36324"/>
    <w:rsid w:val="48C61E8E"/>
    <w:rsid w:val="48C63536"/>
    <w:rsid w:val="48CA7928"/>
    <w:rsid w:val="48CB3DCC"/>
    <w:rsid w:val="48CD61C7"/>
    <w:rsid w:val="48CE7FCE"/>
    <w:rsid w:val="48CF7AEB"/>
    <w:rsid w:val="48D019BC"/>
    <w:rsid w:val="48D703D9"/>
    <w:rsid w:val="48DB1B9A"/>
    <w:rsid w:val="48DB4EA8"/>
    <w:rsid w:val="48DC676F"/>
    <w:rsid w:val="48DC7D87"/>
    <w:rsid w:val="48DD5896"/>
    <w:rsid w:val="48DE18E3"/>
    <w:rsid w:val="48E120F5"/>
    <w:rsid w:val="48E704DA"/>
    <w:rsid w:val="48EA3D69"/>
    <w:rsid w:val="48EB7FCA"/>
    <w:rsid w:val="48F01C16"/>
    <w:rsid w:val="48F30366"/>
    <w:rsid w:val="48FA020D"/>
    <w:rsid w:val="48FD385A"/>
    <w:rsid w:val="48FE0743"/>
    <w:rsid w:val="490115D2"/>
    <w:rsid w:val="49012913"/>
    <w:rsid w:val="49023738"/>
    <w:rsid w:val="490818D9"/>
    <w:rsid w:val="4915491B"/>
    <w:rsid w:val="49155047"/>
    <w:rsid w:val="4918529C"/>
    <w:rsid w:val="491C1B1E"/>
    <w:rsid w:val="491C377A"/>
    <w:rsid w:val="491E1DBE"/>
    <w:rsid w:val="49241818"/>
    <w:rsid w:val="49245829"/>
    <w:rsid w:val="492D60D7"/>
    <w:rsid w:val="493C25D4"/>
    <w:rsid w:val="493E2DC6"/>
    <w:rsid w:val="493E604F"/>
    <w:rsid w:val="49442974"/>
    <w:rsid w:val="4950607F"/>
    <w:rsid w:val="49520788"/>
    <w:rsid w:val="49547314"/>
    <w:rsid w:val="49570F22"/>
    <w:rsid w:val="495A3180"/>
    <w:rsid w:val="495C0C14"/>
    <w:rsid w:val="495D2BBD"/>
    <w:rsid w:val="495D4D07"/>
    <w:rsid w:val="49697CFF"/>
    <w:rsid w:val="496B149A"/>
    <w:rsid w:val="496C0591"/>
    <w:rsid w:val="49706721"/>
    <w:rsid w:val="49726A9E"/>
    <w:rsid w:val="49757894"/>
    <w:rsid w:val="497C4C12"/>
    <w:rsid w:val="497F6C8A"/>
    <w:rsid w:val="49853C40"/>
    <w:rsid w:val="498C5CB0"/>
    <w:rsid w:val="498F4213"/>
    <w:rsid w:val="49902920"/>
    <w:rsid w:val="4993373F"/>
    <w:rsid w:val="49942410"/>
    <w:rsid w:val="499A2EFC"/>
    <w:rsid w:val="499B480D"/>
    <w:rsid w:val="49A26BBC"/>
    <w:rsid w:val="49A5247F"/>
    <w:rsid w:val="49A95790"/>
    <w:rsid w:val="49AA7891"/>
    <w:rsid w:val="49AE2AA6"/>
    <w:rsid w:val="49AE6607"/>
    <w:rsid w:val="49B06B1E"/>
    <w:rsid w:val="49B706D6"/>
    <w:rsid w:val="49C33727"/>
    <w:rsid w:val="49C45BC8"/>
    <w:rsid w:val="49C74C03"/>
    <w:rsid w:val="49CA0019"/>
    <w:rsid w:val="49CB3958"/>
    <w:rsid w:val="49CB7D66"/>
    <w:rsid w:val="49CE3FAB"/>
    <w:rsid w:val="49D000D9"/>
    <w:rsid w:val="49D163B6"/>
    <w:rsid w:val="49D44856"/>
    <w:rsid w:val="49D72F1E"/>
    <w:rsid w:val="49DB0D9A"/>
    <w:rsid w:val="49DD4D27"/>
    <w:rsid w:val="49DF4E7A"/>
    <w:rsid w:val="49E11E26"/>
    <w:rsid w:val="49E54A1A"/>
    <w:rsid w:val="49E66CBE"/>
    <w:rsid w:val="49EC689E"/>
    <w:rsid w:val="49F132A8"/>
    <w:rsid w:val="49F625CA"/>
    <w:rsid w:val="49FC14C3"/>
    <w:rsid w:val="49FE1B25"/>
    <w:rsid w:val="49FE7016"/>
    <w:rsid w:val="4A003276"/>
    <w:rsid w:val="4A00584D"/>
    <w:rsid w:val="4A0260AA"/>
    <w:rsid w:val="4A044DB2"/>
    <w:rsid w:val="4A053032"/>
    <w:rsid w:val="4A061B8F"/>
    <w:rsid w:val="4A0E51D1"/>
    <w:rsid w:val="4A0F5FA6"/>
    <w:rsid w:val="4A12360D"/>
    <w:rsid w:val="4A123665"/>
    <w:rsid w:val="4A130887"/>
    <w:rsid w:val="4A1427D0"/>
    <w:rsid w:val="4A166FD8"/>
    <w:rsid w:val="4A1A5FCA"/>
    <w:rsid w:val="4A1F3581"/>
    <w:rsid w:val="4A2159B4"/>
    <w:rsid w:val="4A2200BB"/>
    <w:rsid w:val="4A222A61"/>
    <w:rsid w:val="4A2501A6"/>
    <w:rsid w:val="4A251205"/>
    <w:rsid w:val="4A26038E"/>
    <w:rsid w:val="4A266524"/>
    <w:rsid w:val="4A2753E2"/>
    <w:rsid w:val="4A280DAA"/>
    <w:rsid w:val="4A2B1B28"/>
    <w:rsid w:val="4A2B487F"/>
    <w:rsid w:val="4A2C4DAC"/>
    <w:rsid w:val="4A324A7B"/>
    <w:rsid w:val="4A3605A8"/>
    <w:rsid w:val="4A392FB7"/>
    <w:rsid w:val="4A414CAC"/>
    <w:rsid w:val="4A415C12"/>
    <w:rsid w:val="4A420F8B"/>
    <w:rsid w:val="4A4F42FA"/>
    <w:rsid w:val="4A500358"/>
    <w:rsid w:val="4A5865C5"/>
    <w:rsid w:val="4A595408"/>
    <w:rsid w:val="4A5C2802"/>
    <w:rsid w:val="4A5C58CD"/>
    <w:rsid w:val="4A5D0A54"/>
    <w:rsid w:val="4A6234A0"/>
    <w:rsid w:val="4A631398"/>
    <w:rsid w:val="4A65390E"/>
    <w:rsid w:val="4A656B32"/>
    <w:rsid w:val="4A6D67BB"/>
    <w:rsid w:val="4A6F2535"/>
    <w:rsid w:val="4A6F6644"/>
    <w:rsid w:val="4A6F69D9"/>
    <w:rsid w:val="4A70581D"/>
    <w:rsid w:val="4A730F86"/>
    <w:rsid w:val="4A7852C9"/>
    <w:rsid w:val="4A7E6C1C"/>
    <w:rsid w:val="4A85086E"/>
    <w:rsid w:val="4A86195D"/>
    <w:rsid w:val="4A8B0324"/>
    <w:rsid w:val="4A8C0F28"/>
    <w:rsid w:val="4A8D12B2"/>
    <w:rsid w:val="4A98212A"/>
    <w:rsid w:val="4A9F1735"/>
    <w:rsid w:val="4AA178A4"/>
    <w:rsid w:val="4AAA5BF1"/>
    <w:rsid w:val="4AAB0A9D"/>
    <w:rsid w:val="4AAC2896"/>
    <w:rsid w:val="4AAC790C"/>
    <w:rsid w:val="4AAD3836"/>
    <w:rsid w:val="4AAD756D"/>
    <w:rsid w:val="4AAE2778"/>
    <w:rsid w:val="4AAF563A"/>
    <w:rsid w:val="4AB114D1"/>
    <w:rsid w:val="4AB25E80"/>
    <w:rsid w:val="4AB4263E"/>
    <w:rsid w:val="4AB538A0"/>
    <w:rsid w:val="4ABD5F26"/>
    <w:rsid w:val="4AC231E8"/>
    <w:rsid w:val="4AC317DB"/>
    <w:rsid w:val="4AC5484B"/>
    <w:rsid w:val="4ACA79D2"/>
    <w:rsid w:val="4ACB3DE8"/>
    <w:rsid w:val="4ACD19C1"/>
    <w:rsid w:val="4ACE3B85"/>
    <w:rsid w:val="4AD05DB7"/>
    <w:rsid w:val="4AD74D6D"/>
    <w:rsid w:val="4ADA66F8"/>
    <w:rsid w:val="4ADD78EE"/>
    <w:rsid w:val="4AE222D8"/>
    <w:rsid w:val="4AE31D46"/>
    <w:rsid w:val="4AE651BC"/>
    <w:rsid w:val="4AE961C3"/>
    <w:rsid w:val="4AEA6060"/>
    <w:rsid w:val="4AEC20BF"/>
    <w:rsid w:val="4AED3642"/>
    <w:rsid w:val="4AEE730A"/>
    <w:rsid w:val="4AF23864"/>
    <w:rsid w:val="4AF56CCD"/>
    <w:rsid w:val="4AF964AC"/>
    <w:rsid w:val="4AFB25F4"/>
    <w:rsid w:val="4AFC130F"/>
    <w:rsid w:val="4AFE502C"/>
    <w:rsid w:val="4B011FA9"/>
    <w:rsid w:val="4B045B9E"/>
    <w:rsid w:val="4B074E64"/>
    <w:rsid w:val="4B0B4954"/>
    <w:rsid w:val="4B1C0DFD"/>
    <w:rsid w:val="4B212FDA"/>
    <w:rsid w:val="4B231BB8"/>
    <w:rsid w:val="4B241572"/>
    <w:rsid w:val="4B241704"/>
    <w:rsid w:val="4B266A25"/>
    <w:rsid w:val="4B272E10"/>
    <w:rsid w:val="4B275A6C"/>
    <w:rsid w:val="4B2947A7"/>
    <w:rsid w:val="4B297109"/>
    <w:rsid w:val="4B352839"/>
    <w:rsid w:val="4B3F361C"/>
    <w:rsid w:val="4B41116E"/>
    <w:rsid w:val="4B412855"/>
    <w:rsid w:val="4B454C73"/>
    <w:rsid w:val="4B4B4628"/>
    <w:rsid w:val="4B4C0537"/>
    <w:rsid w:val="4B504C5F"/>
    <w:rsid w:val="4B5103CA"/>
    <w:rsid w:val="4B513B8E"/>
    <w:rsid w:val="4B566BBF"/>
    <w:rsid w:val="4B5742AC"/>
    <w:rsid w:val="4B5841A3"/>
    <w:rsid w:val="4B630A70"/>
    <w:rsid w:val="4B654C84"/>
    <w:rsid w:val="4B6F1DDF"/>
    <w:rsid w:val="4B6F2E4C"/>
    <w:rsid w:val="4B761FCE"/>
    <w:rsid w:val="4B77365F"/>
    <w:rsid w:val="4B7A48E4"/>
    <w:rsid w:val="4B7E130E"/>
    <w:rsid w:val="4B831A9E"/>
    <w:rsid w:val="4B8E0689"/>
    <w:rsid w:val="4B8E1C2C"/>
    <w:rsid w:val="4B922E10"/>
    <w:rsid w:val="4B957999"/>
    <w:rsid w:val="4B962B65"/>
    <w:rsid w:val="4B991AB6"/>
    <w:rsid w:val="4BA03FAF"/>
    <w:rsid w:val="4BA111F2"/>
    <w:rsid w:val="4BA63B25"/>
    <w:rsid w:val="4BA952F4"/>
    <w:rsid w:val="4BAA661E"/>
    <w:rsid w:val="4BAC7EBB"/>
    <w:rsid w:val="4BAD63E7"/>
    <w:rsid w:val="4BAE52DF"/>
    <w:rsid w:val="4BB102D1"/>
    <w:rsid w:val="4BB16AC2"/>
    <w:rsid w:val="4BB203A4"/>
    <w:rsid w:val="4BB605B3"/>
    <w:rsid w:val="4BB71A4B"/>
    <w:rsid w:val="4BB72059"/>
    <w:rsid w:val="4BBD40AD"/>
    <w:rsid w:val="4BBD6207"/>
    <w:rsid w:val="4BC321AB"/>
    <w:rsid w:val="4BCC6048"/>
    <w:rsid w:val="4BCF39AA"/>
    <w:rsid w:val="4BD30B5C"/>
    <w:rsid w:val="4BD41187"/>
    <w:rsid w:val="4BD55703"/>
    <w:rsid w:val="4BD65A41"/>
    <w:rsid w:val="4BD738C6"/>
    <w:rsid w:val="4BDF36EB"/>
    <w:rsid w:val="4BDF60F2"/>
    <w:rsid w:val="4BEA149C"/>
    <w:rsid w:val="4BEA157E"/>
    <w:rsid w:val="4BEF5D0F"/>
    <w:rsid w:val="4BF02EBC"/>
    <w:rsid w:val="4BF746D6"/>
    <w:rsid w:val="4BF85249"/>
    <w:rsid w:val="4BF94D2D"/>
    <w:rsid w:val="4BFC6D5F"/>
    <w:rsid w:val="4BFF3216"/>
    <w:rsid w:val="4C0B48DB"/>
    <w:rsid w:val="4C0C5CDF"/>
    <w:rsid w:val="4C0D5342"/>
    <w:rsid w:val="4C122A2C"/>
    <w:rsid w:val="4C161994"/>
    <w:rsid w:val="4C1701CB"/>
    <w:rsid w:val="4C171809"/>
    <w:rsid w:val="4C177328"/>
    <w:rsid w:val="4C1B0DA1"/>
    <w:rsid w:val="4C1B1B47"/>
    <w:rsid w:val="4C213FDF"/>
    <w:rsid w:val="4C231829"/>
    <w:rsid w:val="4C2709D5"/>
    <w:rsid w:val="4C2832E3"/>
    <w:rsid w:val="4C290C02"/>
    <w:rsid w:val="4C2D2B22"/>
    <w:rsid w:val="4C2F2461"/>
    <w:rsid w:val="4C301514"/>
    <w:rsid w:val="4C36163B"/>
    <w:rsid w:val="4C3C1F68"/>
    <w:rsid w:val="4C443DFB"/>
    <w:rsid w:val="4C516396"/>
    <w:rsid w:val="4C5A6997"/>
    <w:rsid w:val="4C5D3739"/>
    <w:rsid w:val="4C632626"/>
    <w:rsid w:val="4C655C92"/>
    <w:rsid w:val="4C6759FA"/>
    <w:rsid w:val="4C696C89"/>
    <w:rsid w:val="4C6F5D25"/>
    <w:rsid w:val="4C6F6879"/>
    <w:rsid w:val="4C7232CF"/>
    <w:rsid w:val="4C770B37"/>
    <w:rsid w:val="4C830E0A"/>
    <w:rsid w:val="4C8659C9"/>
    <w:rsid w:val="4C891F91"/>
    <w:rsid w:val="4C8A4960"/>
    <w:rsid w:val="4C8D5752"/>
    <w:rsid w:val="4C8F1F8C"/>
    <w:rsid w:val="4C905B6E"/>
    <w:rsid w:val="4C92229B"/>
    <w:rsid w:val="4C943BD1"/>
    <w:rsid w:val="4C95638E"/>
    <w:rsid w:val="4C962DB9"/>
    <w:rsid w:val="4C964E25"/>
    <w:rsid w:val="4C9A0120"/>
    <w:rsid w:val="4C9A6BF5"/>
    <w:rsid w:val="4C9D5FEE"/>
    <w:rsid w:val="4CA073F9"/>
    <w:rsid w:val="4CAD28AC"/>
    <w:rsid w:val="4CAD4967"/>
    <w:rsid w:val="4CB01C58"/>
    <w:rsid w:val="4CB132D9"/>
    <w:rsid w:val="4CB37892"/>
    <w:rsid w:val="4CB41C61"/>
    <w:rsid w:val="4CB719DE"/>
    <w:rsid w:val="4CBB7555"/>
    <w:rsid w:val="4CBE2880"/>
    <w:rsid w:val="4CC505B3"/>
    <w:rsid w:val="4CC6233B"/>
    <w:rsid w:val="4CCA7433"/>
    <w:rsid w:val="4CCB3A67"/>
    <w:rsid w:val="4CCC13A3"/>
    <w:rsid w:val="4CCE78C8"/>
    <w:rsid w:val="4CD36F62"/>
    <w:rsid w:val="4CD67425"/>
    <w:rsid w:val="4CDD45A7"/>
    <w:rsid w:val="4CDE6891"/>
    <w:rsid w:val="4CE76FC4"/>
    <w:rsid w:val="4CE80C1D"/>
    <w:rsid w:val="4CE852A4"/>
    <w:rsid w:val="4CEA0599"/>
    <w:rsid w:val="4CF755CD"/>
    <w:rsid w:val="4CFD17E2"/>
    <w:rsid w:val="4D012E90"/>
    <w:rsid w:val="4D025F03"/>
    <w:rsid w:val="4D0924A6"/>
    <w:rsid w:val="4D094F8A"/>
    <w:rsid w:val="4D0A6437"/>
    <w:rsid w:val="4D0C54BE"/>
    <w:rsid w:val="4D0E12B6"/>
    <w:rsid w:val="4D0F3C51"/>
    <w:rsid w:val="4D100AA0"/>
    <w:rsid w:val="4D121D0D"/>
    <w:rsid w:val="4D127A5A"/>
    <w:rsid w:val="4D140C8C"/>
    <w:rsid w:val="4D15772C"/>
    <w:rsid w:val="4D183358"/>
    <w:rsid w:val="4D186B2E"/>
    <w:rsid w:val="4D196522"/>
    <w:rsid w:val="4D1E5F54"/>
    <w:rsid w:val="4D1E7B82"/>
    <w:rsid w:val="4D1F27D9"/>
    <w:rsid w:val="4D21091F"/>
    <w:rsid w:val="4D2603B8"/>
    <w:rsid w:val="4D27361F"/>
    <w:rsid w:val="4D277748"/>
    <w:rsid w:val="4D3B114A"/>
    <w:rsid w:val="4D3D691B"/>
    <w:rsid w:val="4D3F13AF"/>
    <w:rsid w:val="4D4128AF"/>
    <w:rsid w:val="4D5005B7"/>
    <w:rsid w:val="4D51329A"/>
    <w:rsid w:val="4D516C73"/>
    <w:rsid w:val="4D556060"/>
    <w:rsid w:val="4D575C3D"/>
    <w:rsid w:val="4D5D4CB1"/>
    <w:rsid w:val="4D5F7EFC"/>
    <w:rsid w:val="4D655B8B"/>
    <w:rsid w:val="4D7768A5"/>
    <w:rsid w:val="4D7C2690"/>
    <w:rsid w:val="4D7F302E"/>
    <w:rsid w:val="4D831401"/>
    <w:rsid w:val="4D8D7DD2"/>
    <w:rsid w:val="4D940B89"/>
    <w:rsid w:val="4D9725D8"/>
    <w:rsid w:val="4D9D5BCF"/>
    <w:rsid w:val="4D9E3D16"/>
    <w:rsid w:val="4D9F35FB"/>
    <w:rsid w:val="4DA80AAF"/>
    <w:rsid w:val="4DAB25B5"/>
    <w:rsid w:val="4DAB28AD"/>
    <w:rsid w:val="4DAB2A4D"/>
    <w:rsid w:val="4DAC5A54"/>
    <w:rsid w:val="4DAE1981"/>
    <w:rsid w:val="4DAE4B49"/>
    <w:rsid w:val="4DAF3634"/>
    <w:rsid w:val="4DB51048"/>
    <w:rsid w:val="4DBD7A5B"/>
    <w:rsid w:val="4DBE6C81"/>
    <w:rsid w:val="4DBF722D"/>
    <w:rsid w:val="4DC3076C"/>
    <w:rsid w:val="4DCB3E23"/>
    <w:rsid w:val="4DCE39EE"/>
    <w:rsid w:val="4DD15A65"/>
    <w:rsid w:val="4DD529E8"/>
    <w:rsid w:val="4DDE152D"/>
    <w:rsid w:val="4DE1199C"/>
    <w:rsid w:val="4DE12317"/>
    <w:rsid w:val="4DE90DCA"/>
    <w:rsid w:val="4DEA00A3"/>
    <w:rsid w:val="4DF6093A"/>
    <w:rsid w:val="4DF63D9E"/>
    <w:rsid w:val="4DF7053F"/>
    <w:rsid w:val="4DF772D0"/>
    <w:rsid w:val="4DF91E8C"/>
    <w:rsid w:val="4DFB3C91"/>
    <w:rsid w:val="4DFC1884"/>
    <w:rsid w:val="4DFF348E"/>
    <w:rsid w:val="4E036238"/>
    <w:rsid w:val="4E08517B"/>
    <w:rsid w:val="4E096B99"/>
    <w:rsid w:val="4E0C33D1"/>
    <w:rsid w:val="4E0F72F0"/>
    <w:rsid w:val="4E106E7C"/>
    <w:rsid w:val="4E107FD6"/>
    <w:rsid w:val="4E1625F1"/>
    <w:rsid w:val="4E172D31"/>
    <w:rsid w:val="4E177B2D"/>
    <w:rsid w:val="4E1863E0"/>
    <w:rsid w:val="4E191136"/>
    <w:rsid w:val="4E1A43CE"/>
    <w:rsid w:val="4E1D7C7A"/>
    <w:rsid w:val="4E1E116D"/>
    <w:rsid w:val="4E1F3D9D"/>
    <w:rsid w:val="4E290C42"/>
    <w:rsid w:val="4E297013"/>
    <w:rsid w:val="4E315E41"/>
    <w:rsid w:val="4E3466D4"/>
    <w:rsid w:val="4E377314"/>
    <w:rsid w:val="4E390657"/>
    <w:rsid w:val="4E3D5447"/>
    <w:rsid w:val="4E402370"/>
    <w:rsid w:val="4E41570D"/>
    <w:rsid w:val="4E4D03A8"/>
    <w:rsid w:val="4E524476"/>
    <w:rsid w:val="4E6509D4"/>
    <w:rsid w:val="4E67382B"/>
    <w:rsid w:val="4E6A462B"/>
    <w:rsid w:val="4E6F0F5C"/>
    <w:rsid w:val="4E7069BF"/>
    <w:rsid w:val="4E737EA6"/>
    <w:rsid w:val="4E74118A"/>
    <w:rsid w:val="4E770AD5"/>
    <w:rsid w:val="4E781D4B"/>
    <w:rsid w:val="4E825003"/>
    <w:rsid w:val="4E8712BD"/>
    <w:rsid w:val="4E8A115E"/>
    <w:rsid w:val="4E8A1162"/>
    <w:rsid w:val="4E8B16B8"/>
    <w:rsid w:val="4E8B4877"/>
    <w:rsid w:val="4E8C649E"/>
    <w:rsid w:val="4E8E5B6B"/>
    <w:rsid w:val="4E915170"/>
    <w:rsid w:val="4E9A70F8"/>
    <w:rsid w:val="4EA62CB7"/>
    <w:rsid w:val="4EA77DD2"/>
    <w:rsid w:val="4EAA5526"/>
    <w:rsid w:val="4EAC328B"/>
    <w:rsid w:val="4EAD146C"/>
    <w:rsid w:val="4EAD44DF"/>
    <w:rsid w:val="4EAE6FA4"/>
    <w:rsid w:val="4EB07911"/>
    <w:rsid w:val="4EB4524E"/>
    <w:rsid w:val="4EB71580"/>
    <w:rsid w:val="4EBE6C65"/>
    <w:rsid w:val="4EC37EBA"/>
    <w:rsid w:val="4EC8490A"/>
    <w:rsid w:val="4EC91265"/>
    <w:rsid w:val="4ECC1C84"/>
    <w:rsid w:val="4ECF206B"/>
    <w:rsid w:val="4ED02E3F"/>
    <w:rsid w:val="4ED25385"/>
    <w:rsid w:val="4ED4738D"/>
    <w:rsid w:val="4ED63F2E"/>
    <w:rsid w:val="4EDE2B0D"/>
    <w:rsid w:val="4EDE37F8"/>
    <w:rsid w:val="4EE37E05"/>
    <w:rsid w:val="4EE93F6E"/>
    <w:rsid w:val="4EF827CB"/>
    <w:rsid w:val="4EF93E3D"/>
    <w:rsid w:val="4EFD4921"/>
    <w:rsid w:val="4F032FBE"/>
    <w:rsid w:val="4F045741"/>
    <w:rsid w:val="4F0B24A7"/>
    <w:rsid w:val="4F0C0C9A"/>
    <w:rsid w:val="4F0C4350"/>
    <w:rsid w:val="4F0F42E7"/>
    <w:rsid w:val="4F141A27"/>
    <w:rsid w:val="4F197354"/>
    <w:rsid w:val="4F1F09CE"/>
    <w:rsid w:val="4F2034BB"/>
    <w:rsid w:val="4F2C2807"/>
    <w:rsid w:val="4F2E0C11"/>
    <w:rsid w:val="4F2E6991"/>
    <w:rsid w:val="4F3153AB"/>
    <w:rsid w:val="4F3462BE"/>
    <w:rsid w:val="4F350C8E"/>
    <w:rsid w:val="4F3604DC"/>
    <w:rsid w:val="4F3B2E6C"/>
    <w:rsid w:val="4F3F3E33"/>
    <w:rsid w:val="4F4018CC"/>
    <w:rsid w:val="4F41765B"/>
    <w:rsid w:val="4F4179B0"/>
    <w:rsid w:val="4F42368B"/>
    <w:rsid w:val="4F474245"/>
    <w:rsid w:val="4F495F8A"/>
    <w:rsid w:val="4F4C759F"/>
    <w:rsid w:val="4F4F0B0D"/>
    <w:rsid w:val="4F5016D0"/>
    <w:rsid w:val="4F5751DD"/>
    <w:rsid w:val="4F580A49"/>
    <w:rsid w:val="4F5A3B0B"/>
    <w:rsid w:val="4F5A7C58"/>
    <w:rsid w:val="4F5B1A36"/>
    <w:rsid w:val="4F634C25"/>
    <w:rsid w:val="4F634D2B"/>
    <w:rsid w:val="4F643DD7"/>
    <w:rsid w:val="4F64546F"/>
    <w:rsid w:val="4F6477E2"/>
    <w:rsid w:val="4F67408E"/>
    <w:rsid w:val="4F6E517F"/>
    <w:rsid w:val="4F721421"/>
    <w:rsid w:val="4F755951"/>
    <w:rsid w:val="4F765487"/>
    <w:rsid w:val="4F826677"/>
    <w:rsid w:val="4F8A0E98"/>
    <w:rsid w:val="4F906EF5"/>
    <w:rsid w:val="4F910F64"/>
    <w:rsid w:val="4F971291"/>
    <w:rsid w:val="4F98148A"/>
    <w:rsid w:val="4F982F2A"/>
    <w:rsid w:val="4F9D09E1"/>
    <w:rsid w:val="4F9E09D0"/>
    <w:rsid w:val="4F9E4BA3"/>
    <w:rsid w:val="4FA107FD"/>
    <w:rsid w:val="4FAA0070"/>
    <w:rsid w:val="4FAD5FDA"/>
    <w:rsid w:val="4FAE3623"/>
    <w:rsid w:val="4FB2301B"/>
    <w:rsid w:val="4FB259B6"/>
    <w:rsid w:val="4FB30374"/>
    <w:rsid w:val="4FB4125C"/>
    <w:rsid w:val="4FB47210"/>
    <w:rsid w:val="4FB67674"/>
    <w:rsid w:val="4FB705BE"/>
    <w:rsid w:val="4FB76E58"/>
    <w:rsid w:val="4FB95563"/>
    <w:rsid w:val="4FBC5634"/>
    <w:rsid w:val="4FBF195C"/>
    <w:rsid w:val="4FBF2F25"/>
    <w:rsid w:val="4FC14990"/>
    <w:rsid w:val="4FC17B1D"/>
    <w:rsid w:val="4FC20290"/>
    <w:rsid w:val="4FC414E8"/>
    <w:rsid w:val="4FCD6E3C"/>
    <w:rsid w:val="4FCF24CA"/>
    <w:rsid w:val="4FCF5CB8"/>
    <w:rsid w:val="4FD10AF6"/>
    <w:rsid w:val="4FD33727"/>
    <w:rsid w:val="4FDE2637"/>
    <w:rsid w:val="4FDF3758"/>
    <w:rsid w:val="4FDF4D7D"/>
    <w:rsid w:val="4FE3408A"/>
    <w:rsid w:val="4FE63B34"/>
    <w:rsid w:val="4FE71664"/>
    <w:rsid w:val="4FE90CD6"/>
    <w:rsid w:val="4FEF044D"/>
    <w:rsid w:val="4FF74B1E"/>
    <w:rsid w:val="4FFA5757"/>
    <w:rsid w:val="4FFA7CCA"/>
    <w:rsid w:val="4FFC1F76"/>
    <w:rsid w:val="50006381"/>
    <w:rsid w:val="5002755A"/>
    <w:rsid w:val="500961EE"/>
    <w:rsid w:val="500C3E08"/>
    <w:rsid w:val="500E5F9E"/>
    <w:rsid w:val="501222E0"/>
    <w:rsid w:val="5012334C"/>
    <w:rsid w:val="501763B1"/>
    <w:rsid w:val="50186367"/>
    <w:rsid w:val="50186FE7"/>
    <w:rsid w:val="50195729"/>
    <w:rsid w:val="501A646E"/>
    <w:rsid w:val="501B3532"/>
    <w:rsid w:val="501D1621"/>
    <w:rsid w:val="50231AD5"/>
    <w:rsid w:val="502B18D0"/>
    <w:rsid w:val="50360FBF"/>
    <w:rsid w:val="50382626"/>
    <w:rsid w:val="503B32FA"/>
    <w:rsid w:val="503D639E"/>
    <w:rsid w:val="503F0745"/>
    <w:rsid w:val="50414974"/>
    <w:rsid w:val="504306EC"/>
    <w:rsid w:val="5043638B"/>
    <w:rsid w:val="50464B92"/>
    <w:rsid w:val="50490C0D"/>
    <w:rsid w:val="50512FA4"/>
    <w:rsid w:val="50553032"/>
    <w:rsid w:val="50560BF3"/>
    <w:rsid w:val="50571C13"/>
    <w:rsid w:val="505C3F85"/>
    <w:rsid w:val="50602EB0"/>
    <w:rsid w:val="50623B6E"/>
    <w:rsid w:val="50633ACD"/>
    <w:rsid w:val="5065582A"/>
    <w:rsid w:val="506857EC"/>
    <w:rsid w:val="5068760C"/>
    <w:rsid w:val="506876C8"/>
    <w:rsid w:val="50687B4B"/>
    <w:rsid w:val="50690D44"/>
    <w:rsid w:val="506A01CC"/>
    <w:rsid w:val="506B345B"/>
    <w:rsid w:val="5070005A"/>
    <w:rsid w:val="50710F57"/>
    <w:rsid w:val="50716206"/>
    <w:rsid w:val="507F1DA0"/>
    <w:rsid w:val="50810775"/>
    <w:rsid w:val="5082522C"/>
    <w:rsid w:val="50835F85"/>
    <w:rsid w:val="508719A2"/>
    <w:rsid w:val="508916D6"/>
    <w:rsid w:val="5097088B"/>
    <w:rsid w:val="509715AE"/>
    <w:rsid w:val="509F0C10"/>
    <w:rsid w:val="50A3011C"/>
    <w:rsid w:val="50A63AE6"/>
    <w:rsid w:val="50A65D29"/>
    <w:rsid w:val="50A8576D"/>
    <w:rsid w:val="50A9504F"/>
    <w:rsid w:val="50AD4318"/>
    <w:rsid w:val="50AD6FF7"/>
    <w:rsid w:val="50AF7B7E"/>
    <w:rsid w:val="50B000F7"/>
    <w:rsid w:val="50B138A7"/>
    <w:rsid w:val="50B142BF"/>
    <w:rsid w:val="50B2048C"/>
    <w:rsid w:val="50B36B51"/>
    <w:rsid w:val="50B4474A"/>
    <w:rsid w:val="50B46DA8"/>
    <w:rsid w:val="50B50BD4"/>
    <w:rsid w:val="50B74C36"/>
    <w:rsid w:val="50B76A2F"/>
    <w:rsid w:val="50B8736D"/>
    <w:rsid w:val="50B906B0"/>
    <w:rsid w:val="50B926E8"/>
    <w:rsid w:val="50BE01AC"/>
    <w:rsid w:val="50BF242F"/>
    <w:rsid w:val="50C51F04"/>
    <w:rsid w:val="50C83C7B"/>
    <w:rsid w:val="50C83CC9"/>
    <w:rsid w:val="50CA77DF"/>
    <w:rsid w:val="50CE1A30"/>
    <w:rsid w:val="50CF6134"/>
    <w:rsid w:val="50D2096F"/>
    <w:rsid w:val="50D67DEC"/>
    <w:rsid w:val="50D80092"/>
    <w:rsid w:val="50DB0277"/>
    <w:rsid w:val="50DF2513"/>
    <w:rsid w:val="50E3440D"/>
    <w:rsid w:val="50E65546"/>
    <w:rsid w:val="50E9636A"/>
    <w:rsid w:val="50EF1696"/>
    <w:rsid w:val="50EF7B34"/>
    <w:rsid w:val="50F10148"/>
    <w:rsid w:val="50F4791B"/>
    <w:rsid w:val="50F77B7F"/>
    <w:rsid w:val="51016713"/>
    <w:rsid w:val="51030C38"/>
    <w:rsid w:val="51034438"/>
    <w:rsid w:val="51061F0F"/>
    <w:rsid w:val="51093B4B"/>
    <w:rsid w:val="510D16C4"/>
    <w:rsid w:val="510D61EA"/>
    <w:rsid w:val="510F11CE"/>
    <w:rsid w:val="510F1728"/>
    <w:rsid w:val="51130E8A"/>
    <w:rsid w:val="51137848"/>
    <w:rsid w:val="51156C40"/>
    <w:rsid w:val="51163817"/>
    <w:rsid w:val="51185520"/>
    <w:rsid w:val="511904FB"/>
    <w:rsid w:val="51192E37"/>
    <w:rsid w:val="511A6C59"/>
    <w:rsid w:val="511E0D58"/>
    <w:rsid w:val="5122416C"/>
    <w:rsid w:val="5124260D"/>
    <w:rsid w:val="51275918"/>
    <w:rsid w:val="512A3195"/>
    <w:rsid w:val="512D0E0C"/>
    <w:rsid w:val="512E382B"/>
    <w:rsid w:val="512F1E73"/>
    <w:rsid w:val="51305870"/>
    <w:rsid w:val="51305A13"/>
    <w:rsid w:val="513064CD"/>
    <w:rsid w:val="51324C38"/>
    <w:rsid w:val="5133561D"/>
    <w:rsid w:val="51336CBD"/>
    <w:rsid w:val="513D5E4B"/>
    <w:rsid w:val="513D7D8C"/>
    <w:rsid w:val="513F75DA"/>
    <w:rsid w:val="51404025"/>
    <w:rsid w:val="51420281"/>
    <w:rsid w:val="51426F6C"/>
    <w:rsid w:val="514439B2"/>
    <w:rsid w:val="514B370C"/>
    <w:rsid w:val="514C679A"/>
    <w:rsid w:val="514E3D68"/>
    <w:rsid w:val="514F097C"/>
    <w:rsid w:val="515228E2"/>
    <w:rsid w:val="51522BEB"/>
    <w:rsid w:val="51533714"/>
    <w:rsid w:val="51535E92"/>
    <w:rsid w:val="51537102"/>
    <w:rsid w:val="515526C6"/>
    <w:rsid w:val="51583D9F"/>
    <w:rsid w:val="51584E7B"/>
    <w:rsid w:val="515B667C"/>
    <w:rsid w:val="51603591"/>
    <w:rsid w:val="51617E30"/>
    <w:rsid w:val="51625CA1"/>
    <w:rsid w:val="516B509D"/>
    <w:rsid w:val="51751A9E"/>
    <w:rsid w:val="51791996"/>
    <w:rsid w:val="517A314D"/>
    <w:rsid w:val="517F1949"/>
    <w:rsid w:val="51831906"/>
    <w:rsid w:val="5189111D"/>
    <w:rsid w:val="518E3BE9"/>
    <w:rsid w:val="518F01D5"/>
    <w:rsid w:val="51927DC3"/>
    <w:rsid w:val="5193652E"/>
    <w:rsid w:val="51944A7A"/>
    <w:rsid w:val="519D6870"/>
    <w:rsid w:val="51A30D66"/>
    <w:rsid w:val="51AA2121"/>
    <w:rsid w:val="51AB35DA"/>
    <w:rsid w:val="51AE4DAB"/>
    <w:rsid w:val="51B20EC2"/>
    <w:rsid w:val="51B541DD"/>
    <w:rsid w:val="51B77B3D"/>
    <w:rsid w:val="51BD44CE"/>
    <w:rsid w:val="51CB1434"/>
    <w:rsid w:val="51CC19BA"/>
    <w:rsid w:val="51D32A54"/>
    <w:rsid w:val="51D63C37"/>
    <w:rsid w:val="51D90B5E"/>
    <w:rsid w:val="51DF6292"/>
    <w:rsid w:val="51E0754D"/>
    <w:rsid w:val="51E516FB"/>
    <w:rsid w:val="51E56A77"/>
    <w:rsid w:val="51E6376D"/>
    <w:rsid w:val="51E72730"/>
    <w:rsid w:val="51E73465"/>
    <w:rsid w:val="51E836DD"/>
    <w:rsid w:val="51EC49F7"/>
    <w:rsid w:val="51EE2144"/>
    <w:rsid w:val="51F10A82"/>
    <w:rsid w:val="51F1542B"/>
    <w:rsid w:val="51FA1B15"/>
    <w:rsid w:val="51FE0D6E"/>
    <w:rsid w:val="52043EAB"/>
    <w:rsid w:val="520A71A8"/>
    <w:rsid w:val="520D5E41"/>
    <w:rsid w:val="520F564C"/>
    <w:rsid w:val="521420E7"/>
    <w:rsid w:val="52211A75"/>
    <w:rsid w:val="52211ADF"/>
    <w:rsid w:val="52293694"/>
    <w:rsid w:val="522A5A6E"/>
    <w:rsid w:val="522B58DB"/>
    <w:rsid w:val="52304CA0"/>
    <w:rsid w:val="5236034F"/>
    <w:rsid w:val="523D053A"/>
    <w:rsid w:val="523F443A"/>
    <w:rsid w:val="52433F82"/>
    <w:rsid w:val="52470557"/>
    <w:rsid w:val="52485326"/>
    <w:rsid w:val="52495AA5"/>
    <w:rsid w:val="52535663"/>
    <w:rsid w:val="52564D7C"/>
    <w:rsid w:val="525D1F5C"/>
    <w:rsid w:val="525F1C36"/>
    <w:rsid w:val="52601832"/>
    <w:rsid w:val="52603172"/>
    <w:rsid w:val="52605997"/>
    <w:rsid w:val="526C53D9"/>
    <w:rsid w:val="52732ADD"/>
    <w:rsid w:val="52790915"/>
    <w:rsid w:val="527C3337"/>
    <w:rsid w:val="52847F7E"/>
    <w:rsid w:val="528608DE"/>
    <w:rsid w:val="528F7DA7"/>
    <w:rsid w:val="529143F3"/>
    <w:rsid w:val="529D1628"/>
    <w:rsid w:val="52A72E20"/>
    <w:rsid w:val="52AD5CDA"/>
    <w:rsid w:val="52AF0AD2"/>
    <w:rsid w:val="52BA3695"/>
    <w:rsid w:val="52BF0E09"/>
    <w:rsid w:val="52C032A0"/>
    <w:rsid w:val="52C113BB"/>
    <w:rsid w:val="52CD082D"/>
    <w:rsid w:val="52CE166E"/>
    <w:rsid w:val="52D31D25"/>
    <w:rsid w:val="52D44852"/>
    <w:rsid w:val="52D7699F"/>
    <w:rsid w:val="52DA76DF"/>
    <w:rsid w:val="52DC0C5C"/>
    <w:rsid w:val="52E24588"/>
    <w:rsid w:val="52E87D4E"/>
    <w:rsid w:val="52E9057D"/>
    <w:rsid w:val="52F93135"/>
    <w:rsid w:val="531110DD"/>
    <w:rsid w:val="53133C93"/>
    <w:rsid w:val="5321574E"/>
    <w:rsid w:val="5328581D"/>
    <w:rsid w:val="53285977"/>
    <w:rsid w:val="53295801"/>
    <w:rsid w:val="532A7FC2"/>
    <w:rsid w:val="532C7E5A"/>
    <w:rsid w:val="532D11C2"/>
    <w:rsid w:val="532D3CA6"/>
    <w:rsid w:val="532E62C3"/>
    <w:rsid w:val="533208E2"/>
    <w:rsid w:val="53343551"/>
    <w:rsid w:val="53347B58"/>
    <w:rsid w:val="53355755"/>
    <w:rsid w:val="5336412B"/>
    <w:rsid w:val="533D2D06"/>
    <w:rsid w:val="533E5903"/>
    <w:rsid w:val="534502C9"/>
    <w:rsid w:val="534564B5"/>
    <w:rsid w:val="53480B32"/>
    <w:rsid w:val="53575D7E"/>
    <w:rsid w:val="535B53A4"/>
    <w:rsid w:val="535D3AC3"/>
    <w:rsid w:val="536166BB"/>
    <w:rsid w:val="5362484C"/>
    <w:rsid w:val="536270DB"/>
    <w:rsid w:val="536404F3"/>
    <w:rsid w:val="5368593A"/>
    <w:rsid w:val="536E3DAD"/>
    <w:rsid w:val="53713A6D"/>
    <w:rsid w:val="53755060"/>
    <w:rsid w:val="5376610F"/>
    <w:rsid w:val="537816A2"/>
    <w:rsid w:val="5378553D"/>
    <w:rsid w:val="53785854"/>
    <w:rsid w:val="53786C32"/>
    <w:rsid w:val="53794101"/>
    <w:rsid w:val="537A3FD3"/>
    <w:rsid w:val="537A4860"/>
    <w:rsid w:val="537C6EE3"/>
    <w:rsid w:val="5385101B"/>
    <w:rsid w:val="53856094"/>
    <w:rsid w:val="53870428"/>
    <w:rsid w:val="53877827"/>
    <w:rsid w:val="538B2880"/>
    <w:rsid w:val="538E2441"/>
    <w:rsid w:val="539205CB"/>
    <w:rsid w:val="53921C44"/>
    <w:rsid w:val="53922B2E"/>
    <w:rsid w:val="539635CE"/>
    <w:rsid w:val="53985430"/>
    <w:rsid w:val="539C48ED"/>
    <w:rsid w:val="539E2649"/>
    <w:rsid w:val="53A057B7"/>
    <w:rsid w:val="53A173B9"/>
    <w:rsid w:val="53A31A2D"/>
    <w:rsid w:val="53A530AC"/>
    <w:rsid w:val="53A72D40"/>
    <w:rsid w:val="53AB58E4"/>
    <w:rsid w:val="53AE0779"/>
    <w:rsid w:val="53B013C2"/>
    <w:rsid w:val="53B02834"/>
    <w:rsid w:val="53B11E10"/>
    <w:rsid w:val="53BE3DC8"/>
    <w:rsid w:val="53C25DCC"/>
    <w:rsid w:val="53C30389"/>
    <w:rsid w:val="53C637BD"/>
    <w:rsid w:val="53CA49C3"/>
    <w:rsid w:val="53CB1FE5"/>
    <w:rsid w:val="53D1063B"/>
    <w:rsid w:val="53D13200"/>
    <w:rsid w:val="53D417A1"/>
    <w:rsid w:val="53D42F39"/>
    <w:rsid w:val="53E3660E"/>
    <w:rsid w:val="53E52630"/>
    <w:rsid w:val="53E55791"/>
    <w:rsid w:val="53F70EE1"/>
    <w:rsid w:val="53F7423C"/>
    <w:rsid w:val="53FA4EAF"/>
    <w:rsid w:val="53FD2495"/>
    <w:rsid w:val="53FE516B"/>
    <w:rsid w:val="54034BAB"/>
    <w:rsid w:val="54040A87"/>
    <w:rsid w:val="540B3369"/>
    <w:rsid w:val="54165FAC"/>
    <w:rsid w:val="541863AF"/>
    <w:rsid w:val="54195F4B"/>
    <w:rsid w:val="541F114A"/>
    <w:rsid w:val="54231DF2"/>
    <w:rsid w:val="54267B96"/>
    <w:rsid w:val="542808DD"/>
    <w:rsid w:val="542912CA"/>
    <w:rsid w:val="54296BCB"/>
    <w:rsid w:val="542C4185"/>
    <w:rsid w:val="54304D3E"/>
    <w:rsid w:val="54307DEA"/>
    <w:rsid w:val="543157F7"/>
    <w:rsid w:val="54352338"/>
    <w:rsid w:val="54372E20"/>
    <w:rsid w:val="543821CD"/>
    <w:rsid w:val="54452E3C"/>
    <w:rsid w:val="544611D4"/>
    <w:rsid w:val="544A5DFD"/>
    <w:rsid w:val="54516AD3"/>
    <w:rsid w:val="54525FE1"/>
    <w:rsid w:val="5454330C"/>
    <w:rsid w:val="54574766"/>
    <w:rsid w:val="54576AA9"/>
    <w:rsid w:val="54587E21"/>
    <w:rsid w:val="545B2972"/>
    <w:rsid w:val="545F065E"/>
    <w:rsid w:val="546442ED"/>
    <w:rsid w:val="546A40EB"/>
    <w:rsid w:val="546F5879"/>
    <w:rsid w:val="54745318"/>
    <w:rsid w:val="54770964"/>
    <w:rsid w:val="547A5001"/>
    <w:rsid w:val="547C241E"/>
    <w:rsid w:val="54802E5B"/>
    <w:rsid w:val="548117E3"/>
    <w:rsid w:val="54817A35"/>
    <w:rsid w:val="548337AD"/>
    <w:rsid w:val="548C64EB"/>
    <w:rsid w:val="548F297A"/>
    <w:rsid w:val="5491574F"/>
    <w:rsid w:val="54925D34"/>
    <w:rsid w:val="5497488D"/>
    <w:rsid w:val="549936B3"/>
    <w:rsid w:val="549F2562"/>
    <w:rsid w:val="549F48A5"/>
    <w:rsid w:val="549F5CBE"/>
    <w:rsid w:val="54A61249"/>
    <w:rsid w:val="54A61908"/>
    <w:rsid w:val="54AC04B1"/>
    <w:rsid w:val="54AD2F5F"/>
    <w:rsid w:val="54B14A42"/>
    <w:rsid w:val="54B74C40"/>
    <w:rsid w:val="54B75204"/>
    <w:rsid w:val="54BA0E6A"/>
    <w:rsid w:val="54BB31BF"/>
    <w:rsid w:val="54BD56B1"/>
    <w:rsid w:val="54C63A22"/>
    <w:rsid w:val="54CC6E06"/>
    <w:rsid w:val="54CE59E9"/>
    <w:rsid w:val="54D86E00"/>
    <w:rsid w:val="54DA1B7C"/>
    <w:rsid w:val="54DB4FF2"/>
    <w:rsid w:val="54DC05C4"/>
    <w:rsid w:val="54E67B2D"/>
    <w:rsid w:val="54E973CF"/>
    <w:rsid w:val="54FA2B6A"/>
    <w:rsid w:val="54FB3C6D"/>
    <w:rsid w:val="54FC7D9B"/>
    <w:rsid w:val="54FD2AD8"/>
    <w:rsid w:val="550025AB"/>
    <w:rsid w:val="5502505C"/>
    <w:rsid w:val="5506770F"/>
    <w:rsid w:val="5507043F"/>
    <w:rsid w:val="55072028"/>
    <w:rsid w:val="550B3235"/>
    <w:rsid w:val="550C37A2"/>
    <w:rsid w:val="5516685E"/>
    <w:rsid w:val="55187DA9"/>
    <w:rsid w:val="551C397D"/>
    <w:rsid w:val="551F6E18"/>
    <w:rsid w:val="552520F6"/>
    <w:rsid w:val="552705DC"/>
    <w:rsid w:val="55285C13"/>
    <w:rsid w:val="55357A68"/>
    <w:rsid w:val="55391CEC"/>
    <w:rsid w:val="553A0AC3"/>
    <w:rsid w:val="553A4B7D"/>
    <w:rsid w:val="553B4C16"/>
    <w:rsid w:val="553F47DF"/>
    <w:rsid w:val="55414915"/>
    <w:rsid w:val="554215C5"/>
    <w:rsid w:val="554B794E"/>
    <w:rsid w:val="554F73E4"/>
    <w:rsid w:val="555B27AD"/>
    <w:rsid w:val="555D3E15"/>
    <w:rsid w:val="555E753A"/>
    <w:rsid w:val="55603177"/>
    <w:rsid w:val="556746D2"/>
    <w:rsid w:val="55674744"/>
    <w:rsid w:val="556B4F95"/>
    <w:rsid w:val="5572412A"/>
    <w:rsid w:val="557A73D8"/>
    <w:rsid w:val="55805F3E"/>
    <w:rsid w:val="55807CEC"/>
    <w:rsid w:val="5582650A"/>
    <w:rsid w:val="55884604"/>
    <w:rsid w:val="55910465"/>
    <w:rsid w:val="55930D64"/>
    <w:rsid w:val="55931124"/>
    <w:rsid w:val="559C12BE"/>
    <w:rsid w:val="559D0BA2"/>
    <w:rsid w:val="559E7DCD"/>
    <w:rsid w:val="55A27C63"/>
    <w:rsid w:val="55A76C0D"/>
    <w:rsid w:val="55A95268"/>
    <w:rsid w:val="55A97DE2"/>
    <w:rsid w:val="55AC1A30"/>
    <w:rsid w:val="55AF0656"/>
    <w:rsid w:val="55B145EF"/>
    <w:rsid w:val="55B1623C"/>
    <w:rsid w:val="55B33644"/>
    <w:rsid w:val="55B57A34"/>
    <w:rsid w:val="55B8491C"/>
    <w:rsid w:val="55B9422E"/>
    <w:rsid w:val="55BD4612"/>
    <w:rsid w:val="55C011F0"/>
    <w:rsid w:val="55C15A4B"/>
    <w:rsid w:val="55C45E2B"/>
    <w:rsid w:val="55C81767"/>
    <w:rsid w:val="55C8707F"/>
    <w:rsid w:val="55CA71B9"/>
    <w:rsid w:val="55CB4AFE"/>
    <w:rsid w:val="55CD6FFA"/>
    <w:rsid w:val="55CE7C21"/>
    <w:rsid w:val="55D12492"/>
    <w:rsid w:val="55D26864"/>
    <w:rsid w:val="55DC3067"/>
    <w:rsid w:val="55DD2999"/>
    <w:rsid w:val="55DE38FF"/>
    <w:rsid w:val="55DF3211"/>
    <w:rsid w:val="55E06782"/>
    <w:rsid w:val="55E55B90"/>
    <w:rsid w:val="55E96BAD"/>
    <w:rsid w:val="55ED1CE2"/>
    <w:rsid w:val="55EE6D06"/>
    <w:rsid w:val="55F06875"/>
    <w:rsid w:val="55F22950"/>
    <w:rsid w:val="55F253DD"/>
    <w:rsid w:val="55F42C43"/>
    <w:rsid w:val="55F87976"/>
    <w:rsid w:val="55F93BD0"/>
    <w:rsid w:val="55FE76CC"/>
    <w:rsid w:val="560426CB"/>
    <w:rsid w:val="561023CE"/>
    <w:rsid w:val="5610699D"/>
    <w:rsid w:val="56107D80"/>
    <w:rsid w:val="56124913"/>
    <w:rsid w:val="56143C85"/>
    <w:rsid w:val="56165A7B"/>
    <w:rsid w:val="561919FF"/>
    <w:rsid w:val="561A07DD"/>
    <w:rsid w:val="561C50E8"/>
    <w:rsid w:val="56211F70"/>
    <w:rsid w:val="56213B88"/>
    <w:rsid w:val="56244B1C"/>
    <w:rsid w:val="562468CA"/>
    <w:rsid w:val="56250708"/>
    <w:rsid w:val="56312161"/>
    <w:rsid w:val="563A64A5"/>
    <w:rsid w:val="563E607E"/>
    <w:rsid w:val="564179A5"/>
    <w:rsid w:val="56440E15"/>
    <w:rsid w:val="564859C9"/>
    <w:rsid w:val="564A07EF"/>
    <w:rsid w:val="564E18A9"/>
    <w:rsid w:val="5651586E"/>
    <w:rsid w:val="565B5D4E"/>
    <w:rsid w:val="565D56B5"/>
    <w:rsid w:val="565F44A9"/>
    <w:rsid w:val="56627F8A"/>
    <w:rsid w:val="5664093E"/>
    <w:rsid w:val="56644F18"/>
    <w:rsid w:val="5666714E"/>
    <w:rsid w:val="56681E7E"/>
    <w:rsid w:val="566B74EA"/>
    <w:rsid w:val="56723EED"/>
    <w:rsid w:val="56733FE3"/>
    <w:rsid w:val="56752BE0"/>
    <w:rsid w:val="567C6866"/>
    <w:rsid w:val="568458F0"/>
    <w:rsid w:val="568A433B"/>
    <w:rsid w:val="568A54D1"/>
    <w:rsid w:val="568B007C"/>
    <w:rsid w:val="56913E9C"/>
    <w:rsid w:val="569435A4"/>
    <w:rsid w:val="56964FC2"/>
    <w:rsid w:val="56980B77"/>
    <w:rsid w:val="569A2A3C"/>
    <w:rsid w:val="569D0323"/>
    <w:rsid w:val="569D45BC"/>
    <w:rsid w:val="56A01E5E"/>
    <w:rsid w:val="56A142B6"/>
    <w:rsid w:val="56A3391B"/>
    <w:rsid w:val="56A37038"/>
    <w:rsid w:val="56A76B4F"/>
    <w:rsid w:val="56AC2EDE"/>
    <w:rsid w:val="56B17A00"/>
    <w:rsid w:val="56B3498A"/>
    <w:rsid w:val="56B67499"/>
    <w:rsid w:val="56B91708"/>
    <w:rsid w:val="56B939C4"/>
    <w:rsid w:val="56BB1FA1"/>
    <w:rsid w:val="56BD0D21"/>
    <w:rsid w:val="56C055E9"/>
    <w:rsid w:val="56C17288"/>
    <w:rsid w:val="56C86849"/>
    <w:rsid w:val="56CA76E1"/>
    <w:rsid w:val="56CC7FEF"/>
    <w:rsid w:val="56CE1C7C"/>
    <w:rsid w:val="56CF54A1"/>
    <w:rsid w:val="56D05FAB"/>
    <w:rsid w:val="56D11919"/>
    <w:rsid w:val="56D11E28"/>
    <w:rsid w:val="56D14D7A"/>
    <w:rsid w:val="56D23AFA"/>
    <w:rsid w:val="56D76009"/>
    <w:rsid w:val="56DD711E"/>
    <w:rsid w:val="56E00ADF"/>
    <w:rsid w:val="56E04039"/>
    <w:rsid w:val="56E07A4D"/>
    <w:rsid w:val="56E71A13"/>
    <w:rsid w:val="56EC0D70"/>
    <w:rsid w:val="56EC4B6C"/>
    <w:rsid w:val="56EE3A49"/>
    <w:rsid w:val="56F269C8"/>
    <w:rsid w:val="56F32A52"/>
    <w:rsid w:val="56F63302"/>
    <w:rsid w:val="56F644BC"/>
    <w:rsid w:val="56F96069"/>
    <w:rsid w:val="56FE13DB"/>
    <w:rsid w:val="57041CEB"/>
    <w:rsid w:val="57067D18"/>
    <w:rsid w:val="57090D1E"/>
    <w:rsid w:val="57122125"/>
    <w:rsid w:val="57182D18"/>
    <w:rsid w:val="57202AA2"/>
    <w:rsid w:val="57211A62"/>
    <w:rsid w:val="572503C9"/>
    <w:rsid w:val="57294BA6"/>
    <w:rsid w:val="572C062A"/>
    <w:rsid w:val="572D17AE"/>
    <w:rsid w:val="572D2E1D"/>
    <w:rsid w:val="572D3E88"/>
    <w:rsid w:val="572F6404"/>
    <w:rsid w:val="57323C3B"/>
    <w:rsid w:val="573303A3"/>
    <w:rsid w:val="573305B4"/>
    <w:rsid w:val="57353549"/>
    <w:rsid w:val="57381AB2"/>
    <w:rsid w:val="573A3ECB"/>
    <w:rsid w:val="573C4328"/>
    <w:rsid w:val="574105C5"/>
    <w:rsid w:val="574815E5"/>
    <w:rsid w:val="57491729"/>
    <w:rsid w:val="575859F0"/>
    <w:rsid w:val="575B6F14"/>
    <w:rsid w:val="576130F0"/>
    <w:rsid w:val="57640B36"/>
    <w:rsid w:val="5764247D"/>
    <w:rsid w:val="57650F48"/>
    <w:rsid w:val="57672F12"/>
    <w:rsid w:val="576911DC"/>
    <w:rsid w:val="576C6E27"/>
    <w:rsid w:val="57762FDC"/>
    <w:rsid w:val="57792075"/>
    <w:rsid w:val="57797B2C"/>
    <w:rsid w:val="577E0DCF"/>
    <w:rsid w:val="577F0DF5"/>
    <w:rsid w:val="57823AD3"/>
    <w:rsid w:val="57846EC3"/>
    <w:rsid w:val="57862DC3"/>
    <w:rsid w:val="57881485"/>
    <w:rsid w:val="57890647"/>
    <w:rsid w:val="578B145C"/>
    <w:rsid w:val="57930939"/>
    <w:rsid w:val="579335E3"/>
    <w:rsid w:val="579427F9"/>
    <w:rsid w:val="579625BC"/>
    <w:rsid w:val="57A05CB7"/>
    <w:rsid w:val="57A16180"/>
    <w:rsid w:val="57A16858"/>
    <w:rsid w:val="57A32D59"/>
    <w:rsid w:val="57A37CC2"/>
    <w:rsid w:val="57A928C8"/>
    <w:rsid w:val="57AA5DBD"/>
    <w:rsid w:val="57AF6E1E"/>
    <w:rsid w:val="57B21B7D"/>
    <w:rsid w:val="57BA03AC"/>
    <w:rsid w:val="57BC58F7"/>
    <w:rsid w:val="57BD26A7"/>
    <w:rsid w:val="57BF5CCB"/>
    <w:rsid w:val="57C5002A"/>
    <w:rsid w:val="57C83CE2"/>
    <w:rsid w:val="57C94F29"/>
    <w:rsid w:val="57CC546B"/>
    <w:rsid w:val="57D0416C"/>
    <w:rsid w:val="57D048CE"/>
    <w:rsid w:val="57D31821"/>
    <w:rsid w:val="57D73D82"/>
    <w:rsid w:val="57D87E83"/>
    <w:rsid w:val="57DA5D13"/>
    <w:rsid w:val="57DA69E8"/>
    <w:rsid w:val="57DA7B88"/>
    <w:rsid w:val="57E24D11"/>
    <w:rsid w:val="57E47601"/>
    <w:rsid w:val="57EA5905"/>
    <w:rsid w:val="57EA7CB9"/>
    <w:rsid w:val="57F579E1"/>
    <w:rsid w:val="57F668A8"/>
    <w:rsid w:val="57F7660F"/>
    <w:rsid w:val="57FD485F"/>
    <w:rsid w:val="580115E2"/>
    <w:rsid w:val="58012915"/>
    <w:rsid w:val="5808029F"/>
    <w:rsid w:val="580A631B"/>
    <w:rsid w:val="580B22F9"/>
    <w:rsid w:val="580B5F93"/>
    <w:rsid w:val="580D01A7"/>
    <w:rsid w:val="580D48B3"/>
    <w:rsid w:val="580D6365"/>
    <w:rsid w:val="58135BAC"/>
    <w:rsid w:val="5816019A"/>
    <w:rsid w:val="581666E6"/>
    <w:rsid w:val="58191489"/>
    <w:rsid w:val="581A61D6"/>
    <w:rsid w:val="581B5AAA"/>
    <w:rsid w:val="58203D6A"/>
    <w:rsid w:val="5822762E"/>
    <w:rsid w:val="58277AE4"/>
    <w:rsid w:val="582A47DF"/>
    <w:rsid w:val="582B2D8A"/>
    <w:rsid w:val="582C7D11"/>
    <w:rsid w:val="583161FB"/>
    <w:rsid w:val="583520B5"/>
    <w:rsid w:val="58373C57"/>
    <w:rsid w:val="5837611A"/>
    <w:rsid w:val="583778F8"/>
    <w:rsid w:val="583A6B99"/>
    <w:rsid w:val="583A7680"/>
    <w:rsid w:val="583D5E72"/>
    <w:rsid w:val="584620AC"/>
    <w:rsid w:val="584E5C27"/>
    <w:rsid w:val="584F4E90"/>
    <w:rsid w:val="585131B0"/>
    <w:rsid w:val="58526CB5"/>
    <w:rsid w:val="585641A5"/>
    <w:rsid w:val="585C3664"/>
    <w:rsid w:val="585E26DE"/>
    <w:rsid w:val="58602D32"/>
    <w:rsid w:val="58631AB1"/>
    <w:rsid w:val="586364FB"/>
    <w:rsid w:val="586475B5"/>
    <w:rsid w:val="586649EB"/>
    <w:rsid w:val="586751FA"/>
    <w:rsid w:val="58676F42"/>
    <w:rsid w:val="586949C0"/>
    <w:rsid w:val="586A0685"/>
    <w:rsid w:val="587061FE"/>
    <w:rsid w:val="58713B0B"/>
    <w:rsid w:val="58726FF7"/>
    <w:rsid w:val="58741F39"/>
    <w:rsid w:val="587829BD"/>
    <w:rsid w:val="588809CE"/>
    <w:rsid w:val="58894D62"/>
    <w:rsid w:val="588B4C64"/>
    <w:rsid w:val="588B5502"/>
    <w:rsid w:val="58921064"/>
    <w:rsid w:val="58945C29"/>
    <w:rsid w:val="589765AD"/>
    <w:rsid w:val="58982544"/>
    <w:rsid w:val="589B759B"/>
    <w:rsid w:val="589C1D8C"/>
    <w:rsid w:val="589C565E"/>
    <w:rsid w:val="58A10274"/>
    <w:rsid w:val="58A41F44"/>
    <w:rsid w:val="58A7280B"/>
    <w:rsid w:val="58A81697"/>
    <w:rsid w:val="58AA0575"/>
    <w:rsid w:val="58AB32D2"/>
    <w:rsid w:val="58AC4F54"/>
    <w:rsid w:val="58AE3459"/>
    <w:rsid w:val="58AE3583"/>
    <w:rsid w:val="58B63C4D"/>
    <w:rsid w:val="58B72E94"/>
    <w:rsid w:val="58C36942"/>
    <w:rsid w:val="58C6762C"/>
    <w:rsid w:val="58C7006B"/>
    <w:rsid w:val="58C70DF0"/>
    <w:rsid w:val="58C960ED"/>
    <w:rsid w:val="58D15A4F"/>
    <w:rsid w:val="58D170C2"/>
    <w:rsid w:val="58D4167D"/>
    <w:rsid w:val="58D66C7E"/>
    <w:rsid w:val="58D969C5"/>
    <w:rsid w:val="58E0724B"/>
    <w:rsid w:val="58E36CEB"/>
    <w:rsid w:val="58E90DB8"/>
    <w:rsid w:val="58EE35C0"/>
    <w:rsid w:val="58F0760C"/>
    <w:rsid w:val="58F14859"/>
    <w:rsid w:val="58F17B06"/>
    <w:rsid w:val="58F3060E"/>
    <w:rsid w:val="58F604C5"/>
    <w:rsid w:val="58FF5BA4"/>
    <w:rsid w:val="59042B8F"/>
    <w:rsid w:val="59064931"/>
    <w:rsid w:val="59084F65"/>
    <w:rsid w:val="590A2133"/>
    <w:rsid w:val="591253CD"/>
    <w:rsid w:val="591302D2"/>
    <w:rsid w:val="591323E3"/>
    <w:rsid w:val="59147721"/>
    <w:rsid w:val="59156722"/>
    <w:rsid w:val="5916060F"/>
    <w:rsid w:val="59190E48"/>
    <w:rsid w:val="591B5193"/>
    <w:rsid w:val="591B749C"/>
    <w:rsid w:val="591D2697"/>
    <w:rsid w:val="591E66DB"/>
    <w:rsid w:val="592037BA"/>
    <w:rsid w:val="592046AC"/>
    <w:rsid w:val="59236373"/>
    <w:rsid w:val="5929330E"/>
    <w:rsid w:val="59297F2C"/>
    <w:rsid w:val="592A2763"/>
    <w:rsid w:val="592A726B"/>
    <w:rsid w:val="592D148F"/>
    <w:rsid w:val="593432C8"/>
    <w:rsid w:val="5937125B"/>
    <w:rsid w:val="593B420C"/>
    <w:rsid w:val="593F3EAA"/>
    <w:rsid w:val="594258DE"/>
    <w:rsid w:val="594563C6"/>
    <w:rsid w:val="594B23BF"/>
    <w:rsid w:val="594F462A"/>
    <w:rsid w:val="59512FC3"/>
    <w:rsid w:val="59515C32"/>
    <w:rsid w:val="5952765B"/>
    <w:rsid w:val="59555367"/>
    <w:rsid w:val="595721F0"/>
    <w:rsid w:val="595B4260"/>
    <w:rsid w:val="595E0634"/>
    <w:rsid w:val="59613164"/>
    <w:rsid w:val="596D67DA"/>
    <w:rsid w:val="59705CB5"/>
    <w:rsid w:val="5971735F"/>
    <w:rsid w:val="59723185"/>
    <w:rsid w:val="59747B68"/>
    <w:rsid w:val="59782EC6"/>
    <w:rsid w:val="597A1CDB"/>
    <w:rsid w:val="597D114D"/>
    <w:rsid w:val="597E5FCB"/>
    <w:rsid w:val="597F7DE2"/>
    <w:rsid w:val="59812723"/>
    <w:rsid w:val="59813206"/>
    <w:rsid w:val="5986035D"/>
    <w:rsid w:val="598633F7"/>
    <w:rsid w:val="59877490"/>
    <w:rsid w:val="59881B70"/>
    <w:rsid w:val="598B78BE"/>
    <w:rsid w:val="598C52AF"/>
    <w:rsid w:val="5992290C"/>
    <w:rsid w:val="59957EBF"/>
    <w:rsid w:val="599716C3"/>
    <w:rsid w:val="599A344B"/>
    <w:rsid w:val="599A3AD2"/>
    <w:rsid w:val="599A3B6B"/>
    <w:rsid w:val="599D5E7E"/>
    <w:rsid w:val="599E753C"/>
    <w:rsid w:val="59A23175"/>
    <w:rsid w:val="59A35E3A"/>
    <w:rsid w:val="59A377C7"/>
    <w:rsid w:val="59A92C91"/>
    <w:rsid w:val="59AD09BF"/>
    <w:rsid w:val="59AD21D9"/>
    <w:rsid w:val="59AF63D8"/>
    <w:rsid w:val="59B3725A"/>
    <w:rsid w:val="59B457C4"/>
    <w:rsid w:val="59B54F6D"/>
    <w:rsid w:val="59B74B14"/>
    <w:rsid w:val="59B77D34"/>
    <w:rsid w:val="59B81DB5"/>
    <w:rsid w:val="59BA3A6B"/>
    <w:rsid w:val="59BB7FA2"/>
    <w:rsid w:val="59BF716C"/>
    <w:rsid w:val="59C444FB"/>
    <w:rsid w:val="59C5136B"/>
    <w:rsid w:val="59C54CDD"/>
    <w:rsid w:val="59C637A5"/>
    <w:rsid w:val="59CB2F6C"/>
    <w:rsid w:val="59CB694F"/>
    <w:rsid w:val="59CD5E39"/>
    <w:rsid w:val="59D06B05"/>
    <w:rsid w:val="59D27748"/>
    <w:rsid w:val="59D341C8"/>
    <w:rsid w:val="59D37CCE"/>
    <w:rsid w:val="59D5568F"/>
    <w:rsid w:val="59D61317"/>
    <w:rsid w:val="59D718EA"/>
    <w:rsid w:val="59DA7AE5"/>
    <w:rsid w:val="59DB47F0"/>
    <w:rsid w:val="59DB73E4"/>
    <w:rsid w:val="59DF092C"/>
    <w:rsid w:val="59DF7C8C"/>
    <w:rsid w:val="59E2457D"/>
    <w:rsid w:val="59E47360"/>
    <w:rsid w:val="59E571D5"/>
    <w:rsid w:val="59E753A9"/>
    <w:rsid w:val="59E90DFD"/>
    <w:rsid w:val="59EE6DA6"/>
    <w:rsid w:val="59F42295"/>
    <w:rsid w:val="59F6057D"/>
    <w:rsid w:val="59FC4495"/>
    <w:rsid w:val="59FF0952"/>
    <w:rsid w:val="5A00764E"/>
    <w:rsid w:val="5A031BD2"/>
    <w:rsid w:val="5A0331AA"/>
    <w:rsid w:val="5A04633C"/>
    <w:rsid w:val="5A08640E"/>
    <w:rsid w:val="5A0A424A"/>
    <w:rsid w:val="5A0D2B2F"/>
    <w:rsid w:val="5A166E85"/>
    <w:rsid w:val="5A1922F7"/>
    <w:rsid w:val="5A1B1CB3"/>
    <w:rsid w:val="5A1B299E"/>
    <w:rsid w:val="5A1E4FB5"/>
    <w:rsid w:val="5A2A2F70"/>
    <w:rsid w:val="5A2C3704"/>
    <w:rsid w:val="5A3458BF"/>
    <w:rsid w:val="5A397535"/>
    <w:rsid w:val="5A3B4F5C"/>
    <w:rsid w:val="5A3C7E2E"/>
    <w:rsid w:val="5A3E3B5B"/>
    <w:rsid w:val="5A3E4430"/>
    <w:rsid w:val="5A3F0724"/>
    <w:rsid w:val="5A401A9F"/>
    <w:rsid w:val="5A403225"/>
    <w:rsid w:val="5A412BD0"/>
    <w:rsid w:val="5A43661D"/>
    <w:rsid w:val="5A441BFC"/>
    <w:rsid w:val="5A4420FB"/>
    <w:rsid w:val="5A462640"/>
    <w:rsid w:val="5A4B7279"/>
    <w:rsid w:val="5A4C13D5"/>
    <w:rsid w:val="5A5811FD"/>
    <w:rsid w:val="5A5E125B"/>
    <w:rsid w:val="5A613DA6"/>
    <w:rsid w:val="5A655751"/>
    <w:rsid w:val="5A6A080B"/>
    <w:rsid w:val="5A76365C"/>
    <w:rsid w:val="5A766E1A"/>
    <w:rsid w:val="5A7E1802"/>
    <w:rsid w:val="5A8024CD"/>
    <w:rsid w:val="5A813AC5"/>
    <w:rsid w:val="5A851B0B"/>
    <w:rsid w:val="5A851E75"/>
    <w:rsid w:val="5A8D7C4B"/>
    <w:rsid w:val="5A913B4F"/>
    <w:rsid w:val="5A914B52"/>
    <w:rsid w:val="5A96484F"/>
    <w:rsid w:val="5A995821"/>
    <w:rsid w:val="5A9A6890"/>
    <w:rsid w:val="5AA14037"/>
    <w:rsid w:val="5AA55328"/>
    <w:rsid w:val="5AA6067B"/>
    <w:rsid w:val="5AA7478A"/>
    <w:rsid w:val="5AA90E18"/>
    <w:rsid w:val="5AA91F20"/>
    <w:rsid w:val="5AAE4837"/>
    <w:rsid w:val="5AB22ED3"/>
    <w:rsid w:val="5AB31F88"/>
    <w:rsid w:val="5AB516D8"/>
    <w:rsid w:val="5AB80CD0"/>
    <w:rsid w:val="5ABA57A1"/>
    <w:rsid w:val="5ABC50A5"/>
    <w:rsid w:val="5ABF4E13"/>
    <w:rsid w:val="5AC231ED"/>
    <w:rsid w:val="5AC40E1C"/>
    <w:rsid w:val="5ACB4F83"/>
    <w:rsid w:val="5ACE35B9"/>
    <w:rsid w:val="5AD421E4"/>
    <w:rsid w:val="5AD44E73"/>
    <w:rsid w:val="5AD729DD"/>
    <w:rsid w:val="5AD930D4"/>
    <w:rsid w:val="5AD938A2"/>
    <w:rsid w:val="5AE31C87"/>
    <w:rsid w:val="5AE52700"/>
    <w:rsid w:val="5AE55817"/>
    <w:rsid w:val="5AE73225"/>
    <w:rsid w:val="5AEB3E5A"/>
    <w:rsid w:val="5AEE26EB"/>
    <w:rsid w:val="5AF076C2"/>
    <w:rsid w:val="5AF47654"/>
    <w:rsid w:val="5AF61276"/>
    <w:rsid w:val="5AF70793"/>
    <w:rsid w:val="5AF81777"/>
    <w:rsid w:val="5AFA303F"/>
    <w:rsid w:val="5AFB5AA8"/>
    <w:rsid w:val="5AFC1A7A"/>
    <w:rsid w:val="5B047FC7"/>
    <w:rsid w:val="5B05351A"/>
    <w:rsid w:val="5B055CC6"/>
    <w:rsid w:val="5B0809A3"/>
    <w:rsid w:val="5B091546"/>
    <w:rsid w:val="5B0F1400"/>
    <w:rsid w:val="5B123D3F"/>
    <w:rsid w:val="5B1B5A80"/>
    <w:rsid w:val="5B1C7B22"/>
    <w:rsid w:val="5B21118E"/>
    <w:rsid w:val="5B2B57E0"/>
    <w:rsid w:val="5B2C4BE6"/>
    <w:rsid w:val="5B2C6433"/>
    <w:rsid w:val="5B2E10EF"/>
    <w:rsid w:val="5B2F0C25"/>
    <w:rsid w:val="5B3053E1"/>
    <w:rsid w:val="5B337C70"/>
    <w:rsid w:val="5B350F04"/>
    <w:rsid w:val="5B3C5F37"/>
    <w:rsid w:val="5B3E7AA1"/>
    <w:rsid w:val="5B434429"/>
    <w:rsid w:val="5B4346BF"/>
    <w:rsid w:val="5B4377F2"/>
    <w:rsid w:val="5B487171"/>
    <w:rsid w:val="5B4A6452"/>
    <w:rsid w:val="5B4E7A25"/>
    <w:rsid w:val="5B4F06F4"/>
    <w:rsid w:val="5B511490"/>
    <w:rsid w:val="5B5610C2"/>
    <w:rsid w:val="5B5B1802"/>
    <w:rsid w:val="5B5E4CF1"/>
    <w:rsid w:val="5B63795A"/>
    <w:rsid w:val="5B662CCF"/>
    <w:rsid w:val="5B693CC4"/>
    <w:rsid w:val="5B796A5E"/>
    <w:rsid w:val="5B7D67BD"/>
    <w:rsid w:val="5B8147BE"/>
    <w:rsid w:val="5B8761C0"/>
    <w:rsid w:val="5B8A3673"/>
    <w:rsid w:val="5B8A4261"/>
    <w:rsid w:val="5B8A7C56"/>
    <w:rsid w:val="5B8F35CE"/>
    <w:rsid w:val="5B9146F0"/>
    <w:rsid w:val="5B950BE7"/>
    <w:rsid w:val="5B9867C1"/>
    <w:rsid w:val="5B9E0734"/>
    <w:rsid w:val="5B9E68E1"/>
    <w:rsid w:val="5BA00A02"/>
    <w:rsid w:val="5BA25CE6"/>
    <w:rsid w:val="5BA64C57"/>
    <w:rsid w:val="5BAB0233"/>
    <w:rsid w:val="5BAD2208"/>
    <w:rsid w:val="5BAE6E8C"/>
    <w:rsid w:val="5BAF7E5E"/>
    <w:rsid w:val="5BB12F18"/>
    <w:rsid w:val="5BB34157"/>
    <w:rsid w:val="5BB35ACD"/>
    <w:rsid w:val="5BB93E26"/>
    <w:rsid w:val="5BBC18BB"/>
    <w:rsid w:val="5BBE4407"/>
    <w:rsid w:val="5BBE4CE4"/>
    <w:rsid w:val="5BC052E6"/>
    <w:rsid w:val="5BC21371"/>
    <w:rsid w:val="5BC315FE"/>
    <w:rsid w:val="5BC31DAB"/>
    <w:rsid w:val="5BC33D79"/>
    <w:rsid w:val="5BC8419B"/>
    <w:rsid w:val="5BCC20D2"/>
    <w:rsid w:val="5BCD5F7A"/>
    <w:rsid w:val="5BDA0366"/>
    <w:rsid w:val="5BDA30EC"/>
    <w:rsid w:val="5BDA59C1"/>
    <w:rsid w:val="5BDC40C3"/>
    <w:rsid w:val="5BDF44A3"/>
    <w:rsid w:val="5BE16821"/>
    <w:rsid w:val="5BE2525D"/>
    <w:rsid w:val="5BE5690E"/>
    <w:rsid w:val="5BE72873"/>
    <w:rsid w:val="5BEA4111"/>
    <w:rsid w:val="5BEB57EC"/>
    <w:rsid w:val="5BEE7546"/>
    <w:rsid w:val="5BF2629F"/>
    <w:rsid w:val="5BF659D4"/>
    <w:rsid w:val="5BF7557B"/>
    <w:rsid w:val="5BF8078C"/>
    <w:rsid w:val="5BFE7BBD"/>
    <w:rsid w:val="5C01201E"/>
    <w:rsid w:val="5C020CEF"/>
    <w:rsid w:val="5C02145B"/>
    <w:rsid w:val="5C0535C8"/>
    <w:rsid w:val="5C0640A2"/>
    <w:rsid w:val="5C0B7D36"/>
    <w:rsid w:val="5C1B076F"/>
    <w:rsid w:val="5C2B1524"/>
    <w:rsid w:val="5C2C0F7E"/>
    <w:rsid w:val="5C30779A"/>
    <w:rsid w:val="5C37285F"/>
    <w:rsid w:val="5C3E0478"/>
    <w:rsid w:val="5C3E4DF0"/>
    <w:rsid w:val="5C441A74"/>
    <w:rsid w:val="5C4448FE"/>
    <w:rsid w:val="5C4A0F9D"/>
    <w:rsid w:val="5C4B3F63"/>
    <w:rsid w:val="5C576A75"/>
    <w:rsid w:val="5C5844B7"/>
    <w:rsid w:val="5C584FD4"/>
    <w:rsid w:val="5C60414A"/>
    <w:rsid w:val="5C676BD4"/>
    <w:rsid w:val="5C7207DA"/>
    <w:rsid w:val="5C726372"/>
    <w:rsid w:val="5C763252"/>
    <w:rsid w:val="5C7A36E7"/>
    <w:rsid w:val="5C821409"/>
    <w:rsid w:val="5C846B18"/>
    <w:rsid w:val="5C873727"/>
    <w:rsid w:val="5C880D15"/>
    <w:rsid w:val="5C8A0507"/>
    <w:rsid w:val="5C8F4B13"/>
    <w:rsid w:val="5C8F7C87"/>
    <w:rsid w:val="5C971C22"/>
    <w:rsid w:val="5C983FF8"/>
    <w:rsid w:val="5C996793"/>
    <w:rsid w:val="5C9E2B80"/>
    <w:rsid w:val="5C9F0466"/>
    <w:rsid w:val="5C9F28E1"/>
    <w:rsid w:val="5CA14E6D"/>
    <w:rsid w:val="5CA22C3E"/>
    <w:rsid w:val="5CA45F0F"/>
    <w:rsid w:val="5CAA6D4B"/>
    <w:rsid w:val="5CAB61B4"/>
    <w:rsid w:val="5CAC350C"/>
    <w:rsid w:val="5CB02D62"/>
    <w:rsid w:val="5CB13730"/>
    <w:rsid w:val="5CB322E4"/>
    <w:rsid w:val="5CB538BB"/>
    <w:rsid w:val="5CB8534E"/>
    <w:rsid w:val="5CBA6F58"/>
    <w:rsid w:val="5CBB51C6"/>
    <w:rsid w:val="5CBC26CB"/>
    <w:rsid w:val="5CBE5F43"/>
    <w:rsid w:val="5CBF5AFC"/>
    <w:rsid w:val="5CC02A32"/>
    <w:rsid w:val="5CCF036A"/>
    <w:rsid w:val="5CD07406"/>
    <w:rsid w:val="5CD13A4C"/>
    <w:rsid w:val="5CD14B03"/>
    <w:rsid w:val="5CD347B5"/>
    <w:rsid w:val="5CD35798"/>
    <w:rsid w:val="5CD87E39"/>
    <w:rsid w:val="5CDA389F"/>
    <w:rsid w:val="5CE4397F"/>
    <w:rsid w:val="5CE470ED"/>
    <w:rsid w:val="5CE671B3"/>
    <w:rsid w:val="5CE818FB"/>
    <w:rsid w:val="5CEA739B"/>
    <w:rsid w:val="5CEB7839"/>
    <w:rsid w:val="5CF07506"/>
    <w:rsid w:val="5CF351C6"/>
    <w:rsid w:val="5CF403F3"/>
    <w:rsid w:val="5D013D25"/>
    <w:rsid w:val="5D02779F"/>
    <w:rsid w:val="5D052906"/>
    <w:rsid w:val="5D062D97"/>
    <w:rsid w:val="5D065CA7"/>
    <w:rsid w:val="5D093B76"/>
    <w:rsid w:val="5D121A25"/>
    <w:rsid w:val="5D136E7C"/>
    <w:rsid w:val="5D1426CD"/>
    <w:rsid w:val="5D161B0C"/>
    <w:rsid w:val="5D1A28A1"/>
    <w:rsid w:val="5D1C1BEF"/>
    <w:rsid w:val="5D1F64F0"/>
    <w:rsid w:val="5D206F33"/>
    <w:rsid w:val="5D227E48"/>
    <w:rsid w:val="5D235C93"/>
    <w:rsid w:val="5D261179"/>
    <w:rsid w:val="5D2F76B1"/>
    <w:rsid w:val="5D34394D"/>
    <w:rsid w:val="5D394504"/>
    <w:rsid w:val="5D3C34E0"/>
    <w:rsid w:val="5D3D3F25"/>
    <w:rsid w:val="5D3F4942"/>
    <w:rsid w:val="5D4C4610"/>
    <w:rsid w:val="5D4C4F20"/>
    <w:rsid w:val="5D4E3BD2"/>
    <w:rsid w:val="5D535B1A"/>
    <w:rsid w:val="5D537A94"/>
    <w:rsid w:val="5D555303"/>
    <w:rsid w:val="5D5930D2"/>
    <w:rsid w:val="5D5C2D97"/>
    <w:rsid w:val="5D5E42A4"/>
    <w:rsid w:val="5D6543B7"/>
    <w:rsid w:val="5D7028A3"/>
    <w:rsid w:val="5D71080F"/>
    <w:rsid w:val="5D7243BE"/>
    <w:rsid w:val="5D7B5D7D"/>
    <w:rsid w:val="5D7E0764"/>
    <w:rsid w:val="5D7E79A2"/>
    <w:rsid w:val="5D8246AD"/>
    <w:rsid w:val="5D8653EB"/>
    <w:rsid w:val="5D8B0050"/>
    <w:rsid w:val="5D8B1867"/>
    <w:rsid w:val="5D913A34"/>
    <w:rsid w:val="5D9407D9"/>
    <w:rsid w:val="5D951096"/>
    <w:rsid w:val="5D95403F"/>
    <w:rsid w:val="5D9D526C"/>
    <w:rsid w:val="5D9E3405"/>
    <w:rsid w:val="5DA313DC"/>
    <w:rsid w:val="5DA710EF"/>
    <w:rsid w:val="5DA76C65"/>
    <w:rsid w:val="5DAB1452"/>
    <w:rsid w:val="5DAB78D0"/>
    <w:rsid w:val="5DAF3854"/>
    <w:rsid w:val="5DB11CA9"/>
    <w:rsid w:val="5DB1502F"/>
    <w:rsid w:val="5DBB5ED5"/>
    <w:rsid w:val="5DBC2C91"/>
    <w:rsid w:val="5DBD5672"/>
    <w:rsid w:val="5DBE7A6C"/>
    <w:rsid w:val="5DBF735F"/>
    <w:rsid w:val="5DC27905"/>
    <w:rsid w:val="5DC45E70"/>
    <w:rsid w:val="5DC5158B"/>
    <w:rsid w:val="5DCA56B3"/>
    <w:rsid w:val="5DCA5A53"/>
    <w:rsid w:val="5DCB42F9"/>
    <w:rsid w:val="5DCB730F"/>
    <w:rsid w:val="5DCC163C"/>
    <w:rsid w:val="5DDB7EA6"/>
    <w:rsid w:val="5DDC300E"/>
    <w:rsid w:val="5DDD3086"/>
    <w:rsid w:val="5DE03822"/>
    <w:rsid w:val="5DE425E4"/>
    <w:rsid w:val="5DEB5F1F"/>
    <w:rsid w:val="5DF23EDA"/>
    <w:rsid w:val="5DF41FD0"/>
    <w:rsid w:val="5DF516DA"/>
    <w:rsid w:val="5DF66C85"/>
    <w:rsid w:val="5DFA1178"/>
    <w:rsid w:val="5DFD1480"/>
    <w:rsid w:val="5DFE00CE"/>
    <w:rsid w:val="5E023C82"/>
    <w:rsid w:val="5E045B91"/>
    <w:rsid w:val="5E0632DB"/>
    <w:rsid w:val="5E0D40E7"/>
    <w:rsid w:val="5E0E5921"/>
    <w:rsid w:val="5E10375A"/>
    <w:rsid w:val="5E111E29"/>
    <w:rsid w:val="5E125C53"/>
    <w:rsid w:val="5E182143"/>
    <w:rsid w:val="5E186886"/>
    <w:rsid w:val="5E1C3FDF"/>
    <w:rsid w:val="5E1E20FD"/>
    <w:rsid w:val="5E282468"/>
    <w:rsid w:val="5E2844A8"/>
    <w:rsid w:val="5E2C09AE"/>
    <w:rsid w:val="5E2D1651"/>
    <w:rsid w:val="5E306C7A"/>
    <w:rsid w:val="5E3306C7"/>
    <w:rsid w:val="5E356904"/>
    <w:rsid w:val="5E360B3C"/>
    <w:rsid w:val="5E3638CF"/>
    <w:rsid w:val="5E40153B"/>
    <w:rsid w:val="5E40626B"/>
    <w:rsid w:val="5E4624AE"/>
    <w:rsid w:val="5E471F98"/>
    <w:rsid w:val="5E49585C"/>
    <w:rsid w:val="5E5024B2"/>
    <w:rsid w:val="5E5024EE"/>
    <w:rsid w:val="5E511028"/>
    <w:rsid w:val="5E526840"/>
    <w:rsid w:val="5E532C4B"/>
    <w:rsid w:val="5E534589"/>
    <w:rsid w:val="5E560C7B"/>
    <w:rsid w:val="5E575D36"/>
    <w:rsid w:val="5E5B2B38"/>
    <w:rsid w:val="5E5C3384"/>
    <w:rsid w:val="5E657034"/>
    <w:rsid w:val="5E677C9B"/>
    <w:rsid w:val="5E6D192E"/>
    <w:rsid w:val="5E790F83"/>
    <w:rsid w:val="5E7D2D70"/>
    <w:rsid w:val="5E810BF5"/>
    <w:rsid w:val="5E88400A"/>
    <w:rsid w:val="5E8B6E75"/>
    <w:rsid w:val="5E9414BA"/>
    <w:rsid w:val="5E957043"/>
    <w:rsid w:val="5E9A714D"/>
    <w:rsid w:val="5EA031AD"/>
    <w:rsid w:val="5EA7400D"/>
    <w:rsid w:val="5EA84E89"/>
    <w:rsid w:val="5EA9323E"/>
    <w:rsid w:val="5EAD7FD3"/>
    <w:rsid w:val="5EAE0DB0"/>
    <w:rsid w:val="5EAF4BCE"/>
    <w:rsid w:val="5EB04A38"/>
    <w:rsid w:val="5EB17A50"/>
    <w:rsid w:val="5EB27522"/>
    <w:rsid w:val="5EB723D7"/>
    <w:rsid w:val="5EB927F3"/>
    <w:rsid w:val="5EB92A74"/>
    <w:rsid w:val="5EC02D44"/>
    <w:rsid w:val="5EC51BB8"/>
    <w:rsid w:val="5EC5539C"/>
    <w:rsid w:val="5EC61FA2"/>
    <w:rsid w:val="5EC935A9"/>
    <w:rsid w:val="5ECE1AC8"/>
    <w:rsid w:val="5ECF614E"/>
    <w:rsid w:val="5ED0023C"/>
    <w:rsid w:val="5ED74E21"/>
    <w:rsid w:val="5EDA02B3"/>
    <w:rsid w:val="5EDA31CD"/>
    <w:rsid w:val="5EDC7751"/>
    <w:rsid w:val="5EDD43F7"/>
    <w:rsid w:val="5EDE376D"/>
    <w:rsid w:val="5EE76AEF"/>
    <w:rsid w:val="5EEC2E45"/>
    <w:rsid w:val="5EF10671"/>
    <w:rsid w:val="5EF5187F"/>
    <w:rsid w:val="5EFC6B6A"/>
    <w:rsid w:val="5F030E05"/>
    <w:rsid w:val="5F0A49F2"/>
    <w:rsid w:val="5F0B7594"/>
    <w:rsid w:val="5F1061D0"/>
    <w:rsid w:val="5F191A40"/>
    <w:rsid w:val="5F1D248D"/>
    <w:rsid w:val="5F1F6955"/>
    <w:rsid w:val="5F2059DE"/>
    <w:rsid w:val="5F216F77"/>
    <w:rsid w:val="5F235110"/>
    <w:rsid w:val="5F255D1B"/>
    <w:rsid w:val="5F282CF2"/>
    <w:rsid w:val="5F2913DA"/>
    <w:rsid w:val="5F2A657A"/>
    <w:rsid w:val="5F2E0A3F"/>
    <w:rsid w:val="5F3145AA"/>
    <w:rsid w:val="5F3B7545"/>
    <w:rsid w:val="5F3F51A3"/>
    <w:rsid w:val="5F403758"/>
    <w:rsid w:val="5F42364A"/>
    <w:rsid w:val="5F487A96"/>
    <w:rsid w:val="5F493DED"/>
    <w:rsid w:val="5F4A0E24"/>
    <w:rsid w:val="5F533D20"/>
    <w:rsid w:val="5F5577C5"/>
    <w:rsid w:val="5F5614FE"/>
    <w:rsid w:val="5F5E6C1F"/>
    <w:rsid w:val="5F5F0972"/>
    <w:rsid w:val="5F602C65"/>
    <w:rsid w:val="5F6078ED"/>
    <w:rsid w:val="5F6456F3"/>
    <w:rsid w:val="5F6865DE"/>
    <w:rsid w:val="5F6A7929"/>
    <w:rsid w:val="5F7054F7"/>
    <w:rsid w:val="5F7910C4"/>
    <w:rsid w:val="5F797C86"/>
    <w:rsid w:val="5F7C5E09"/>
    <w:rsid w:val="5F8E2BD5"/>
    <w:rsid w:val="5F8F0424"/>
    <w:rsid w:val="5F8F6DA3"/>
    <w:rsid w:val="5F8F7AA0"/>
    <w:rsid w:val="5F900193"/>
    <w:rsid w:val="5F9016BC"/>
    <w:rsid w:val="5F904FD0"/>
    <w:rsid w:val="5F95582D"/>
    <w:rsid w:val="5F97010C"/>
    <w:rsid w:val="5F9A116B"/>
    <w:rsid w:val="5FA729E5"/>
    <w:rsid w:val="5FA95E5E"/>
    <w:rsid w:val="5FAD2E83"/>
    <w:rsid w:val="5FAD4BCB"/>
    <w:rsid w:val="5FB22B18"/>
    <w:rsid w:val="5FB248D1"/>
    <w:rsid w:val="5FB6400D"/>
    <w:rsid w:val="5FB90F9B"/>
    <w:rsid w:val="5FB92A61"/>
    <w:rsid w:val="5FB97FC0"/>
    <w:rsid w:val="5FBC20CC"/>
    <w:rsid w:val="5FBD3009"/>
    <w:rsid w:val="5FBF1587"/>
    <w:rsid w:val="5FC310D0"/>
    <w:rsid w:val="5FCB7881"/>
    <w:rsid w:val="5FCF06CB"/>
    <w:rsid w:val="5FD6292C"/>
    <w:rsid w:val="5FDA2578"/>
    <w:rsid w:val="5FDA3248"/>
    <w:rsid w:val="5FE175D9"/>
    <w:rsid w:val="5FE35FDB"/>
    <w:rsid w:val="5FE8569D"/>
    <w:rsid w:val="5FEE0701"/>
    <w:rsid w:val="5FF03E26"/>
    <w:rsid w:val="5FF12857"/>
    <w:rsid w:val="5FF32AE0"/>
    <w:rsid w:val="5FF41A5D"/>
    <w:rsid w:val="5FF549A8"/>
    <w:rsid w:val="5FF56030"/>
    <w:rsid w:val="5FF72320"/>
    <w:rsid w:val="5FF86762"/>
    <w:rsid w:val="600052D9"/>
    <w:rsid w:val="600219EF"/>
    <w:rsid w:val="60053B2D"/>
    <w:rsid w:val="60061E24"/>
    <w:rsid w:val="600A2292"/>
    <w:rsid w:val="600C0A49"/>
    <w:rsid w:val="6014175D"/>
    <w:rsid w:val="60142118"/>
    <w:rsid w:val="60144DA4"/>
    <w:rsid w:val="601779F0"/>
    <w:rsid w:val="60180B0F"/>
    <w:rsid w:val="601F3B37"/>
    <w:rsid w:val="60297B8D"/>
    <w:rsid w:val="602A4176"/>
    <w:rsid w:val="602B7D8F"/>
    <w:rsid w:val="602D1552"/>
    <w:rsid w:val="602D3D24"/>
    <w:rsid w:val="602E4280"/>
    <w:rsid w:val="60301991"/>
    <w:rsid w:val="603611AD"/>
    <w:rsid w:val="603C62EC"/>
    <w:rsid w:val="603D3723"/>
    <w:rsid w:val="60410B09"/>
    <w:rsid w:val="604241E2"/>
    <w:rsid w:val="604251AF"/>
    <w:rsid w:val="60442D0F"/>
    <w:rsid w:val="604C4138"/>
    <w:rsid w:val="604D13D1"/>
    <w:rsid w:val="60516D2A"/>
    <w:rsid w:val="60531277"/>
    <w:rsid w:val="605F033B"/>
    <w:rsid w:val="606B6189"/>
    <w:rsid w:val="606E08C0"/>
    <w:rsid w:val="606E71C4"/>
    <w:rsid w:val="606F1104"/>
    <w:rsid w:val="607107A0"/>
    <w:rsid w:val="6071095D"/>
    <w:rsid w:val="60752C0F"/>
    <w:rsid w:val="607632C0"/>
    <w:rsid w:val="60780A80"/>
    <w:rsid w:val="60797EF2"/>
    <w:rsid w:val="607B1E16"/>
    <w:rsid w:val="607C1F05"/>
    <w:rsid w:val="607D6E2B"/>
    <w:rsid w:val="607E7AD9"/>
    <w:rsid w:val="60844BC5"/>
    <w:rsid w:val="608517E1"/>
    <w:rsid w:val="6088608A"/>
    <w:rsid w:val="60887299"/>
    <w:rsid w:val="608923CD"/>
    <w:rsid w:val="608947DC"/>
    <w:rsid w:val="608C5732"/>
    <w:rsid w:val="608D150F"/>
    <w:rsid w:val="608F1D6F"/>
    <w:rsid w:val="60935589"/>
    <w:rsid w:val="60971ECA"/>
    <w:rsid w:val="60990801"/>
    <w:rsid w:val="60A07ADE"/>
    <w:rsid w:val="60A32AE1"/>
    <w:rsid w:val="60A41C39"/>
    <w:rsid w:val="60A9658E"/>
    <w:rsid w:val="60AB0311"/>
    <w:rsid w:val="60AC48AF"/>
    <w:rsid w:val="60AD4AAF"/>
    <w:rsid w:val="60AE3960"/>
    <w:rsid w:val="60AE6827"/>
    <w:rsid w:val="60AF607C"/>
    <w:rsid w:val="60B526E9"/>
    <w:rsid w:val="60B82C8D"/>
    <w:rsid w:val="60B82F82"/>
    <w:rsid w:val="60BE0732"/>
    <w:rsid w:val="60C47B77"/>
    <w:rsid w:val="60C5514D"/>
    <w:rsid w:val="60C566CA"/>
    <w:rsid w:val="60CD0AC7"/>
    <w:rsid w:val="60CD26FF"/>
    <w:rsid w:val="60D13ACA"/>
    <w:rsid w:val="60D2620A"/>
    <w:rsid w:val="60D357C0"/>
    <w:rsid w:val="60D36758"/>
    <w:rsid w:val="60D456DF"/>
    <w:rsid w:val="60D62CB1"/>
    <w:rsid w:val="60D7439D"/>
    <w:rsid w:val="60DA01A9"/>
    <w:rsid w:val="60DA2542"/>
    <w:rsid w:val="60DA5864"/>
    <w:rsid w:val="60DD5FF3"/>
    <w:rsid w:val="60E40A03"/>
    <w:rsid w:val="60E82633"/>
    <w:rsid w:val="60EA55C3"/>
    <w:rsid w:val="60EC2732"/>
    <w:rsid w:val="60EE20A1"/>
    <w:rsid w:val="60EF0DFF"/>
    <w:rsid w:val="60F15F42"/>
    <w:rsid w:val="60F23D3D"/>
    <w:rsid w:val="60F33A4C"/>
    <w:rsid w:val="60F45DA2"/>
    <w:rsid w:val="60F72312"/>
    <w:rsid w:val="60FA4764"/>
    <w:rsid w:val="60FB4CE2"/>
    <w:rsid w:val="6100316B"/>
    <w:rsid w:val="61014AF4"/>
    <w:rsid w:val="61016AC9"/>
    <w:rsid w:val="610C669B"/>
    <w:rsid w:val="610D6984"/>
    <w:rsid w:val="611049DF"/>
    <w:rsid w:val="61114EB3"/>
    <w:rsid w:val="611322F7"/>
    <w:rsid w:val="611539DF"/>
    <w:rsid w:val="61161505"/>
    <w:rsid w:val="6118702B"/>
    <w:rsid w:val="61196D7F"/>
    <w:rsid w:val="611F376E"/>
    <w:rsid w:val="612158E8"/>
    <w:rsid w:val="61230063"/>
    <w:rsid w:val="61241E74"/>
    <w:rsid w:val="6126318F"/>
    <w:rsid w:val="612718DC"/>
    <w:rsid w:val="612769EB"/>
    <w:rsid w:val="61277EAE"/>
    <w:rsid w:val="61282EA3"/>
    <w:rsid w:val="612A037F"/>
    <w:rsid w:val="612D2791"/>
    <w:rsid w:val="612E66D3"/>
    <w:rsid w:val="612F0942"/>
    <w:rsid w:val="61315C66"/>
    <w:rsid w:val="613619BE"/>
    <w:rsid w:val="6139172F"/>
    <w:rsid w:val="613A1697"/>
    <w:rsid w:val="614022E4"/>
    <w:rsid w:val="614473F7"/>
    <w:rsid w:val="6146788B"/>
    <w:rsid w:val="614B6AFD"/>
    <w:rsid w:val="614F1D33"/>
    <w:rsid w:val="615006B8"/>
    <w:rsid w:val="61554860"/>
    <w:rsid w:val="615C1DBB"/>
    <w:rsid w:val="615E10A9"/>
    <w:rsid w:val="615F6065"/>
    <w:rsid w:val="61600AF7"/>
    <w:rsid w:val="616735D0"/>
    <w:rsid w:val="616A41F1"/>
    <w:rsid w:val="616E179E"/>
    <w:rsid w:val="61713E2E"/>
    <w:rsid w:val="617262E8"/>
    <w:rsid w:val="61761746"/>
    <w:rsid w:val="61767771"/>
    <w:rsid w:val="61777055"/>
    <w:rsid w:val="617940F1"/>
    <w:rsid w:val="61830394"/>
    <w:rsid w:val="619052DC"/>
    <w:rsid w:val="61922BB3"/>
    <w:rsid w:val="61954696"/>
    <w:rsid w:val="619B5D85"/>
    <w:rsid w:val="619C4100"/>
    <w:rsid w:val="619C79DB"/>
    <w:rsid w:val="619F2240"/>
    <w:rsid w:val="61A2301D"/>
    <w:rsid w:val="61A50FFC"/>
    <w:rsid w:val="61A62889"/>
    <w:rsid w:val="61A80C07"/>
    <w:rsid w:val="61A841B8"/>
    <w:rsid w:val="61AB1C9D"/>
    <w:rsid w:val="61AC3653"/>
    <w:rsid w:val="61AC3716"/>
    <w:rsid w:val="61AD24F8"/>
    <w:rsid w:val="61AE6BB8"/>
    <w:rsid w:val="61B15CAF"/>
    <w:rsid w:val="61B37369"/>
    <w:rsid w:val="61B41DA8"/>
    <w:rsid w:val="61B60DAF"/>
    <w:rsid w:val="61BB7B6A"/>
    <w:rsid w:val="61C26CDC"/>
    <w:rsid w:val="61C441C5"/>
    <w:rsid w:val="61C63BBD"/>
    <w:rsid w:val="61C66B17"/>
    <w:rsid w:val="61C952C5"/>
    <w:rsid w:val="61CC3A0A"/>
    <w:rsid w:val="61CD3D91"/>
    <w:rsid w:val="61CE188D"/>
    <w:rsid w:val="61D043AD"/>
    <w:rsid w:val="61D07E47"/>
    <w:rsid w:val="61D423B1"/>
    <w:rsid w:val="61D51255"/>
    <w:rsid w:val="61D55C97"/>
    <w:rsid w:val="61D67D36"/>
    <w:rsid w:val="61DA4D37"/>
    <w:rsid w:val="61DE6587"/>
    <w:rsid w:val="61EE4F69"/>
    <w:rsid w:val="61EE7DE5"/>
    <w:rsid w:val="61F4430B"/>
    <w:rsid w:val="61F77200"/>
    <w:rsid w:val="61F965AF"/>
    <w:rsid w:val="61FB27CA"/>
    <w:rsid w:val="62062913"/>
    <w:rsid w:val="62074020"/>
    <w:rsid w:val="62076343"/>
    <w:rsid w:val="620A4032"/>
    <w:rsid w:val="62115858"/>
    <w:rsid w:val="621454BF"/>
    <w:rsid w:val="621614B9"/>
    <w:rsid w:val="621B2106"/>
    <w:rsid w:val="621D4A88"/>
    <w:rsid w:val="621E1271"/>
    <w:rsid w:val="62201C5D"/>
    <w:rsid w:val="622120BC"/>
    <w:rsid w:val="62224AC5"/>
    <w:rsid w:val="622872EE"/>
    <w:rsid w:val="622C72D1"/>
    <w:rsid w:val="623039B9"/>
    <w:rsid w:val="62321C94"/>
    <w:rsid w:val="623375C8"/>
    <w:rsid w:val="62396A99"/>
    <w:rsid w:val="623A7B7E"/>
    <w:rsid w:val="62440B5E"/>
    <w:rsid w:val="62447713"/>
    <w:rsid w:val="62455C2E"/>
    <w:rsid w:val="624669F1"/>
    <w:rsid w:val="62487FF8"/>
    <w:rsid w:val="624A064D"/>
    <w:rsid w:val="624B1D99"/>
    <w:rsid w:val="624C0EA6"/>
    <w:rsid w:val="62511FB8"/>
    <w:rsid w:val="62525744"/>
    <w:rsid w:val="625258D6"/>
    <w:rsid w:val="625901DD"/>
    <w:rsid w:val="6259313D"/>
    <w:rsid w:val="625A4DEB"/>
    <w:rsid w:val="625B7B17"/>
    <w:rsid w:val="625E15A5"/>
    <w:rsid w:val="62610706"/>
    <w:rsid w:val="62647DDB"/>
    <w:rsid w:val="6267670B"/>
    <w:rsid w:val="62732E49"/>
    <w:rsid w:val="6274200B"/>
    <w:rsid w:val="627D2E82"/>
    <w:rsid w:val="6283354C"/>
    <w:rsid w:val="62844473"/>
    <w:rsid w:val="62851A24"/>
    <w:rsid w:val="62882CA1"/>
    <w:rsid w:val="628A4748"/>
    <w:rsid w:val="628C7620"/>
    <w:rsid w:val="62904B4E"/>
    <w:rsid w:val="6292005B"/>
    <w:rsid w:val="62921341"/>
    <w:rsid w:val="62954035"/>
    <w:rsid w:val="62965B29"/>
    <w:rsid w:val="629D6EDE"/>
    <w:rsid w:val="62A24CAC"/>
    <w:rsid w:val="62A60248"/>
    <w:rsid w:val="62A754ED"/>
    <w:rsid w:val="62A94E1F"/>
    <w:rsid w:val="62AA690C"/>
    <w:rsid w:val="62AB1DE8"/>
    <w:rsid w:val="62AB7F91"/>
    <w:rsid w:val="62AC2121"/>
    <w:rsid w:val="62AC5BF1"/>
    <w:rsid w:val="62AF7E63"/>
    <w:rsid w:val="62B2157A"/>
    <w:rsid w:val="62B61F2D"/>
    <w:rsid w:val="62B66AFB"/>
    <w:rsid w:val="62BA2626"/>
    <w:rsid w:val="62BD2335"/>
    <w:rsid w:val="62BD3412"/>
    <w:rsid w:val="62BD3E31"/>
    <w:rsid w:val="62BF6725"/>
    <w:rsid w:val="62C047E6"/>
    <w:rsid w:val="62C74982"/>
    <w:rsid w:val="62CB2C2B"/>
    <w:rsid w:val="62CC4ED4"/>
    <w:rsid w:val="62CC62B3"/>
    <w:rsid w:val="62CF29FF"/>
    <w:rsid w:val="62CF4061"/>
    <w:rsid w:val="62D14BE1"/>
    <w:rsid w:val="62D42270"/>
    <w:rsid w:val="62D642EA"/>
    <w:rsid w:val="62DA5BA5"/>
    <w:rsid w:val="62DC73ED"/>
    <w:rsid w:val="62DC7826"/>
    <w:rsid w:val="62DF4639"/>
    <w:rsid w:val="62E94995"/>
    <w:rsid w:val="62EA6167"/>
    <w:rsid w:val="62EA7AD3"/>
    <w:rsid w:val="62ED4CCD"/>
    <w:rsid w:val="62EE723D"/>
    <w:rsid w:val="62F26BD3"/>
    <w:rsid w:val="62F53AC8"/>
    <w:rsid w:val="62FB09B2"/>
    <w:rsid w:val="62FF66F4"/>
    <w:rsid w:val="63002396"/>
    <w:rsid w:val="6300421A"/>
    <w:rsid w:val="63022665"/>
    <w:rsid w:val="63062346"/>
    <w:rsid w:val="630B51F9"/>
    <w:rsid w:val="63124742"/>
    <w:rsid w:val="631445A1"/>
    <w:rsid w:val="6319433B"/>
    <w:rsid w:val="631A0265"/>
    <w:rsid w:val="631D301E"/>
    <w:rsid w:val="631F4363"/>
    <w:rsid w:val="631F4963"/>
    <w:rsid w:val="63240F67"/>
    <w:rsid w:val="6328417A"/>
    <w:rsid w:val="632C7C71"/>
    <w:rsid w:val="632E3B8E"/>
    <w:rsid w:val="6331339E"/>
    <w:rsid w:val="63322F7E"/>
    <w:rsid w:val="633A0394"/>
    <w:rsid w:val="633B4A2D"/>
    <w:rsid w:val="633B7ABE"/>
    <w:rsid w:val="633E265F"/>
    <w:rsid w:val="633E5739"/>
    <w:rsid w:val="63420B46"/>
    <w:rsid w:val="6343174D"/>
    <w:rsid w:val="63462575"/>
    <w:rsid w:val="634715C5"/>
    <w:rsid w:val="63472597"/>
    <w:rsid w:val="63480522"/>
    <w:rsid w:val="63483AC2"/>
    <w:rsid w:val="634F7077"/>
    <w:rsid w:val="635068B3"/>
    <w:rsid w:val="63563C98"/>
    <w:rsid w:val="63563F75"/>
    <w:rsid w:val="6357670C"/>
    <w:rsid w:val="635811CA"/>
    <w:rsid w:val="63587222"/>
    <w:rsid w:val="635D5763"/>
    <w:rsid w:val="63606C23"/>
    <w:rsid w:val="63620E63"/>
    <w:rsid w:val="63667925"/>
    <w:rsid w:val="636A4432"/>
    <w:rsid w:val="636F0CEB"/>
    <w:rsid w:val="636F7556"/>
    <w:rsid w:val="637176DC"/>
    <w:rsid w:val="6374151E"/>
    <w:rsid w:val="63745ECB"/>
    <w:rsid w:val="6375708A"/>
    <w:rsid w:val="637A3C41"/>
    <w:rsid w:val="637A5CD5"/>
    <w:rsid w:val="637C0736"/>
    <w:rsid w:val="638126C3"/>
    <w:rsid w:val="63815336"/>
    <w:rsid w:val="63851F5C"/>
    <w:rsid w:val="63877487"/>
    <w:rsid w:val="638A5EC4"/>
    <w:rsid w:val="638C5B40"/>
    <w:rsid w:val="638E14D5"/>
    <w:rsid w:val="638F3DAA"/>
    <w:rsid w:val="6393413B"/>
    <w:rsid w:val="63943B4D"/>
    <w:rsid w:val="63947D46"/>
    <w:rsid w:val="63953E6D"/>
    <w:rsid w:val="63956815"/>
    <w:rsid w:val="63984453"/>
    <w:rsid w:val="639A32C8"/>
    <w:rsid w:val="639A5365"/>
    <w:rsid w:val="639D7CBB"/>
    <w:rsid w:val="639E1171"/>
    <w:rsid w:val="63A072B4"/>
    <w:rsid w:val="63A161F4"/>
    <w:rsid w:val="63A349D4"/>
    <w:rsid w:val="63A93A50"/>
    <w:rsid w:val="63A97451"/>
    <w:rsid w:val="63AA2F5C"/>
    <w:rsid w:val="63B115B1"/>
    <w:rsid w:val="63B52F83"/>
    <w:rsid w:val="63B56592"/>
    <w:rsid w:val="63B96C36"/>
    <w:rsid w:val="63BB0F22"/>
    <w:rsid w:val="63C62B99"/>
    <w:rsid w:val="63CC4E72"/>
    <w:rsid w:val="63CF2110"/>
    <w:rsid w:val="63D513E0"/>
    <w:rsid w:val="63DD04CB"/>
    <w:rsid w:val="63DF13ED"/>
    <w:rsid w:val="63DF4DC1"/>
    <w:rsid w:val="63E51700"/>
    <w:rsid w:val="63E76FA0"/>
    <w:rsid w:val="63EC0576"/>
    <w:rsid w:val="63F43E07"/>
    <w:rsid w:val="63F500D5"/>
    <w:rsid w:val="63FF2921"/>
    <w:rsid w:val="640222AA"/>
    <w:rsid w:val="64032CD0"/>
    <w:rsid w:val="640520BA"/>
    <w:rsid w:val="64155750"/>
    <w:rsid w:val="641674CC"/>
    <w:rsid w:val="64171DF5"/>
    <w:rsid w:val="64195594"/>
    <w:rsid w:val="641A2BEC"/>
    <w:rsid w:val="641C1E99"/>
    <w:rsid w:val="641E2BAA"/>
    <w:rsid w:val="641F6922"/>
    <w:rsid w:val="64264244"/>
    <w:rsid w:val="642C695B"/>
    <w:rsid w:val="642E51BD"/>
    <w:rsid w:val="64307DF9"/>
    <w:rsid w:val="64317B3C"/>
    <w:rsid w:val="643979E4"/>
    <w:rsid w:val="643D4B2B"/>
    <w:rsid w:val="643E0734"/>
    <w:rsid w:val="643E2173"/>
    <w:rsid w:val="64416899"/>
    <w:rsid w:val="64426AE4"/>
    <w:rsid w:val="6443592E"/>
    <w:rsid w:val="6444277E"/>
    <w:rsid w:val="6444708D"/>
    <w:rsid w:val="64490909"/>
    <w:rsid w:val="644A6E24"/>
    <w:rsid w:val="644E452F"/>
    <w:rsid w:val="64530F1A"/>
    <w:rsid w:val="645A231F"/>
    <w:rsid w:val="645C1120"/>
    <w:rsid w:val="6460739B"/>
    <w:rsid w:val="64607F77"/>
    <w:rsid w:val="646101ED"/>
    <w:rsid w:val="64620995"/>
    <w:rsid w:val="646604CC"/>
    <w:rsid w:val="64680AA0"/>
    <w:rsid w:val="6469358A"/>
    <w:rsid w:val="646954B4"/>
    <w:rsid w:val="646A6811"/>
    <w:rsid w:val="646B31F9"/>
    <w:rsid w:val="646B32AB"/>
    <w:rsid w:val="647508F9"/>
    <w:rsid w:val="64760A1F"/>
    <w:rsid w:val="647F6DCE"/>
    <w:rsid w:val="64814579"/>
    <w:rsid w:val="64843A57"/>
    <w:rsid w:val="64875941"/>
    <w:rsid w:val="648A3ED0"/>
    <w:rsid w:val="648C7BA2"/>
    <w:rsid w:val="648E34B9"/>
    <w:rsid w:val="648F4C1E"/>
    <w:rsid w:val="64956074"/>
    <w:rsid w:val="6497316F"/>
    <w:rsid w:val="64980092"/>
    <w:rsid w:val="6498669D"/>
    <w:rsid w:val="649A0C9D"/>
    <w:rsid w:val="649D4A91"/>
    <w:rsid w:val="649E6476"/>
    <w:rsid w:val="649F75B2"/>
    <w:rsid w:val="64A40562"/>
    <w:rsid w:val="64A95515"/>
    <w:rsid w:val="64B0008D"/>
    <w:rsid w:val="64B44282"/>
    <w:rsid w:val="64B67F1B"/>
    <w:rsid w:val="64B7203C"/>
    <w:rsid w:val="64B81251"/>
    <w:rsid w:val="64BC69A1"/>
    <w:rsid w:val="64BD51E3"/>
    <w:rsid w:val="64C31851"/>
    <w:rsid w:val="64C67AAF"/>
    <w:rsid w:val="64CB4088"/>
    <w:rsid w:val="64CB6F22"/>
    <w:rsid w:val="64CB76A1"/>
    <w:rsid w:val="64D12154"/>
    <w:rsid w:val="64D13787"/>
    <w:rsid w:val="64D229AF"/>
    <w:rsid w:val="64D23B3E"/>
    <w:rsid w:val="64D5608E"/>
    <w:rsid w:val="64D70FAB"/>
    <w:rsid w:val="64D92425"/>
    <w:rsid w:val="64DC51FB"/>
    <w:rsid w:val="64DD4618"/>
    <w:rsid w:val="64DE67A7"/>
    <w:rsid w:val="64EA5551"/>
    <w:rsid w:val="64EF6FC1"/>
    <w:rsid w:val="64F03084"/>
    <w:rsid w:val="64F12F90"/>
    <w:rsid w:val="64F4542E"/>
    <w:rsid w:val="64F95B07"/>
    <w:rsid w:val="64F97963"/>
    <w:rsid w:val="6500765F"/>
    <w:rsid w:val="65046BF1"/>
    <w:rsid w:val="65077AE2"/>
    <w:rsid w:val="65077E1F"/>
    <w:rsid w:val="65115315"/>
    <w:rsid w:val="651311C9"/>
    <w:rsid w:val="65160292"/>
    <w:rsid w:val="651C1C77"/>
    <w:rsid w:val="651D1642"/>
    <w:rsid w:val="651D7124"/>
    <w:rsid w:val="65202952"/>
    <w:rsid w:val="65221A98"/>
    <w:rsid w:val="65222B6E"/>
    <w:rsid w:val="65255106"/>
    <w:rsid w:val="652A37D1"/>
    <w:rsid w:val="652C0233"/>
    <w:rsid w:val="652C3E8F"/>
    <w:rsid w:val="652D11C7"/>
    <w:rsid w:val="65354240"/>
    <w:rsid w:val="653943A4"/>
    <w:rsid w:val="654505EC"/>
    <w:rsid w:val="65473474"/>
    <w:rsid w:val="65513477"/>
    <w:rsid w:val="655178B8"/>
    <w:rsid w:val="6552359D"/>
    <w:rsid w:val="65540583"/>
    <w:rsid w:val="65541260"/>
    <w:rsid w:val="65573347"/>
    <w:rsid w:val="65581B99"/>
    <w:rsid w:val="655C6354"/>
    <w:rsid w:val="6560226F"/>
    <w:rsid w:val="65610DCC"/>
    <w:rsid w:val="656132E7"/>
    <w:rsid w:val="65625D3D"/>
    <w:rsid w:val="65650D41"/>
    <w:rsid w:val="6565683A"/>
    <w:rsid w:val="65656B51"/>
    <w:rsid w:val="656A0050"/>
    <w:rsid w:val="656B6800"/>
    <w:rsid w:val="656F2B84"/>
    <w:rsid w:val="65793B35"/>
    <w:rsid w:val="65817895"/>
    <w:rsid w:val="65837450"/>
    <w:rsid w:val="65871F81"/>
    <w:rsid w:val="6587387D"/>
    <w:rsid w:val="65876E00"/>
    <w:rsid w:val="658930EB"/>
    <w:rsid w:val="65942881"/>
    <w:rsid w:val="65982E30"/>
    <w:rsid w:val="659C2BA8"/>
    <w:rsid w:val="65A569B5"/>
    <w:rsid w:val="65A76BCF"/>
    <w:rsid w:val="65A83FC4"/>
    <w:rsid w:val="65A868A9"/>
    <w:rsid w:val="65AA09DD"/>
    <w:rsid w:val="65B6208C"/>
    <w:rsid w:val="65BC3980"/>
    <w:rsid w:val="65C00DEC"/>
    <w:rsid w:val="65C71020"/>
    <w:rsid w:val="65CD5FA3"/>
    <w:rsid w:val="65D05B9F"/>
    <w:rsid w:val="65D23F7B"/>
    <w:rsid w:val="65D561F6"/>
    <w:rsid w:val="65D5726C"/>
    <w:rsid w:val="65D74B1E"/>
    <w:rsid w:val="65D77752"/>
    <w:rsid w:val="65DB6062"/>
    <w:rsid w:val="65DC0401"/>
    <w:rsid w:val="65E23452"/>
    <w:rsid w:val="65E51C38"/>
    <w:rsid w:val="65E9192E"/>
    <w:rsid w:val="65E92D7C"/>
    <w:rsid w:val="65E9592F"/>
    <w:rsid w:val="65EA0AFA"/>
    <w:rsid w:val="65F00576"/>
    <w:rsid w:val="65F33A15"/>
    <w:rsid w:val="65F649CE"/>
    <w:rsid w:val="65F67BDB"/>
    <w:rsid w:val="65F71905"/>
    <w:rsid w:val="66060EC6"/>
    <w:rsid w:val="6608017F"/>
    <w:rsid w:val="660828A1"/>
    <w:rsid w:val="66082E98"/>
    <w:rsid w:val="660B6B71"/>
    <w:rsid w:val="66140709"/>
    <w:rsid w:val="6616123E"/>
    <w:rsid w:val="661A2C9D"/>
    <w:rsid w:val="661C0ED5"/>
    <w:rsid w:val="661C72A8"/>
    <w:rsid w:val="66204F09"/>
    <w:rsid w:val="66233563"/>
    <w:rsid w:val="66255D31"/>
    <w:rsid w:val="663251EB"/>
    <w:rsid w:val="663634D9"/>
    <w:rsid w:val="6638131B"/>
    <w:rsid w:val="66394FA3"/>
    <w:rsid w:val="66411E91"/>
    <w:rsid w:val="6643707E"/>
    <w:rsid w:val="66494FE9"/>
    <w:rsid w:val="664D2BE9"/>
    <w:rsid w:val="664F59BA"/>
    <w:rsid w:val="66507013"/>
    <w:rsid w:val="66544FA9"/>
    <w:rsid w:val="665C3077"/>
    <w:rsid w:val="665F5B3A"/>
    <w:rsid w:val="66671910"/>
    <w:rsid w:val="66672F1E"/>
    <w:rsid w:val="667165E0"/>
    <w:rsid w:val="6672107E"/>
    <w:rsid w:val="66727C27"/>
    <w:rsid w:val="66797B43"/>
    <w:rsid w:val="667A42E4"/>
    <w:rsid w:val="667D2357"/>
    <w:rsid w:val="66820253"/>
    <w:rsid w:val="6683155E"/>
    <w:rsid w:val="66831954"/>
    <w:rsid w:val="66835477"/>
    <w:rsid w:val="6686272C"/>
    <w:rsid w:val="66864B66"/>
    <w:rsid w:val="6687133E"/>
    <w:rsid w:val="6687759B"/>
    <w:rsid w:val="668815E3"/>
    <w:rsid w:val="668C56FA"/>
    <w:rsid w:val="66916799"/>
    <w:rsid w:val="66947B86"/>
    <w:rsid w:val="66971521"/>
    <w:rsid w:val="66973EF7"/>
    <w:rsid w:val="669D0EBD"/>
    <w:rsid w:val="669D3398"/>
    <w:rsid w:val="66A43E0D"/>
    <w:rsid w:val="66A579E0"/>
    <w:rsid w:val="66A77857"/>
    <w:rsid w:val="66A80E5D"/>
    <w:rsid w:val="66AB2FCA"/>
    <w:rsid w:val="66AC3B9E"/>
    <w:rsid w:val="66B941D4"/>
    <w:rsid w:val="66BD3872"/>
    <w:rsid w:val="66C67529"/>
    <w:rsid w:val="66C70426"/>
    <w:rsid w:val="66C8215A"/>
    <w:rsid w:val="66C9090C"/>
    <w:rsid w:val="66CE13AC"/>
    <w:rsid w:val="66D014DF"/>
    <w:rsid w:val="66D1269F"/>
    <w:rsid w:val="66DA3845"/>
    <w:rsid w:val="66DB7FC1"/>
    <w:rsid w:val="66E05F18"/>
    <w:rsid w:val="66E33FC6"/>
    <w:rsid w:val="66E55C01"/>
    <w:rsid w:val="66E776D7"/>
    <w:rsid w:val="66EB1C96"/>
    <w:rsid w:val="66EE50DB"/>
    <w:rsid w:val="66EE62E3"/>
    <w:rsid w:val="66F662F1"/>
    <w:rsid w:val="66FE37EC"/>
    <w:rsid w:val="670A68CB"/>
    <w:rsid w:val="670A759E"/>
    <w:rsid w:val="670F735D"/>
    <w:rsid w:val="67103B0B"/>
    <w:rsid w:val="67106F4F"/>
    <w:rsid w:val="67155100"/>
    <w:rsid w:val="67164268"/>
    <w:rsid w:val="671D4DE3"/>
    <w:rsid w:val="671F75C1"/>
    <w:rsid w:val="67200793"/>
    <w:rsid w:val="672455BA"/>
    <w:rsid w:val="67257EAF"/>
    <w:rsid w:val="67291626"/>
    <w:rsid w:val="672A4E65"/>
    <w:rsid w:val="672C66B1"/>
    <w:rsid w:val="672D14F5"/>
    <w:rsid w:val="67311D32"/>
    <w:rsid w:val="673268A1"/>
    <w:rsid w:val="6734181A"/>
    <w:rsid w:val="673877FC"/>
    <w:rsid w:val="673878DC"/>
    <w:rsid w:val="673A62A0"/>
    <w:rsid w:val="673B147A"/>
    <w:rsid w:val="67423054"/>
    <w:rsid w:val="674307EA"/>
    <w:rsid w:val="674349D3"/>
    <w:rsid w:val="674E2AFF"/>
    <w:rsid w:val="67513AB1"/>
    <w:rsid w:val="6758598E"/>
    <w:rsid w:val="67654F94"/>
    <w:rsid w:val="676B3C4F"/>
    <w:rsid w:val="676B6F07"/>
    <w:rsid w:val="676D3200"/>
    <w:rsid w:val="67725366"/>
    <w:rsid w:val="6773061A"/>
    <w:rsid w:val="67746AC0"/>
    <w:rsid w:val="677C78E2"/>
    <w:rsid w:val="677E30AF"/>
    <w:rsid w:val="677E51A7"/>
    <w:rsid w:val="678035EF"/>
    <w:rsid w:val="678527C5"/>
    <w:rsid w:val="67852B6B"/>
    <w:rsid w:val="678A4856"/>
    <w:rsid w:val="679312AC"/>
    <w:rsid w:val="67942795"/>
    <w:rsid w:val="679B6381"/>
    <w:rsid w:val="679C4632"/>
    <w:rsid w:val="67A15C11"/>
    <w:rsid w:val="67A1786C"/>
    <w:rsid w:val="67A241E1"/>
    <w:rsid w:val="67A25363"/>
    <w:rsid w:val="67AC6F39"/>
    <w:rsid w:val="67AF7F01"/>
    <w:rsid w:val="67B101D9"/>
    <w:rsid w:val="67B11CD3"/>
    <w:rsid w:val="67B9006A"/>
    <w:rsid w:val="67BA4FF6"/>
    <w:rsid w:val="67BD7022"/>
    <w:rsid w:val="67BE6300"/>
    <w:rsid w:val="67BF293C"/>
    <w:rsid w:val="67C23B22"/>
    <w:rsid w:val="67D75225"/>
    <w:rsid w:val="67D95932"/>
    <w:rsid w:val="67DC360B"/>
    <w:rsid w:val="67E02286"/>
    <w:rsid w:val="67E70F36"/>
    <w:rsid w:val="67E75C34"/>
    <w:rsid w:val="67E77BB2"/>
    <w:rsid w:val="67EC0516"/>
    <w:rsid w:val="67EC2F60"/>
    <w:rsid w:val="67ED5027"/>
    <w:rsid w:val="67EE3D1C"/>
    <w:rsid w:val="67EF53DF"/>
    <w:rsid w:val="67F02AB0"/>
    <w:rsid w:val="67F923CF"/>
    <w:rsid w:val="67FD306B"/>
    <w:rsid w:val="68001990"/>
    <w:rsid w:val="680A4B16"/>
    <w:rsid w:val="680A5722"/>
    <w:rsid w:val="680B4158"/>
    <w:rsid w:val="680F03CD"/>
    <w:rsid w:val="68152154"/>
    <w:rsid w:val="681A450E"/>
    <w:rsid w:val="6823080E"/>
    <w:rsid w:val="68232949"/>
    <w:rsid w:val="682E161C"/>
    <w:rsid w:val="682E506A"/>
    <w:rsid w:val="68347056"/>
    <w:rsid w:val="68356310"/>
    <w:rsid w:val="684F3ABF"/>
    <w:rsid w:val="685272C6"/>
    <w:rsid w:val="68573352"/>
    <w:rsid w:val="685977DF"/>
    <w:rsid w:val="685C6242"/>
    <w:rsid w:val="68670987"/>
    <w:rsid w:val="686D52F2"/>
    <w:rsid w:val="68734B0F"/>
    <w:rsid w:val="6876684C"/>
    <w:rsid w:val="687B6E36"/>
    <w:rsid w:val="6881400F"/>
    <w:rsid w:val="68847343"/>
    <w:rsid w:val="68857D10"/>
    <w:rsid w:val="688A3140"/>
    <w:rsid w:val="688B068B"/>
    <w:rsid w:val="688C7812"/>
    <w:rsid w:val="689023BB"/>
    <w:rsid w:val="68996455"/>
    <w:rsid w:val="689B6D0B"/>
    <w:rsid w:val="689D73CB"/>
    <w:rsid w:val="689E418D"/>
    <w:rsid w:val="689F0032"/>
    <w:rsid w:val="689F5CE0"/>
    <w:rsid w:val="68A27637"/>
    <w:rsid w:val="68A573FA"/>
    <w:rsid w:val="68A85138"/>
    <w:rsid w:val="68A85741"/>
    <w:rsid w:val="68AA5354"/>
    <w:rsid w:val="68B74381"/>
    <w:rsid w:val="68BC0427"/>
    <w:rsid w:val="68C01A0F"/>
    <w:rsid w:val="68C15FC9"/>
    <w:rsid w:val="68CB2073"/>
    <w:rsid w:val="68CE5199"/>
    <w:rsid w:val="68D261BF"/>
    <w:rsid w:val="68D26659"/>
    <w:rsid w:val="68D61923"/>
    <w:rsid w:val="68D672BD"/>
    <w:rsid w:val="68DD155E"/>
    <w:rsid w:val="68DE379A"/>
    <w:rsid w:val="68DF3028"/>
    <w:rsid w:val="68E5721B"/>
    <w:rsid w:val="68E819D9"/>
    <w:rsid w:val="68E96820"/>
    <w:rsid w:val="68EC3266"/>
    <w:rsid w:val="68F64A6E"/>
    <w:rsid w:val="68FC7232"/>
    <w:rsid w:val="68FD1BDE"/>
    <w:rsid w:val="68FD1F00"/>
    <w:rsid w:val="69000F12"/>
    <w:rsid w:val="69045E16"/>
    <w:rsid w:val="69062A90"/>
    <w:rsid w:val="69104967"/>
    <w:rsid w:val="691E364C"/>
    <w:rsid w:val="69201173"/>
    <w:rsid w:val="692073C4"/>
    <w:rsid w:val="6922138F"/>
    <w:rsid w:val="69232BAA"/>
    <w:rsid w:val="692A3D0D"/>
    <w:rsid w:val="69345DDE"/>
    <w:rsid w:val="693A35B9"/>
    <w:rsid w:val="694154C0"/>
    <w:rsid w:val="69421D7F"/>
    <w:rsid w:val="6948432F"/>
    <w:rsid w:val="694903EE"/>
    <w:rsid w:val="694C04F0"/>
    <w:rsid w:val="694C4BD0"/>
    <w:rsid w:val="694E6E81"/>
    <w:rsid w:val="694E79D2"/>
    <w:rsid w:val="694F3806"/>
    <w:rsid w:val="6953269A"/>
    <w:rsid w:val="695465A4"/>
    <w:rsid w:val="69583103"/>
    <w:rsid w:val="695A323E"/>
    <w:rsid w:val="695E7EED"/>
    <w:rsid w:val="69607775"/>
    <w:rsid w:val="69624431"/>
    <w:rsid w:val="69641ECE"/>
    <w:rsid w:val="69657ED5"/>
    <w:rsid w:val="696A0640"/>
    <w:rsid w:val="696A5C9E"/>
    <w:rsid w:val="696E6576"/>
    <w:rsid w:val="696F6F27"/>
    <w:rsid w:val="69745267"/>
    <w:rsid w:val="69761CAE"/>
    <w:rsid w:val="69797DB4"/>
    <w:rsid w:val="69871B58"/>
    <w:rsid w:val="698864F9"/>
    <w:rsid w:val="698D6EF1"/>
    <w:rsid w:val="699018E1"/>
    <w:rsid w:val="69941965"/>
    <w:rsid w:val="69961A89"/>
    <w:rsid w:val="699C24CF"/>
    <w:rsid w:val="69A44E0B"/>
    <w:rsid w:val="69AC12AA"/>
    <w:rsid w:val="69AC1B3E"/>
    <w:rsid w:val="69AE2C22"/>
    <w:rsid w:val="69B64B07"/>
    <w:rsid w:val="69B7445B"/>
    <w:rsid w:val="69B904C5"/>
    <w:rsid w:val="69B970BD"/>
    <w:rsid w:val="69BD3CE7"/>
    <w:rsid w:val="69C02D06"/>
    <w:rsid w:val="69C14B2E"/>
    <w:rsid w:val="69C2650F"/>
    <w:rsid w:val="69C3345F"/>
    <w:rsid w:val="69C533BD"/>
    <w:rsid w:val="69CB7E8C"/>
    <w:rsid w:val="69CE3D9E"/>
    <w:rsid w:val="69D00DEB"/>
    <w:rsid w:val="69D139B3"/>
    <w:rsid w:val="69D50972"/>
    <w:rsid w:val="69D73C2A"/>
    <w:rsid w:val="69DC0956"/>
    <w:rsid w:val="69DC3B69"/>
    <w:rsid w:val="69DC6F84"/>
    <w:rsid w:val="69DD4480"/>
    <w:rsid w:val="69DE0C79"/>
    <w:rsid w:val="69E27BB1"/>
    <w:rsid w:val="69EA66CD"/>
    <w:rsid w:val="69F34D05"/>
    <w:rsid w:val="69F447EE"/>
    <w:rsid w:val="69F65642"/>
    <w:rsid w:val="69F866D4"/>
    <w:rsid w:val="69FA65F1"/>
    <w:rsid w:val="6A006D71"/>
    <w:rsid w:val="6A0178FD"/>
    <w:rsid w:val="6A086242"/>
    <w:rsid w:val="6A0F5C00"/>
    <w:rsid w:val="6A1129A0"/>
    <w:rsid w:val="6A15084D"/>
    <w:rsid w:val="6A155022"/>
    <w:rsid w:val="6A1962CF"/>
    <w:rsid w:val="6A1A4213"/>
    <w:rsid w:val="6A1A770D"/>
    <w:rsid w:val="6A1B25BC"/>
    <w:rsid w:val="6A1E630D"/>
    <w:rsid w:val="6A253925"/>
    <w:rsid w:val="6A27108C"/>
    <w:rsid w:val="6A285607"/>
    <w:rsid w:val="6A295BBC"/>
    <w:rsid w:val="6A2C48B4"/>
    <w:rsid w:val="6A2D0777"/>
    <w:rsid w:val="6A382BFE"/>
    <w:rsid w:val="6A3851FA"/>
    <w:rsid w:val="6A39401E"/>
    <w:rsid w:val="6A3C46E5"/>
    <w:rsid w:val="6A3E1905"/>
    <w:rsid w:val="6A412F42"/>
    <w:rsid w:val="6A4219A5"/>
    <w:rsid w:val="6A434A3D"/>
    <w:rsid w:val="6A533078"/>
    <w:rsid w:val="6A55020C"/>
    <w:rsid w:val="6A5E420B"/>
    <w:rsid w:val="6A5F4AAD"/>
    <w:rsid w:val="6A6015B7"/>
    <w:rsid w:val="6A62701C"/>
    <w:rsid w:val="6A637C0C"/>
    <w:rsid w:val="6A65665E"/>
    <w:rsid w:val="6A681072"/>
    <w:rsid w:val="6A6A0FEE"/>
    <w:rsid w:val="6A6D365E"/>
    <w:rsid w:val="6A6D61B5"/>
    <w:rsid w:val="6A775A0F"/>
    <w:rsid w:val="6A796254"/>
    <w:rsid w:val="6A813503"/>
    <w:rsid w:val="6A825CAF"/>
    <w:rsid w:val="6A8667FF"/>
    <w:rsid w:val="6A881468"/>
    <w:rsid w:val="6A893283"/>
    <w:rsid w:val="6A8A71EB"/>
    <w:rsid w:val="6A8C0ADE"/>
    <w:rsid w:val="6A941BEF"/>
    <w:rsid w:val="6A95195E"/>
    <w:rsid w:val="6A956A97"/>
    <w:rsid w:val="6A9670EF"/>
    <w:rsid w:val="6A9B4774"/>
    <w:rsid w:val="6AA0699D"/>
    <w:rsid w:val="6AAC6227"/>
    <w:rsid w:val="6AAD2CE4"/>
    <w:rsid w:val="6AAF388C"/>
    <w:rsid w:val="6AB220D9"/>
    <w:rsid w:val="6AB75941"/>
    <w:rsid w:val="6AB8310C"/>
    <w:rsid w:val="6ABF2453"/>
    <w:rsid w:val="6AC10847"/>
    <w:rsid w:val="6AC4302A"/>
    <w:rsid w:val="6AC73F94"/>
    <w:rsid w:val="6ACA3A8C"/>
    <w:rsid w:val="6ACC36DE"/>
    <w:rsid w:val="6AD34D19"/>
    <w:rsid w:val="6AD357AE"/>
    <w:rsid w:val="6AD36A27"/>
    <w:rsid w:val="6AD74046"/>
    <w:rsid w:val="6ADA7C7E"/>
    <w:rsid w:val="6ADD2808"/>
    <w:rsid w:val="6ADE1773"/>
    <w:rsid w:val="6AE86D3E"/>
    <w:rsid w:val="6AF31EE6"/>
    <w:rsid w:val="6AF760C4"/>
    <w:rsid w:val="6AF853FA"/>
    <w:rsid w:val="6AFE2651"/>
    <w:rsid w:val="6AFF3195"/>
    <w:rsid w:val="6B035B4C"/>
    <w:rsid w:val="6B064398"/>
    <w:rsid w:val="6B0869BC"/>
    <w:rsid w:val="6B0B7AE6"/>
    <w:rsid w:val="6B0C6829"/>
    <w:rsid w:val="6B0D7AAE"/>
    <w:rsid w:val="6B0F2C8A"/>
    <w:rsid w:val="6B104F5C"/>
    <w:rsid w:val="6B161AEE"/>
    <w:rsid w:val="6B195F40"/>
    <w:rsid w:val="6B1C3BBC"/>
    <w:rsid w:val="6B2F1950"/>
    <w:rsid w:val="6B34390B"/>
    <w:rsid w:val="6B374A66"/>
    <w:rsid w:val="6B377C11"/>
    <w:rsid w:val="6B390327"/>
    <w:rsid w:val="6B394063"/>
    <w:rsid w:val="6B437955"/>
    <w:rsid w:val="6B476D8B"/>
    <w:rsid w:val="6B4972D1"/>
    <w:rsid w:val="6B4C63D1"/>
    <w:rsid w:val="6B560FEA"/>
    <w:rsid w:val="6B561185"/>
    <w:rsid w:val="6B57648E"/>
    <w:rsid w:val="6B5B7D0E"/>
    <w:rsid w:val="6B5E59CC"/>
    <w:rsid w:val="6B60270D"/>
    <w:rsid w:val="6B6557A5"/>
    <w:rsid w:val="6B677D4D"/>
    <w:rsid w:val="6B682803"/>
    <w:rsid w:val="6B685053"/>
    <w:rsid w:val="6B6F7214"/>
    <w:rsid w:val="6B700D5C"/>
    <w:rsid w:val="6B7148A2"/>
    <w:rsid w:val="6B715ECA"/>
    <w:rsid w:val="6B757974"/>
    <w:rsid w:val="6B7D268A"/>
    <w:rsid w:val="6B7E03D2"/>
    <w:rsid w:val="6B8221EA"/>
    <w:rsid w:val="6B827287"/>
    <w:rsid w:val="6B83093C"/>
    <w:rsid w:val="6B8312D6"/>
    <w:rsid w:val="6B835C0E"/>
    <w:rsid w:val="6B8464D3"/>
    <w:rsid w:val="6B8535D8"/>
    <w:rsid w:val="6B8B3218"/>
    <w:rsid w:val="6B900323"/>
    <w:rsid w:val="6B901043"/>
    <w:rsid w:val="6B911AA9"/>
    <w:rsid w:val="6B9A2DDA"/>
    <w:rsid w:val="6B9A65C2"/>
    <w:rsid w:val="6BA56647"/>
    <w:rsid w:val="6BA866AD"/>
    <w:rsid w:val="6BA8785C"/>
    <w:rsid w:val="6BA918F3"/>
    <w:rsid w:val="6BAA25F7"/>
    <w:rsid w:val="6BB51320"/>
    <w:rsid w:val="6BB82A7A"/>
    <w:rsid w:val="6BC8455D"/>
    <w:rsid w:val="6BC9677D"/>
    <w:rsid w:val="6BCF353F"/>
    <w:rsid w:val="6BD43258"/>
    <w:rsid w:val="6BDA3C52"/>
    <w:rsid w:val="6BDC4D14"/>
    <w:rsid w:val="6BDD068D"/>
    <w:rsid w:val="6BDF514C"/>
    <w:rsid w:val="6BE00E4A"/>
    <w:rsid w:val="6BE76CEC"/>
    <w:rsid w:val="6BE92559"/>
    <w:rsid w:val="6BEA778E"/>
    <w:rsid w:val="6BED21C7"/>
    <w:rsid w:val="6BF04367"/>
    <w:rsid w:val="6BF7582B"/>
    <w:rsid w:val="6BFE0550"/>
    <w:rsid w:val="6C046151"/>
    <w:rsid w:val="6C08226B"/>
    <w:rsid w:val="6C083D86"/>
    <w:rsid w:val="6C0A7748"/>
    <w:rsid w:val="6C142023"/>
    <w:rsid w:val="6C150D37"/>
    <w:rsid w:val="6C1D16E2"/>
    <w:rsid w:val="6C211653"/>
    <w:rsid w:val="6C2170E9"/>
    <w:rsid w:val="6C231AC2"/>
    <w:rsid w:val="6C2A351F"/>
    <w:rsid w:val="6C2B5C2F"/>
    <w:rsid w:val="6C2D2376"/>
    <w:rsid w:val="6C327C1D"/>
    <w:rsid w:val="6C367C42"/>
    <w:rsid w:val="6C3950B4"/>
    <w:rsid w:val="6C3B7385"/>
    <w:rsid w:val="6C3C561F"/>
    <w:rsid w:val="6C3D3C0F"/>
    <w:rsid w:val="6C3E5957"/>
    <w:rsid w:val="6C4013F7"/>
    <w:rsid w:val="6C4038DA"/>
    <w:rsid w:val="6C4365AD"/>
    <w:rsid w:val="6C4419AF"/>
    <w:rsid w:val="6C45045A"/>
    <w:rsid w:val="6C451AF2"/>
    <w:rsid w:val="6C4D66A7"/>
    <w:rsid w:val="6C510808"/>
    <w:rsid w:val="6C525A85"/>
    <w:rsid w:val="6C566B6F"/>
    <w:rsid w:val="6C5A1CE4"/>
    <w:rsid w:val="6C5E6353"/>
    <w:rsid w:val="6C60185C"/>
    <w:rsid w:val="6C627084"/>
    <w:rsid w:val="6C62709E"/>
    <w:rsid w:val="6C6568F0"/>
    <w:rsid w:val="6C6F3090"/>
    <w:rsid w:val="6C700A1C"/>
    <w:rsid w:val="6C704FDE"/>
    <w:rsid w:val="6C7B174B"/>
    <w:rsid w:val="6C7E3AFA"/>
    <w:rsid w:val="6C8010D8"/>
    <w:rsid w:val="6C8016B6"/>
    <w:rsid w:val="6C804EA1"/>
    <w:rsid w:val="6C835D20"/>
    <w:rsid w:val="6C8448D3"/>
    <w:rsid w:val="6C8651C4"/>
    <w:rsid w:val="6C8F0DEF"/>
    <w:rsid w:val="6C915BF6"/>
    <w:rsid w:val="6C920CDA"/>
    <w:rsid w:val="6C923DEF"/>
    <w:rsid w:val="6C9C4289"/>
    <w:rsid w:val="6C9D66F5"/>
    <w:rsid w:val="6CA00FBE"/>
    <w:rsid w:val="6CA019DB"/>
    <w:rsid w:val="6CA26427"/>
    <w:rsid w:val="6CA30D49"/>
    <w:rsid w:val="6CA63BC8"/>
    <w:rsid w:val="6CA755AB"/>
    <w:rsid w:val="6CAC0930"/>
    <w:rsid w:val="6CB3436F"/>
    <w:rsid w:val="6CBD7EAD"/>
    <w:rsid w:val="6CC00735"/>
    <w:rsid w:val="6CCC758C"/>
    <w:rsid w:val="6CD65105"/>
    <w:rsid w:val="6CE16B38"/>
    <w:rsid w:val="6CE84BC7"/>
    <w:rsid w:val="6CF12FA7"/>
    <w:rsid w:val="6CF50985"/>
    <w:rsid w:val="6CF83FB5"/>
    <w:rsid w:val="6CFB48C9"/>
    <w:rsid w:val="6CFC0A06"/>
    <w:rsid w:val="6CFF5543"/>
    <w:rsid w:val="6D027ADE"/>
    <w:rsid w:val="6D033E5E"/>
    <w:rsid w:val="6D0F0582"/>
    <w:rsid w:val="6D144BE3"/>
    <w:rsid w:val="6D16035C"/>
    <w:rsid w:val="6D1B05CF"/>
    <w:rsid w:val="6D1E3C1B"/>
    <w:rsid w:val="6D200BD7"/>
    <w:rsid w:val="6D2027C6"/>
    <w:rsid w:val="6D2B6EA3"/>
    <w:rsid w:val="6D2F4FDE"/>
    <w:rsid w:val="6D350F65"/>
    <w:rsid w:val="6D356214"/>
    <w:rsid w:val="6D363755"/>
    <w:rsid w:val="6D437D16"/>
    <w:rsid w:val="6D475A36"/>
    <w:rsid w:val="6D4B2F18"/>
    <w:rsid w:val="6D4C6ACB"/>
    <w:rsid w:val="6D4C6BF4"/>
    <w:rsid w:val="6D526817"/>
    <w:rsid w:val="6D547081"/>
    <w:rsid w:val="6D5501A1"/>
    <w:rsid w:val="6D56242B"/>
    <w:rsid w:val="6D594DA9"/>
    <w:rsid w:val="6D5C4743"/>
    <w:rsid w:val="6D5E04BB"/>
    <w:rsid w:val="6D5F0526"/>
    <w:rsid w:val="6D6306CF"/>
    <w:rsid w:val="6D635085"/>
    <w:rsid w:val="6D65592E"/>
    <w:rsid w:val="6D677A69"/>
    <w:rsid w:val="6D68081A"/>
    <w:rsid w:val="6D6A78F5"/>
    <w:rsid w:val="6D755972"/>
    <w:rsid w:val="6D772CF8"/>
    <w:rsid w:val="6D7A01F0"/>
    <w:rsid w:val="6D7A6F4E"/>
    <w:rsid w:val="6D7D769C"/>
    <w:rsid w:val="6D7E5677"/>
    <w:rsid w:val="6D823CA3"/>
    <w:rsid w:val="6D827395"/>
    <w:rsid w:val="6D853818"/>
    <w:rsid w:val="6D8C4C80"/>
    <w:rsid w:val="6D8C7E95"/>
    <w:rsid w:val="6D925231"/>
    <w:rsid w:val="6D9F0F93"/>
    <w:rsid w:val="6DA51724"/>
    <w:rsid w:val="6DA611E9"/>
    <w:rsid w:val="6DA85BDA"/>
    <w:rsid w:val="6DAB14AF"/>
    <w:rsid w:val="6DAD0B45"/>
    <w:rsid w:val="6DAE3BCB"/>
    <w:rsid w:val="6DB32978"/>
    <w:rsid w:val="6DB32C04"/>
    <w:rsid w:val="6DB3553B"/>
    <w:rsid w:val="6DBD5D0A"/>
    <w:rsid w:val="6DC14725"/>
    <w:rsid w:val="6DC20A4A"/>
    <w:rsid w:val="6DC25783"/>
    <w:rsid w:val="6DC72109"/>
    <w:rsid w:val="6DCF1A33"/>
    <w:rsid w:val="6DD0757C"/>
    <w:rsid w:val="6DD11887"/>
    <w:rsid w:val="6DD1658B"/>
    <w:rsid w:val="6DD50F60"/>
    <w:rsid w:val="6DD7574E"/>
    <w:rsid w:val="6DDE537A"/>
    <w:rsid w:val="6DE7633E"/>
    <w:rsid w:val="6DE91028"/>
    <w:rsid w:val="6DE967C5"/>
    <w:rsid w:val="6DED53B4"/>
    <w:rsid w:val="6DF02AF8"/>
    <w:rsid w:val="6DF2413B"/>
    <w:rsid w:val="6DF350A8"/>
    <w:rsid w:val="6DF72B8A"/>
    <w:rsid w:val="6DF8125F"/>
    <w:rsid w:val="6DF90D44"/>
    <w:rsid w:val="6DFE0DD4"/>
    <w:rsid w:val="6DFE7F45"/>
    <w:rsid w:val="6E0229B4"/>
    <w:rsid w:val="6E0309C7"/>
    <w:rsid w:val="6E035F3A"/>
    <w:rsid w:val="6E070B53"/>
    <w:rsid w:val="6E091F3D"/>
    <w:rsid w:val="6E0A3C0E"/>
    <w:rsid w:val="6E0A7453"/>
    <w:rsid w:val="6E0E055E"/>
    <w:rsid w:val="6E106B47"/>
    <w:rsid w:val="6E1139F7"/>
    <w:rsid w:val="6E1510F0"/>
    <w:rsid w:val="6E1B1E66"/>
    <w:rsid w:val="6E1C3ED4"/>
    <w:rsid w:val="6E1D07B9"/>
    <w:rsid w:val="6E1D4049"/>
    <w:rsid w:val="6E226936"/>
    <w:rsid w:val="6E241E50"/>
    <w:rsid w:val="6E26266F"/>
    <w:rsid w:val="6E281711"/>
    <w:rsid w:val="6E2865B5"/>
    <w:rsid w:val="6E321BAA"/>
    <w:rsid w:val="6E322500"/>
    <w:rsid w:val="6E38088F"/>
    <w:rsid w:val="6E394299"/>
    <w:rsid w:val="6E3D42C3"/>
    <w:rsid w:val="6E3E452F"/>
    <w:rsid w:val="6E426F28"/>
    <w:rsid w:val="6E443205"/>
    <w:rsid w:val="6E44721A"/>
    <w:rsid w:val="6E4D146A"/>
    <w:rsid w:val="6E511176"/>
    <w:rsid w:val="6E53325E"/>
    <w:rsid w:val="6E58659E"/>
    <w:rsid w:val="6E6238A9"/>
    <w:rsid w:val="6E624811"/>
    <w:rsid w:val="6E6371CF"/>
    <w:rsid w:val="6E66587A"/>
    <w:rsid w:val="6E6665B3"/>
    <w:rsid w:val="6E6738EF"/>
    <w:rsid w:val="6E6B2DF3"/>
    <w:rsid w:val="6E70494A"/>
    <w:rsid w:val="6E72252B"/>
    <w:rsid w:val="6E7560A6"/>
    <w:rsid w:val="6E785CF4"/>
    <w:rsid w:val="6E820A67"/>
    <w:rsid w:val="6E83643B"/>
    <w:rsid w:val="6E8403F6"/>
    <w:rsid w:val="6E846405"/>
    <w:rsid w:val="6E8E2349"/>
    <w:rsid w:val="6E8E7CFC"/>
    <w:rsid w:val="6E935F65"/>
    <w:rsid w:val="6E9544D0"/>
    <w:rsid w:val="6E966DA2"/>
    <w:rsid w:val="6EA168B2"/>
    <w:rsid w:val="6EA74E11"/>
    <w:rsid w:val="6EAD306A"/>
    <w:rsid w:val="6EAE0549"/>
    <w:rsid w:val="6EB04D0E"/>
    <w:rsid w:val="6EBF416D"/>
    <w:rsid w:val="6EC44AA0"/>
    <w:rsid w:val="6EC64172"/>
    <w:rsid w:val="6ECB7023"/>
    <w:rsid w:val="6ED478B9"/>
    <w:rsid w:val="6ED53E51"/>
    <w:rsid w:val="6ED7649C"/>
    <w:rsid w:val="6ED83600"/>
    <w:rsid w:val="6EDA6CD7"/>
    <w:rsid w:val="6EDB3D76"/>
    <w:rsid w:val="6EE070C5"/>
    <w:rsid w:val="6EE24725"/>
    <w:rsid w:val="6EE549FA"/>
    <w:rsid w:val="6EE54B11"/>
    <w:rsid w:val="6EE56059"/>
    <w:rsid w:val="6EEC0AC1"/>
    <w:rsid w:val="6EF05CFD"/>
    <w:rsid w:val="6EF2289E"/>
    <w:rsid w:val="6EF34DFC"/>
    <w:rsid w:val="6EF40CAF"/>
    <w:rsid w:val="6EF43DC0"/>
    <w:rsid w:val="6EF743CE"/>
    <w:rsid w:val="6EF77608"/>
    <w:rsid w:val="6EF97107"/>
    <w:rsid w:val="6EFF7479"/>
    <w:rsid w:val="6F034F69"/>
    <w:rsid w:val="6F0502C6"/>
    <w:rsid w:val="6F057791"/>
    <w:rsid w:val="6F0C4789"/>
    <w:rsid w:val="6F0C6DCC"/>
    <w:rsid w:val="6F0D08F9"/>
    <w:rsid w:val="6F0D2199"/>
    <w:rsid w:val="6F121CA6"/>
    <w:rsid w:val="6F126D03"/>
    <w:rsid w:val="6F156FA4"/>
    <w:rsid w:val="6F157462"/>
    <w:rsid w:val="6F166453"/>
    <w:rsid w:val="6F1E0E4D"/>
    <w:rsid w:val="6F20011E"/>
    <w:rsid w:val="6F200FA8"/>
    <w:rsid w:val="6F2173F5"/>
    <w:rsid w:val="6F240B90"/>
    <w:rsid w:val="6F26579E"/>
    <w:rsid w:val="6F280D81"/>
    <w:rsid w:val="6F285225"/>
    <w:rsid w:val="6F2870F1"/>
    <w:rsid w:val="6F2A1E29"/>
    <w:rsid w:val="6F2A6AE9"/>
    <w:rsid w:val="6F2C1B84"/>
    <w:rsid w:val="6F2F1488"/>
    <w:rsid w:val="6F3360B3"/>
    <w:rsid w:val="6F35243A"/>
    <w:rsid w:val="6F3A4E32"/>
    <w:rsid w:val="6F3D113F"/>
    <w:rsid w:val="6F44693B"/>
    <w:rsid w:val="6F462099"/>
    <w:rsid w:val="6F46655B"/>
    <w:rsid w:val="6F477020"/>
    <w:rsid w:val="6F4B0DDB"/>
    <w:rsid w:val="6F4D0444"/>
    <w:rsid w:val="6F4E0977"/>
    <w:rsid w:val="6F525FBC"/>
    <w:rsid w:val="6F58766F"/>
    <w:rsid w:val="6F5E405F"/>
    <w:rsid w:val="6F67176A"/>
    <w:rsid w:val="6F672883"/>
    <w:rsid w:val="6F6A5B44"/>
    <w:rsid w:val="6F6F6AB0"/>
    <w:rsid w:val="6F7319E0"/>
    <w:rsid w:val="6F77239F"/>
    <w:rsid w:val="6F780E07"/>
    <w:rsid w:val="6F7854A2"/>
    <w:rsid w:val="6F7A0134"/>
    <w:rsid w:val="6F7B4E22"/>
    <w:rsid w:val="6F7E7735"/>
    <w:rsid w:val="6F8306AD"/>
    <w:rsid w:val="6F8D2788"/>
    <w:rsid w:val="6F912058"/>
    <w:rsid w:val="6F9151F2"/>
    <w:rsid w:val="6F961F95"/>
    <w:rsid w:val="6F966D1C"/>
    <w:rsid w:val="6F972B34"/>
    <w:rsid w:val="6F9F5A6A"/>
    <w:rsid w:val="6FA16C86"/>
    <w:rsid w:val="6FA320D5"/>
    <w:rsid w:val="6FA43510"/>
    <w:rsid w:val="6FAF0E89"/>
    <w:rsid w:val="6FAF14A2"/>
    <w:rsid w:val="6FB259C2"/>
    <w:rsid w:val="6FB70E63"/>
    <w:rsid w:val="6FBB5EAB"/>
    <w:rsid w:val="6FBE056B"/>
    <w:rsid w:val="6FBE7BB6"/>
    <w:rsid w:val="6FBE7C8A"/>
    <w:rsid w:val="6FC25D5A"/>
    <w:rsid w:val="6FC47D10"/>
    <w:rsid w:val="6FC543BB"/>
    <w:rsid w:val="6FC86413"/>
    <w:rsid w:val="6FC93FC3"/>
    <w:rsid w:val="6FC9660E"/>
    <w:rsid w:val="6FCA6D11"/>
    <w:rsid w:val="6FD00E95"/>
    <w:rsid w:val="6FD07A82"/>
    <w:rsid w:val="6FD11D3E"/>
    <w:rsid w:val="6FD25FB3"/>
    <w:rsid w:val="6FD66B93"/>
    <w:rsid w:val="6FDC565D"/>
    <w:rsid w:val="6FDE5B9F"/>
    <w:rsid w:val="6FDF0F57"/>
    <w:rsid w:val="6FE34915"/>
    <w:rsid w:val="6FE96A32"/>
    <w:rsid w:val="6FEC2C40"/>
    <w:rsid w:val="6FED1703"/>
    <w:rsid w:val="6FEE795B"/>
    <w:rsid w:val="6FEF1330"/>
    <w:rsid w:val="6FF0328D"/>
    <w:rsid w:val="6FF7227E"/>
    <w:rsid w:val="70052845"/>
    <w:rsid w:val="70052F64"/>
    <w:rsid w:val="70053B3B"/>
    <w:rsid w:val="70074F62"/>
    <w:rsid w:val="700A0487"/>
    <w:rsid w:val="700A543B"/>
    <w:rsid w:val="7014619A"/>
    <w:rsid w:val="701A4930"/>
    <w:rsid w:val="701D4EAA"/>
    <w:rsid w:val="701D640C"/>
    <w:rsid w:val="701E2E9F"/>
    <w:rsid w:val="701F0E4A"/>
    <w:rsid w:val="7024636C"/>
    <w:rsid w:val="702515BB"/>
    <w:rsid w:val="70261FB3"/>
    <w:rsid w:val="70271E3F"/>
    <w:rsid w:val="702D1CE5"/>
    <w:rsid w:val="702E0619"/>
    <w:rsid w:val="702E686B"/>
    <w:rsid w:val="70304724"/>
    <w:rsid w:val="70331BF2"/>
    <w:rsid w:val="70365253"/>
    <w:rsid w:val="703C26CA"/>
    <w:rsid w:val="703C71AC"/>
    <w:rsid w:val="70487618"/>
    <w:rsid w:val="704878F4"/>
    <w:rsid w:val="704A1E12"/>
    <w:rsid w:val="70542BA4"/>
    <w:rsid w:val="70543826"/>
    <w:rsid w:val="70573CE1"/>
    <w:rsid w:val="705C0ADF"/>
    <w:rsid w:val="70635EE3"/>
    <w:rsid w:val="706634CD"/>
    <w:rsid w:val="706A0F8F"/>
    <w:rsid w:val="7070747B"/>
    <w:rsid w:val="707853C3"/>
    <w:rsid w:val="707A1F03"/>
    <w:rsid w:val="707B3209"/>
    <w:rsid w:val="70802488"/>
    <w:rsid w:val="70803347"/>
    <w:rsid w:val="708472E4"/>
    <w:rsid w:val="708D52A8"/>
    <w:rsid w:val="708E0B76"/>
    <w:rsid w:val="708E2C02"/>
    <w:rsid w:val="708F4711"/>
    <w:rsid w:val="709064CF"/>
    <w:rsid w:val="70992AB6"/>
    <w:rsid w:val="709B3053"/>
    <w:rsid w:val="70A53A07"/>
    <w:rsid w:val="70A95134"/>
    <w:rsid w:val="70AB59C2"/>
    <w:rsid w:val="70AF72F9"/>
    <w:rsid w:val="70AF7A49"/>
    <w:rsid w:val="70B63A46"/>
    <w:rsid w:val="70BB63DC"/>
    <w:rsid w:val="70BE5BCD"/>
    <w:rsid w:val="70BF574D"/>
    <w:rsid w:val="70C03917"/>
    <w:rsid w:val="70C344A6"/>
    <w:rsid w:val="70C75DDD"/>
    <w:rsid w:val="70C833A0"/>
    <w:rsid w:val="70CB6897"/>
    <w:rsid w:val="70CE2842"/>
    <w:rsid w:val="70CE39F5"/>
    <w:rsid w:val="70D26FA2"/>
    <w:rsid w:val="70D313CC"/>
    <w:rsid w:val="70D517E4"/>
    <w:rsid w:val="70D91340"/>
    <w:rsid w:val="70DA5CFF"/>
    <w:rsid w:val="70DF67CE"/>
    <w:rsid w:val="70E14294"/>
    <w:rsid w:val="70E243F7"/>
    <w:rsid w:val="70E57B94"/>
    <w:rsid w:val="70E64BF8"/>
    <w:rsid w:val="70E839C1"/>
    <w:rsid w:val="70E92792"/>
    <w:rsid w:val="70EC2179"/>
    <w:rsid w:val="70ED144B"/>
    <w:rsid w:val="70EF7F56"/>
    <w:rsid w:val="70FA630B"/>
    <w:rsid w:val="70FD30BA"/>
    <w:rsid w:val="70FE448F"/>
    <w:rsid w:val="70FF78E8"/>
    <w:rsid w:val="71050B0B"/>
    <w:rsid w:val="71057D14"/>
    <w:rsid w:val="7106795F"/>
    <w:rsid w:val="710B46D0"/>
    <w:rsid w:val="71111928"/>
    <w:rsid w:val="71143211"/>
    <w:rsid w:val="71145BDE"/>
    <w:rsid w:val="71157697"/>
    <w:rsid w:val="711603B0"/>
    <w:rsid w:val="711E51B5"/>
    <w:rsid w:val="712204BA"/>
    <w:rsid w:val="71232003"/>
    <w:rsid w:val="712E7595"/>
    <w:rsid w:val="7133322B"/>
    <w:rsid w:val="71347437"/>
    <w:rsid w:val="713629A0"/>
    <w:rsid w:val="71446038"/>
    <w:rsid w:val="714B3F53"/>
    <w:rsid w:val="71541E90"/>
    <w:rsid w:val="715B3690"/>
    <w:rsid w:val="715D1301"/>
    <w:rsid w:val="715D69E5"/>
    <w:rsid w:val="715E7F84"/>
    <w:rsid w:val="7163234C"/>
    <w:rsid w:val="716531BF"/>
    <w:rsid w:val="7168622B"/>
    <w:rsid w:val="71695CFE"/>
    <w:rsid w:val="716A268F"/>
    <w:rsid w:val="716C671B"/>
    <w:rsid w:val="716D3E4E"/>
    <w:rsid w:val="7175005F"/>
    <w:rsid w:val="71765F4C"/>
    <w:rsid w:val="717708A7"/>
    <w:rsid w:val="717A0383"/>
    <w:rsid w:val="717B3081"/>
    <w:rsid w:val="717E737E"/>
    <w:rsid w:val="717F291B"/>
    <w:rsid w:val="718049D9"/>
    <w:rsid w:val="71825A57"/>
    <w:rsid w:val="71825B16"/>
    <w:rsid w:val="718A2B77"/>
    <w:rsid w:val="718E3D0F"/>
    <w:rsid w:val="719101E5"/>
    <w:rsid w:val="71955EE4"/>
    <w:rsid w:val="71965BDE"/>
    <w:rsid w:val="719B1AF1"/>
    <w:rsid w:val="719C0D9B"/>
    <w:rsid w:val="719D4987"/>
    <w:rsid w:val="71A16935"/>
    <w:rsid w:val="71A60034"/>
    <w:rsid w:val="71A80B7E"/>
    <w:rsid w:val="71A8218A"/>
    <w:rsid w:val="71AA1240"/>
    <w:rsid w:val="71AA172E"/>
    <w:rsid w:val="71AD6A2C"/>
    <w:rsid w:val="71AF50D3"/>
    <w:rsid w:val="71B21F1F"/>
    <w:rsid w:val="71B362A7"/>
    <w:rsid w:val="71B536A4"/>
    <w:rsid w:val="71B763EC"/>
    <w:rsid w:val="71BC38A5"/>
    <w:rsid w:val="71C065D9"/>
    <w:rsid w:val="71C14E0E"/>
    <w:rsid w:val="71C352B0"/>
    <w:rsid w:val="71C5582E"/>
    <w:rsid w:val="71C71A14"/>
    <w:rsid w:val="71CD05B1"/>
    <w:rsid w:val="71D00584"/>
    <w:rsid w:val="71D11A87"/>
    <w:rsid w:val="71D772C3"/>
    <w:rsid w:val="71D814B4"/>
    <w:rsid w:val="71DB2212"/>
    <w:rsid w:val="71DE7097"/>
    <w:rsid w:val="71E74989"/>
    <w:rsid w:val="71EA4291"/>
    <w:rsid w:val="71EA7962"/>
    <w:rsid w:val="71EC3F22"/>
    <w:rsid w:val="71EF570C"/>
    <w:rsid w:val="71F12148"/>
    <w:rsid w:val="71F93E54"/>
    <w:rsid w:val="72014769"/>
    <w:rsid w:val="720731E7"/>
    <w:rsid w:val="720B5C2F"/>
    <w:rsid w:val="720D41B9"/>
    <w:rsid w:val="72130B60"/>
    <w:rsid w:val="72174503"/>
    <w:rsid w:val="721813CF"/>
    <w:rsid w:val="72183748"/>
    <w:rsid w:val="7227667E"/>
    <w:rsid w:val="72281098"/>
    <w:rsid w:val="72283876"/>
    <w:rsid w:val="722C4B7F"/>
    <w:rsid w:val="722C4BB2"/>
    <w:rsid w:val="72321631"/>
    <w:rsid w:val="723309E9"/>
    <w:rsid w:val="723811C7"/>
    <w:rsid w:val="7239387B"/>
    <w:rsid w:val="723B082F"/>
    <w:rsid w:val="723B16F5"/>
    <w:rsid w:val="723B4A4B"/>
    <w:rsid w:val="723D0A25"/>
    <w:rsid w:val="723E08BB"/>
    <w:rsid w:val="72446B75"/>
    <w:rsid w:val="72447164"/>
    <w:rsid w:val="72450BDD"/>
    <w:rsid w:val="72486789"/>
    <w:rsid w:val="72490608"/>
    <w:rsid w:val="724A59CB"/>
    <w:rsid w:val="724F34B6"/>
    <w:rsid w:val="724F7B20"/>
    <w:rsid w:val="725132DC"/>
    <w:rsid w:val="725E5736"/>
    <w:rsid w:val="726B070A"/>
    <w:rsid w:val="726C367A"/>
    <w:rsid w:val="72710C91"/>
    <w:rsid w:val="72712ACE"/>
    <w:rsid w:val="7272387D"/>
    <w:rsid w:val="727824DD"/>
    <w:rsid w:val="72815963"/>
    <w:rsid w:val="72866F51"/>
    <w:rsid w:val="72891A25"/>
    <w:rsid w:val="728B0C58"/>
    <w:rsid w:val="728C3C9F"/>
    <w:rsid w:val="728D3191"/>
    <w:rsid w:val="728F42E4"/>
    <w:rsid w:val="7292472E"/>
    <w:rsid w:val="72925A8F"/>
    <w:rsid w:val="72932061"/>
    <w:rsid w:val="72955A8E"/>
    <w:rsid w:val="72966949"/>
    <w:rsid w:val="7298621E"/>
    <w:rsid w:val="729A51DC"/>
    <w:rsid w:val="729C4E89"/>
    <w:rsid w:val="72A740E8"/>
    <w:rsid w:val="72B03567"/>
    <w:rsid w:val="72B109BF"/>
    <w:rsid w:val="72B15272"/>
    <w:rsid w:val="72BD3ED6"/>
    <w:rsid w:val="72C05D94"/>
    <w:rsid w:val="72C4424C"/>
    <w:rsid w:val="72C628A0"/>
    <w:rsid w:val="72C76B03"/>
    <w:rsid w:val="72C9287B"/>
    <w:rsid w:val="72CA4259"/>
    <w:rsid w:val="72CF02D0"/>
    <w:rsid w:val="72D26397"/>
    <w:rsid w:val="72D34A8D"/>
    <w:rsid w:val="72D36E8B"/>
    <w:rsid w:val="72D956E3"/>
    <w:rsid w:val="72DD0154"/>
    <w:rsid w:val="72E27499"/>
    <w:rsid w:val="72E94D2E"/>
    <w:rsid w:val="72EB0D12"/>
    <w:rsid w:val="72EB459F"/>
    <w:rsid w:val="72EB74C4"/>
    <w:rsid w:val="72EE22E1"/>
    <w:rsid w:val="72F21780"/>
    <w:rsid w:val="72F26424"/>
    <w:rsid w:val="72F31511"/>
    <w:rsid w:val="72F46D86"/>
    <w:rsid w:val="72FC3DAE"/>
    <w:rsid w:val="72FE47B2"/>
    <w:rsid w:val="72FF2F07"/>
    <w:rsid w:val="72FF5C9F"/>
    <w:rsid w:val="73041B05"/>
    <w:rsid w:val="73067EEA"/>
    <w:rsid w:val="730F371A"/>
    <w:rsid w:val="731127EE"/>
    <w:rsid w:val="731E058F"/>
    <w:rsid w:val="731F06ED"/>
    <w:rsid w:val="73256018"/>
    <w:rsid w:val="73275491"/>
    <w:rsid w:val="732A58A7"/>
    <w:rsid w:val="732B11A5"/>
    <w:rsid w:val="732C474D"/>
    <w:rsid w:val="73320420"/>
    <w:rsid w:val="73340339"/>
    <w:rsid w:val="73392536"/>
    <w:rsid w:val="73430A0D"/>
    <w:rsid w:val="7343261B"/>
    <w:rsid w:val="73450781"/>
    <w:rsid w:val="734B722A"/>
    <w:rsid w:val="734C4CFE"/>
    <w:rsid w:val="734D525A"/>
    <w:rsid w:val="734E392B"/>
    <w:rsid w:val="73500701"/>
    <w:rsid w:val="73522870"/>
    <w:rsid w:val="7353570C"/>
    <w:rsid w:val="73596B8B"/>
    <w:rsid w:val="735C475C"/>
    <w:rsid w:val="73604A9A"/>
    <w:rsid w:val="73654FFB"/>
    <w:rsid w:val="736822C7"/>
    <w:rsid w:val="736E380E"/>
    <w:rsid w:val="73724CC1"/>
    <w:rsid w:val="737A3CFF"/>
    <w:rsid w:val="738023B8"/>
    <w:rsid w:val="7382036B"/>
    <w:rsid w:val="73855F58"/>
    <w:rsid w:val="738A091A"/>
    <w:rsid w:val="738C530A"/>
    <w:rsid w:val="738F0E26"/>
    <w:rsid w:val="73951ADF"/>
    <w:rsid w:val="7395262C"/>
    <w:rsid w:val="73962BB0"/>
    <w:rsid w:val="739936B5"/>
    <w:rsid w:val="739C3424"/>
    <w:rsid w:val="73A0182E"/>
    <w:rsid w:val="73A306E1"/>
    <w:rsid w:val="73A429A0"/>
    <w:rsid w:val="73A62B18"/>
    <w:rsid w:val="73A70288"/>
    <w:rsid w:val="73AF1A71"/>
    <w:rsid w:val="73B03D52"/>
    <w:rsid w:val="73B21579"/>
    <w:rsid w:val="73B22AB4"/>
    <w:rsid w:val="73B676F5"/>
    <w:rsid w:val="73BB170F"/>
    <w:rsid w:val="73BC2BC2"/>
    <w:rsid w:val="73D4159F"/>
    <w:rsid w:val="73D43A05"/>
    <w:rsid w:val="73D524A1"/>
    <w:rsid w:val="73D852ED"/>
    <w:rsid w:val="73DE620C"/>
    <w:rsid w:val="73E772F5"/>
    <w:rsid w:val="73E8612D"/>
    <w:rsid w:val="73EB2106"/>
    <w:rsid w:val="73ED46F4"/>
    <w:rsid w:val="73F637FC"/>
    <w:rsid w:val="73F8639A"/>
    <w:rsid w:val="73F930B4"/>
    <w:rsid w:val="73FC0AB3"/>
    <w:rsid w:val="73FD2204"/>
    <w:rsid w:val="73FD7B10"/>
    <w:rsid w:val="73FE196F"/>
    <w:rsid w:val="74022F04"/>
    <w:rsid w:val="74023E02"/>
    <w:rsid w:val="740679F6"/>
    <w:rsid w:val="740F518E"/>
    <w:rsid w:val="74102D1A"/>
    <w:rsid w:val="74181338"/>
    <w:rsid w:val="74236A4D"/>
    <w:rsid w:val="742566D4"/>
    <w:rsid w:val="742678B4"/>
    <w:rsid w:val="74280EC3"/>
    <w:rsid w:val="74303B75"/>
    <w:rsid w:val="743401C8"/>
    <w:rsid w:val="74344320"/>
    <w:rsid w:val="743A76F9"/>
    <w:rsid w:val="743B1BBC"/>
    <w:rsid w:val="743B540B"/>
    <w:rsid w:val="74466A60"/>
    <w:rsid w:val="7449623F"/>
    <w:rsid w:val="74532014"/>
    <w:rsid w:val="74556924"/>
    <w:rsid w:val="745E1482"/>
    <w:rsid w:val="74605B62"/>
    <w:rsid w:val="746453AC"/>
    <w:rsid w:val="74677631"/>
    <w:rsid w:val="74696B7D"/>
    <w:rsid w:val="74770A2D"/>
    <w:rsid w:val="74782B19"/>
    <w:rsid w:val="747C1315"/>
    <w:rsid w:val="747F58E7"/>
    <w:rsid w:val="74824EB1"/>
    <w:rsid w:val="74830E88"/>
    <w:rsid w:val="74833B56"/>
    <w:rsid w:val="748403B8"/>
    <w:rsid w:val="74895734"/>
    <w:rsid w:val="749727D4"/>
    <w:rsid w:val="749C0FB7"/>
    <w:rsid w:val="749D69F2"/>
    <w:rsid w:val="74A54C22"/>
    <w:rsid w:val="74A83754"/>
    <w:rsid w:val="74A83E60"/>
    <w:rsid w:val="74A90F27"/>
    <w:rsid w:val="74AB51F6"/>
    <w:rsid w:val="74AC35B3"/>
    <w:rsid w:val="74AD2A30"/>
    <w:rsid w:val="74AF2498"/>
    <w:rsid w:val="74B331A5"/>
    <w:rsid w:val="74B400D9"/>
    <w:rsid w:val="74B95CD6"/>
    <w:rsid w:val="74BA5F60"/>
    <w:rsid w:val="74BB7231"/>
    <w:rsid w:val="74BD5898"/>
    <w:rsid w:val="74BF3F35"/>
    <w:rsid w:val="74C0491A"/>
    <w:rsid w:val="74C22B45"/>
    <w:rsid w:val="74C44547"/>
    <w:rsid w:val="74D34C9F"/>
    <w:rsid w:val="74D553E4"/>
    <w:rsid w:val="74DA3B5A"/>
    <w:rsid w:val="74DC44AD"/>
    <w:rsid w:val="74E04287"/>
    <w:rsid w:val="74E21346"/>
    <w:rsid w:val="74E415AB"/>
    <w:rsid w:val="74EA384F"/>
    <w:rsid w:val="74EB7577"/>
    <w:rsid w:val="74EF2223"/>
    <w:rsid w:val="74F1406D"/>
    <w:rsid w:val="74F4255C"/>
    <w:rsid w:val="74F66170"/>
    <w:rsid w:val="74F975EE"/>
    <w:rsid w:val="74FA3C0D"/>
    <w:rsid w:val="74FE4F81"/>
    <w:rsid w:val="75006582"/>
    <w:rsid w:val="7501205A"/>
    <w:rsid w:val="750760E7"/>
    <w:rsid w:val="750909FD"/>
    <w:rsid w:val="750C09B2"/>
    <w:rsid w:val="750C300E"/>
    <w:rsid w:val="750D7D7F"/>
    <w:rsid w:val="750F22CA"/>
    <w:rsid w:val="75103CA3"/>
    <w:rsid w:val="75110A1B"/>
    <w:rsid w:val="75182B1F"/>
    <w:rsid w:val="751C5CB3"/>
    <w:rsid w:val="751D6EAE"/>
    <w:rsid w:val="75263D7E"/>
    <w:rsid w:val="752A2AA1"/>
    <w:rsid w:val="752E35F7"/>
    <w:rsid w:val="75301FC7"/>
    <w:rsid w:val="753574AC"/>
    <w:rsid w:val="7538049A"/>
    <w:rsid w:val="75380CA2"/>
    <w:rsid w:val="753D757B"/>
    <w:rsid w:val="753F0707"/>
    <w:rsid w:val="75404C07"/>
    <w:rsid w:val="754164C4"/>
    <w:rsid w:val="75447949"/>
    <w:rsid w:val="75454D20"/>
    <w:rsid w:val="754B2023"/>
    <w:rsid w:val="75525877"/>
    <w:rsid w:val="75532EB2"/>
    <w:rsid w:val="75534ACD"/>
    <w:rsid w:val="75550416"/>
    <w:rsid w:val="755A442D"/>
    <w:rsid w:val="7564068C"/>
    <w:rsid w:val="75680D53"/>
    <w:rsid w:val="7568637B"/>
    <w:rsid w:val="756E5262"/>
    <w:rsid w:val="756E7C56"/>
    <w:rsid w:val="75741C9A"/>
    <w:rsid w:val="75743568"/>
    <w:rsid w:val="75787B0E"/>
    <w:rsid w:val="757C4758"/>
    <w:rsid w:val="757C5983"/>
    <w:rsid w:val="757E4C1E"/>
    <w:rsid w:val="758149F1"/>
    <w:rsid w:val="75853417"/>
    <w:rsid w:val="7586108E"/>
    <w:rsid w:val="758E7F20"/>
    <w:rsid w:val="75904828"/>
    <w:rsid w:val="75910A9C"/>
    <w:rsid w:val="75911131"/>
    <w:rsid w:val="759C42BA"/>
    <w:rsid w:val="75A31436"/>
    <w:rsid w:val="75A73A27"/>
    <w:rsid w:val="75A87E67"/>
    <w:rsid w:val="75AF54A9"/>
    <w:rsid w:val="75B2217B"/>
    <w:rsid w:val="75B2260E"/>
    <w:rsid w:val="75B25A6C"/>
    <w:rsid w:val="75B47763"/>
    <w:rsid w:val="75B802EB"/>
    <w:rsid w:val="75BE0E35"/>
    <w:rsid w:val="75C10706"/>
    <w:rsid w:val="75C77A6C"/>
    <w:rsid w:val="75C94DAB"/>
    <w:rsid w:val="75CA6749"/>
    <w:rsid w:val="75CC3F53"/>
    <w:rsid w:val="75D178E7"/>
    <w:rsid w:val="75D46215"/>
    <w:rsid w:val="75D5375D"/>
    <w:rsid w:val="75D73501"/>
    <w:rsid w:val="75D81608"/>
    <w:rsid w:val="75DB59B4"/>
    <w:rsid w:val="75DC08E4"/>
    <w:rsid w:val="75DD23D2"/>
    <w:rsid w:val="75DE17B9"/>
    <w:rsid w:val="75E15FE7"/>
    <w:rsid w:val="75E34E7B"/>
    <w:rsid w:val="75E526D0"/>
    <w:rsid w:val="75E564EF"/>
    <w:rsid w:val="75E62741"/>
    <w:rsid w:val="75E66CEF"/>
    <w:rsid w:val="75EA4607"/>
    <w:rsid w:val="75EA665C"/>
    <w:rsid w:val="75EC541A"/>
    <w:rsid w:val="75EC6FE4"/>
    <w:rsid w:val="75EF615C"/>
    <w:rsid w:val="75F1469F"/>
    <w:rsid w:val="75F275DE"/>
    <w:rsid w:val="75F93286"/>
    <w:rsid w:val="75FE6433"/>
    <w:rsid w:val="75FE70DD"/>
    <w:rsid w:val="76005F4F"/>
    <w:rsid w:val="76012362"/>
    <w:rsid w:val="7603788D"/>
    <w:rsid w:val="760517AF"/>
    <w:rsid w:val="760655BC"/>
    <w:rsid w:val="76067F2E"/>
    <w:rsid w:val="76091EFB"/>
    <w:rsid w:val="760C4AFC"/>
    <w:rsid w:val="760D514D"/>
    <w:rsid w:val="760F0220"/>
    <w:rsid w:val="761210C4"/>
    <w:rsid w:val="761356E0"/>
    <w:rsid w:val="76144867"/>
    <w:rsid w:val="761448FC"/>
    <w:rsid w:val="76166EF4"/>
    <w:rsid w:val="76212B9B"/>
    <w:rsid w:val="762304F4"/>
    <w:rsid w:val="7625392B"/>
    <w:rsid w:val="76280CBF"/>
    <w:rsid w:val="7628672B"/>
    <w:rsid w:val="762B2FE1"/>
    <w:rsid w:val="76314EF5"/>
    <w:rsid w:val="763B1BB0"/>
    <w:rsid w:val="763B41E2"/>
    <w:rsid w:val="763C72B7"/>
    <w:rsid w:val="763D2179"/>
    <w:rsid w:val="763D5748"/>
    <w:rsid w:val="763D7808"/>
    <w:rsid w:val="7642545E"/>
    <w:rsid w:val="76440938"/>
    <w:rsid w:val="7646336E"/>
    <w:rsid w:val="764D5FCD"/>
    <w:rsid w:val="76501D75"/>
    <w:rsid w:val="76506933"/>
    <w:rsid w:val="76523430"/>
    <w:rsid w:val="765238CA"/>
    <w:rsid w:val="7653296E"/>
    <w:rsid w:val="76534489"/>
    <w:rsid w:val="76571D3F"/>
    <w:rsid w:val="765A18E7"/>
    <w:rsid w:val="765B0FBD"/>
    <w:rsid w:val="765C6722"/>
    <w:rsid w:val="765E5079"/>
    <w:rsid w:val="76612AFA"/>
    <w:rsid w:val="76617AE2"/>
    <w:rsid w:val="76621824"/>
    <w:rsid w:val="76643E46"/>
    <w:rsid w:val="76660A15"/>
    <w:rsid w:val="7667345C"/>
    <w:rsid w:val="766919A7"/>
    <w:rsid w:val="766A1C7F"/>
    <w:rsid w:val="7670010F"/>
    <w:rsid w:val="76737F91"/>
    <w:rsid w:val="76740FD9"/>
    <w:rsid w:val="76743FA1"/>
    <w:rsid w:val="76777220"/>
    <w:rsid w:val="7678114D"/>
    <w:rsid w:val="767B0330"/>
    <w:rsid w:val="767E473F"/>
    <w:rsid w:val="7683704C"/>
    <w:rsid w:val="768520F7"/>
    <w:rsid w:val="76857FBA"/>
    <w:rsid w:val="76886023"/>
    <w:rsid w:val="768C2287"/>
    <w:rsid w:val="768C4DE2"/>
    <w:rsid w:val="769105A1"/>
    <w:rsid w:val="76972285"/>
    <w:rsid w:val="769739A7"/>
    <w:rsid w:val="769B008A"/>
    <w:rsid w:val="76A15C2B"/>
    <w:rsid w:val="76B008E1"/>
    <w:rsid w:val="76B146E5"/>
    <w:rsid w:val="76B2478E"/>
    <w:rsid w:val="76B24E1D"/>
    <w:rsid w:val="76B35127"/>
    <w:rsid w:val="76B42D19"/>
    <w:rsid w:val="76BD4312"/>
    <w:rsid w:val="76BE43CE"/>
    <w:rsid w:val="76C17EC7"/>
    <w:rsid w:val="76C32063"/>
    <w:rsid w:val="76C80ED1"/>
    <w:rsid w:val="76C9617F"/>
    <w:rsid w:val="76CA339F"/>
    <w:rsid w:val="76CA6BC2"/>
    <w:rsid w:val="76D52491"/>
    <w:rsid w:val="76DA42CB"/>
    <w:rsid w:val="76DB4885"/>
    <w:rsid w:val="76DF5548"/>
    <w:rsid w:val="76E149D9"/>
    <w:rsid w:val="76E97EE4"/>
    <w:rsid w:val="76F613E9"/>
    <w:rsid w:val="76F64D92"/>
    <w:rsid w:val="76F73895"/>
    <w:rsid w:val="76FB3391"/>
    <w:rsid w:val="77040325"/>
    <w:rsid w:val="7704168F"/>
    <w:rsid w:val="770522D9"/>
    <w:rsid w:val="7706115C"/>
    <w:rsid w:val="770747BF"/>
    <w:rsid w:val="770976EA"/>
    <w:rsid w:val="770B595E"/>
    <w:rsid w:val="770D05C0"/>
    <w:rsid w:val="770D3E27"/>
    <w:rsid w:val="770E550A"/>
    <w:rsid w:val="770F50B3"/>
    <w:rsid w:val="7716675C"/>
    <w:rsid w:val="77174B0D"/>
    <w:rsid w:val="771D1EE8"/>
    <w:rsid w:val="771F1309"/>
    <w:rsid w:val="772327BD"/>
    <w:rsid w:val="77264EFA"/>
    <w:rsid w:val="772C6AD6"/>
    <w:rsid w:val="773105E2"/>
    <w:rsid w:val="77324E93"/>
    <w:rsid w:val="7732762D"/>
    <w:rsid w:val="77355722"/>
    <w:rsid w:val="773A31A8"/>
    <w:rsid w:val="773C1DE1"/>
    <w:rsid w:val="773F697E"/>
    <w:rsid w:val="77413047"/>
    <w:rsid w:val="7742187A"/>
    <w:rsid w:val="774229A2"/>
    <w:rsid w:val="77422A05"/>
    <w:rsid w:val="77436399"/>
    <w:rsid w:val="77492CD5"/>
    <w:rsid w:val="774E29BA"/>
    <w:rsid w:val="774E77F3"/>
    <w:rsid w:val="77534924"/>
    <w:rsid w:val="77577FE1"/>
    <w:rsid w:val="775D3A42"/>
    <w:rsid w:val="77604072"/>
    <w:rsid w:val="77624A27"/>
    <w:rsid w:val="77636704"/>
    <w:rsid w:val="776639E1"/>
    <w:rsid w:val="77690189"/>
    <w:rsid w:val="77692217"/>
    <w:rsid w:val="776D532A"/>
    <w:rsid w:val="777B7A69"/>
    <w:rsid w:val="777E0E14"/>
    <w:rsid w:val="77822565"/>
    <w:rsid w:val="77877E6E"/>
    <w:rsid w:val="77972AD7"/>
    <w:rsid w:val="779C1326"/>
    <w:rsid w:val="779F7BFD"/>
    <w:rsid w:val="77A96E26"/>
    <w:rsid w:val="77AB5F7C"/>
    <w:rsid w:val="77AD4ADB"/>
    <w:rsid w:val="77B175A5"/>
    <w:rsid w:val="77B27590"/>
    <w:rsid w:val="77B44F50"/>
    <w:rsid w:val="77B4592C"/>
    <w:rsid w:val="77B91F17"/>
    <w:rsid w:val="77BE21AC"/>
    <w:rsid w:val="77C32513"/>
    <w:rsid w:val="77CA0CAC"/>
    <w:rsid w:val="77CB3411"/>
    <w:rsid w:val="77CE2D10"/>
    <w:rsid w:val="77CF019A"/>
    <w:rsid w:val="77D01973"/>
    <w:rsid w:val="77D071F5"/>
    <w:rsid w:val="77D34EB5"/>
    <w:rsid w:val="77D42677"/>
    <w:rsid w:val="77D617A6"/>
    <w:rsid w:val="77DA1086"/>
    <w:rsid w:val="77E564EB"/>
    <w:rsid w:val="77EA7FF0"/>
    <w:rsid w:val="77EC031F"/>
    <w:rsid w:val="77F00C49"/>
    <w:rsid w:val="77F030AC"/>
    <w:rsid w:val="77F035AC"/>
    <w:rsid w:val="77F23B77"/>
    <w:rsid w:val="77F77061"/>
    <w:rsid w:val="77FC3AEF"/>
    <w:rsid w:val="780E229A"/>
    <w:rsid w:val="781248B7"/>
    <w:rsid w:val="78142BF5"/>
    <w:rsid w:val="78193B68"/>
    <w:rsid w:val="78234C7B"/>
    <w:rsid w:val="782825A8"/>
    <w:rsid w:val="782D45C2"/>
    <w:rsid w:val="78305F41"/>
    <w:rsid w:val="78313449"/>
    <w:rsid w:val="783228CA"/>
    <w:rsid w:val="783320E1"/>
    <w:rsid w:val="783907E3"/>
    <w:rsid w:val="783B2765"/>
    <w:rsid w:val="78407E52"/>
    <w:rsid w:val="784152A8"/>
    <w:rsid w:val="78426414"/>
    <w:rsid w:val="78463E2D"/>
    <w:rsid w:val="78477551"/>
    <w:rsid w:val="784D2D0F"/>
    <w:rsid w:val="784E3962"/>
    <w:rsid w:val="7854098E"/>
    <w:rsid w:val="78583071"/>
    <w:rsid w:val="785A7F58"/>
    <w:rsid w:val="785C235A"/>
    <w:rsid w:val="785C7CED"/>
    <w:rsid w:val="785F4652"/>
    <w:rsid w:val="78650950"/>
    <w:rsid w:val="786A0603"/>
    <w:rsid w:val="78720F60"/>
    <w:rsid w:val="78736C64"/>
    <w:rsid w:val="78754338"/>
    <w:rsid w:val="787D708B"/>
    <w:rsid w:val="78801F66"/>
    <w:rsid w:val="788023A0"/>
    <w:rsid w:val="788727F1"/>
    <w:rsid w:val="78890946"/>
    <w:rsid w:val="78946B8C"/>
    <w:rsid w:val="78954775"/>
    <w:rsid w:val="78973E74"/>
    <w:rsid w:val="789B7238"/>
    <w:rsid w:val="789C345F"/>
    <w:rsid w:val="78A21BA4"/>
    <w:rsid w:val="78A27C24"/>
    <w:rsid w:val="78A44941"/>
    <w:rsid w:val="78A601D7"/>
    <w:rsid w:val="78A667B3"/>
    <w:rsid w:val="78AB48C7"/>
    <w:rsid w:val="78AB6307"/>
    <w:rsid w:val="78AE7351"/>
    <w:rsid w:val="78B02928"/>
    <w:rsid w:val="78B066F9"/>
    <w:rsid w:val="78B21F9C"/>
    <w:rsid w:val="78B56375"/>
    <w:rsid w:val="78B64AD1"/>
    <w:rsid w:val="78B8205E"/>
    <w:rsid w:val="78B867DA"/>
    <w:rsid w:val="78BA4147"/>
    <w:rsid w:val="78C052B2"/>
    <w:rsid w:val="78C22246"/>
    <w:rsid w:val="78C86EEE"/>
    <w:rsid w:val="78CF0568"/>
    <w:rsid w:val="78DB1430"/>
    <w:rsid w:val="78DC3B31"/>
    <w:rsid w:val="78DE2DB8"/>
    <w:rsid w:val="78E054CD"/>
    <w:rsid w:val="78E461B6"/>
    <w:rsid w:val="78E705FC"/>
    <w:rsid w:val="78E82BF4"/>
    <w:rsid w:val="78EA2622"/>
    <w:rsid w:val="78EA4062"/>
    <w:rsid w:val="78EE6911"/>
    <w:rsid w:val="78F148D9"/>
    <w:rsid w:val="78F656F1"/>
    <w:rsid w:val="78F862C1"/>
    <w:rsid w:val="78FC0E25"/>
    <w:rsid w:val="78FC5ACF"/>
    <w:rsid w:val="78FF4A43"/>
    <w:rsid w:val="78FF6166"/>
    <w:rsid w:val="790463BB"/>
    <w:rsid w:val="790A788C"/>
    <w:rsid w:val="790D7B1F"/>
    <w:rsid w:val="79151F2D"/>
    <w:rsid w:val="791A1EEB"/>
    <w:rsid w:val="7920788E"/>
    <w:rsid w:val="79224BBF"/>
    <w:rsid w:val="79272C51"/>
    <w:rsid w:val="79274143"/>
    <w:rsid w:val="79294073"/>
    <w:rsid w:val="792A2929"/>
    <w:rsid w:val="792B05B6"/>
    <w:rsid w:val="792B67CC"/>
    <w:rsid w:val="79304B6D"/>
    <w:rsid w:val="79315A96"/>
    <w:rsid w:val="79333B86"/>
    <w:rsid w:val="793841F9"/>
    <w:rsid w:val="793850B3"/>
    <w:rsid w:val="793B5D10"/>
    <w:rsid w:val="7943710C"/>
    <w:rsid w:val="79440EAD"/>
    <w:rsid w:val="79473B95"/>
    <w:rsid w:val="79490A5A"/>
    <w:rsid w:val="794B2B9D"/>
    <w:rsid w:val="79512B04"/>
    <w:rsid w:val="79516FCB"/>
    <w:rsid w:val="79541B1C"/>
    <w:rsid w:val="79570BA8"/>
    <w:rsid w:val="795B120D"/>
    <w:rsid w:val="795F63EE"/>
    <w:rsid w:val="79606EDD"/>
    <w:rsid w:val="796238F6"/>
    <w:rsid w:val="796B407D"/>
    <w:rsid w:val="796C77A5"/>
    <w:rsid w:val="796E1AFB"/>
    <w:rsid w:val="79704713"/>
    <w:rsid w:val="79737817"/>
    <w:rsid w:val="797500B3"/>
    <w:rsid w:val="797612FC"/>
    <w:rsid w:val="79776CD3"/>
    <w:rsid w:val="797A152D"/>
    <w:rsid w:val="797A79C7"/>
    <w:rsid w:val="797E1877"/>
    <w:rsid w:val="797F3EF0"/>
    <w:rsid w:val="79856CE3"/>
    <w:rsid w:val="79885189"/>
    <w:rsid w:val="798951F2"/>
    <w:rsid w:val="798C7C16"/>
    <w:rsid w:val="79925D6A"/>
    <w:rsid w:val="7997386C"/>
    <w:rsid w:val="799A768A"/>
    <w:rsid w:val="799B2F35"/>
    <w:rsid w:val="799E5223"/>
    <w:rsid w:val="799E7F2B"/>
    <w:rsid w:val="79A752DD"/>
    <w:rsid w:val="79B13D31"/>
    <w:rsid w:val="79B16619"/>
    <w:rsid w:val="79B400E6"/>
    <w:rsid w:val="79B9613E"/>
    <w:rsid w:val="79BF7305"/>
    <w:rsid w:val="79C0593F"/>
    <w:rsid w:val="79CD1930"/>
    <w:rsid w:val="79CD61FC"/>
    <w:rsid w:val="79D62DAF"/>
    <w:rsid w:val="79DA5A00"/>
    <w:rsid w:val="79DA7AE8"/>
    <w:rsid w:val="79DD6B59"/>
    <w:rsid w:val="79E13F3E"/>
    <w:rsid w:val="79E25836"/>
    <w:rsid w:val="79E720FD"/>
    <w:rsid w:val="79E84DA6"/>
    <w:rsid w:val="79E852A3"/>
    <w:rsid w:val="79EA1A55"/>
    <w:rsid w:val="79F25111"/>
    <w:rsid w:val="79F52A50"/>
    <w:rsid w:val="79F6478D"/>
    <w:rsid w:val="79FA46C9"/>
    <w:rsid w:val="79FE77A5"/>
    <w:rsid w:val="7A000823"/>
    <w:rsid w:val="7A035E4D"/>
    <w:rsid w:val="7A04680B"/>
    <w:rsid w:val="7A0661DD"/>
    <w:rsid w:val="7A097610"/>
    <w:rsid w:val="7A0D129F"/>
    <w:rsid w:val="7A0E4F5E"/>
    <w:rsid w:val="7A10521B"/>
    <w:rsid w:val="7A106071"/>
    <w:rsid w:val="7A15331F"/>
    <w:rsid w:val="7A1C0D2C"/>
    <w:rsid w:val="7A222688"/>
    <w:rsid w:val="7A2325A0"/>
    <w:rsid w:val="7A234EA1"/>
    <w:rsid w:val="7A2C0940"/>
    <w:rsid w:val="7A2E7885"/>
    <w:rsid w:val="7A317656"/>
    <w:rsid w:val="7A3368D0"/>
    <w:rsid w:val="7A34473F"/>
    <w:rsid w:val="7A352D6B"/>
    <w:rsid w:val="7A39555A"/>
    <w:rsid w:val="7A3D6CF9"/>
    <w:rsid w:val="7A3F0DAE"/>
    <w:rsid w:val="7A3F6A0C"/>
    <w:rsid w:val="7A403A5A"/>
    <w:rsid w:val="7A41365C"/>
    <w:rsid w:val="7A420AB1"/>
    <w:rsid w:val="7A43056C"/>
    <w:rsid w:val="7A4466AF"/>
    <w:rsid w:val="7A4D3E0B"/>
    <w:rsid w:val="7A517FE1"/>
    <w:rsid w:val="7A522C5D"/>
    <w:rsid w:val="7A534A6C"/>
    <w:rsid w:val="7A5D7950"/>
    <w:rsid w:val="7A630A19"/>
    <w:rsid w:val="7A662F84"/>
    <w:rsid w:val="7A6D117D"/>
    <w:rsid w:val="7A7037BE"/>
    <w:rsid w:val="7A716AD3"/>
    <w:rsid w:val="7A717781"/>
    <w:rsid w:val="7A7255A6"/>
    <w:rsid w:val="7A75417B"/>
    <w:rsid w:val="7A7F0FF0"/>
    <w:rsid w:val="7A8331A1"/>
    <w:rsid w:val="7A8525E8"/>
    <w:rsid w:val="7A8653EC"/>
    <w:rsid w:val="7A8920E9"/>
    <w:rsid w:val="7A8A48C6"/>
    <w:rsid w:val="7A8B2C6C"/>
    <w:rsid w:val="7A8F2DF6"/>
    <w:rsid w:val="7A943B20"/>
    <w:rsid w:val="7A9538D2"/>
    <w:rsid w:val="7A9638CA"/>
    <w:rsid w:val="7A965CC6"/>
    <w:rsid w:val="7A966ECE"/>
    <w:rsid w:val="7A9A3DBA"/>
    <w:rsid w:val="7A9D458D"/>
    <w:rsid w:val="7A9E3D7E"/>
    <w:rsid w:val="7AA2434E"/>
    <w:rsid w:val="7AA32641"/>
    <w:rsid w:val="7AA41F27"/>
    <w:rsid w:val="7AA72900"/>
    <w:rsid w:val="7AA930C7"/>
    <w:rsid w:val="7AB44BF4"/>
    <w:rsid w:val="7AB67420"/>
    <w:rsid w:val="7AB83D1E"/>
    <w:rsid w:val="7ABE07EB"/>
    <w:rsid w:val="7AC00C09"/>
    <w:rsid w:val="7ACE62B4"/>
    <w:rsid w:val="7ACE785E"/>
    <w:rsid w:val="7ACF3AA2"/>
    <w:rsid w:val="7ADB24D7"/>
    <w:rsid w:val="7ADB5330"/>
    <w:rsid w:val="7AE77961"/>
    <w:rsid w:val="7AE90B23"/>
    <w:rsid w:val="7AE95E7E"/>
    <w:rsid w:val="7AEE74ED"/>
    <w:rsid w:val="7AEE79EA"/>
    <w:rsid w:val="7AF426F0"/>
    <w:rsid w:val="7AF65DC7"/>
    <w:rsid w:val="7AF82363"/>
    <w:rsid w:val="7AFC1667"/>
    <w:rsid w:val="7B0019AE"/>
    <w:rsid w:val="7B03158D"/>
    <w:rsid w:val="7B071A98"/>
    <w:rsid w:val="7B097A1C"/>
    <w:rsid w:val="7B0A394A"/>
    <w:rsid w:val="7B0E3280"/>
    <w:rsid w:val="7B0F2D4F"/>
    <w:rsid w:val="7B111001"/>
    <w:rsid w:val="7B136D89"/>
    <w:rsid w:val="7B144F61"/>
    <w:rsid w:val="7B1623D5"/>
    <w:rsid w:val="7B1D57C7"/>
    <w:rsid w:val="7B1D6131"/>
    <w:rsid w:val="7B1E0BE4"/>
    <w:rsid w:val="7B215A53"/>
    <w:rsid w:val="7B217199"/>
    <w:rsid w:val="7B22521E"/>
    <w:rsid w:val="7B2657D7"/>
    <w:rsid w:val="7B2E4F3D"/>
    <w:rsid w:val="7B2F58B8"/>
    <w:rsid w:val="7B332FF8"/>
    <w:rsid w:val="7B373EE9"/>
    <w:rsid w:val="7B41062F"/>
    <w:rsid w:val="7B4355EB"/>
    <w:rsid w:val="7B48292E"/>
    <w:rsid w:val="7B4C52C9"/>
    <w:rsid w:val="7B52609D"/>
    <w:rsid w:val="7B542153"/>
    <w:rsid w:val="7B5B1111"/>
    <w:rsid w:val="7B635832"/>
    <w:rsid w:val="7B637CA9"/>
    <w:rsid w:val="7B640E99"/>
    <w:rsid w:val="7B646B71"/>
    <w:rsid w:val="7B693C45"/>
    <w:rsid w:val="7B6A7FDD"/>
    <w:rsid w:val="7B6C38F1"/>
    <w:rsid w:val="7B6E09B6"/>
    <w:rsid w:val="7B6F32E7"/>
    <w:rsid w:val="7B7354E5"/>
    <w:rsid w:val="7B767318"/>
    <w:rsid w:val="7B7B32D0"/>
    <w:rsid w:val="7B7E5E37"/>
    <w:rsid w:val="7B7F6108"/>
    <w:rsid w:val="7B822758"/>
    <w:rsid w:val="7B8260B7"/>
    <w:rsid w:val="7B8622D3"/>
    <w:rsid w:val="7B863B2B"/>
    <w:rsid w:val="7B89704B"/>
    <w:rsid w:val="7B8B11B4"/>
    <w:rsid w:val="7B8B2796"/>
    <w:rsid w:val="7B8B41DD"/>
    <w:rsid w:val="7B8B7C47"/>
    <w:rsid w:val="7B8C08E9"/>
    <w:rsid w:val="7B8C23AA"/>
    <w:rsid w:val="7B8C7231"/>
    <w:rsid w:val="7B8E117B"/>
    <w:rsid w:val="7B8E665B"/>
    <w:rsid w:val="7B903B68"/>
    <w:rsid w:val="7B910ED2"/>
    <w:rsid w:val="7B914152"/>
    <w:rsid w:val="7B971768"/>
    <w:rsid w:val="7B97666B"/>
    <w:rsid w:val="7B9D5478"/>
    <w:rsid w:val="7BA95FF4"/>
    <w:rsid w:val="7BA9675A"/>
    <w:rsid w:val="7BAC4AE8"/>
    <w:rsid w:val="7BAD7955"/>
    <w:rsid w:val="7BAE3A4F"/>
    <w:rsid w:val="7BB37C24"/>
    <w:rsid w:val="7BB544F2"/>
    <w:rsid w:val="7BB60DB8"/>
    <w:rsid w:val="7BB87985"/>
    <w:rsid w:val="7BB90B23"/>
    <w:rsid w:val="7BBB7BFF"/>
    <w:rsid w:val="7BBD53EA"/>
    <w:rsid w:val="7BBE7545"/>
    <w:rsid w:val="7BBF6C02"/>
    <w:rsid w:val="7BC34F5E"/>
    <w:rsid w:val="7BC57DF6"/>
    <w:rsid w:val="7BCF5D85"/>
    <w:rsid w:val="7BD139E0"/>
    <w:rsid w:val="7BDA1CCA"/>
    <w:rsid w:val="7BDA7AFB"/>
    <w:rsid w:val="7BDC01F7"/>
    <w:rsid w:val="7BDD1145"/>
    <w:rsid w:val="7BEB26DB"/>
    <w:rsid w:val="7BED453D"/>
    <w:rsid w:val="7BED5740"/>
    <w:rsid w:val="7BF5165C"/>
    <w:rsid w:val="7BFA1ADC"/>
    <w:rsid w:val="7BFA2012"/>
    <w:rsid w:val="7BFA5BF3"/>
    <w:rsid w:val="7C02078F"/>
    <w:rsid w:val="7C044AB6"/>
    <w:rsid w:val="7C04672D"/>
    <w:rsid w:val="7C075FEE"/>
    <w:rsid w:val="7C0B0687"/>
    <w:rsid w:val="7C106F66"/>
    <w:rsid w:val="7C147D4F"/>
    <w:rsid w:val="7C162856"/>
    <w:rsid w:val="7C1A488A"/>
    <w:rsid w:val="7C1B5595"/>
    <w:rsid w:val="7C23493A"/>
    <w:rsid w:val="7C251BAD"/>
    <w:rsid w:val="7C274792"/>
    <w:rsid w:val="7C2D3986"/>
    <w:rsid w:val="7C2D41C7"/>
    <w:rsid w:val="7C303EB0"/>
    <w:rsid w:val="7C35296F"/>
    <w:rsid w:val="7C360761"/>
    <w:rsid w:val="7C3607DE"/>
    <w:rsid w:val="7C3772AD"/>
    <w:rsid w:val="7C3839F8"/>
    <w:rsid w:val="7C3D7119"/>
    <w:rsid w:val="7C3E1AEF"/>
    <w:rsid w:val="7C3E6054"/>
    <w:rsid w:val="7C3F23E9"/>
    <w:rsid w:val="7C4371FA"/>
    <w:rsid w:val="7C445F6B"/>
    <w:rsid w:val="7C477869"/>
    <w:rsid w:val="7C524F07"/>
    <w:rsid w:val="7C5316BF"/>
    <w:rsid w:val="7C535C24"/>
    <w:rsid w:val="7C5B311C"/>
    <w:rsid w:val="7C5D2BE1"/>
    <w:rsid w:val="7C5F7DAC"/>
    <w:rsid w:val="7C652D94"/>
    <w:rsid w:val="7C681620"/>
    <w:rsid w:val="7C725CFD"/>
    <w:rsid w:val="7C7316C0"/>
    <w:rsid w:val="7C7510DE"/>
    <w:rsid w:val="7C78250B"/>
    <w:rsid w:val="7C7B6E0A"/>
    <w:rsid w:val="7C7D189E"/>
    <w:rsid w:val="7C7E0232"/>
    <w:rsid w:val="7C7E0C01"/>
    <w:rsid w:val="7C8532A9"/>
    <w:rsid w:val="7C872BEB"/>
    <w:rsid w:val="7C886179"/>
    <w:rsid w:val="7C8D32E6"/>
    <w:rsid w:val="7C9C46A8"/>
    <w:rsid w:val="7C9D48A2"/>
    <w:rsid w:val="7C9F79C5"/>
    <w:rsid w:val="7CA030B6"/>
    <w:rsid w:val="7CA05F8F"/>
    <w:rsid w:val="7CA12D16"/>
    <w:rsid w:val="7CA169AF"/>
    <w:rsid w:val="7CA174E1"/>
    <w:rsid w:val="7CA33BBB"/>
    <w:rsid w:val="7CA57B60"/>
    <w:rsid w:val="7CAB5EDF"/>
    <w:rsid w:val="7CAE6020"/>
    <w:rsid w:val="7CB066D2"/>
    <w:rsid w:val="7CB2612B"/>
    <w:rsid w:val="7CB83038"/>
    <w:rsid w:val="7CB92107"/>
    <w:rsid w:val="7CC4270C"/>
    <w:rsid w:val="7CCA0C34"/>
    <w:rsid w:val="7CCD4BD3"/>
    <w:rsid w:val="7CCE5670"/>
    <w:rsid w:val="7CCF47DF"/>
    <w:rsid w:val="7CD1610C"/>
    <w:rsid w:val="7CD52EB3"/>
    <w:rsid w:val="7CD67BE1"/>
    <w:rsid w:val="7CDD5182"/>
    <w:rsid w:val="7CE4561B"/>
    <w:rsid w:val="7CE72C39"/>
    <w:rsid w:val="7CE73F64"/>
    <w:rsid w:val="7CE83C46"/>
    <w:rsid w:val="7CE85FF3"/>
    <w:rsid w:val="7CEA00DC"/>
    <w:rsid w:val="7CEC26A0"/>
    <w:rsid w:val="7CED12C2"/>
    <w:rsid w:val="7CEE3E4D"/>
    <w:rsid w:val="7CEF2C25"/>
    <w:rsid w:val="7CF244D2"/>
    <w:rsid w:val="7CF341EB"/>
    <w:rsid w:val="7D00333D"/>
    <w:rsid w:val="7D0145AF"/>
    <w:rsid w:val="7D063EB5"/>
    <w:rsid w:val="7D085154"/>
    <w:rsid w:val="7D08685C"/>
    <w:rsid w:val="7D0C79C5"/>
    <w:rsid w:val="7D0D15B6"/>
    <w:rsid w:val="7D0E3552"/>
    <w:rsid w:val="7D0F0877"/>
    <w:rsid w:val="7D154307"/>
    <w:rsid w:val="7D1D144A"/>
    <w:rsid w:val="7D1F7C67"/>
    <w:rsid w:val="7D2428A3"/>
    <w:rsid w:val="7D28169C"/>
    <w:rsid w:val="7D293831"/>
    <w:rsid w:val="7D2954C1"/>
    <w:rsid w:val="7D2C3F72"/>
    <w:rsid w:val="7D310ACA"/>
    <w:rsid w:val="7D32101D"/>
    <w:rsid w:val="7D3C5135"/>
    <w:rsid w:val="7D3D096D"/>
    <w:rsid w:val="7D3E7429"/>
    <w:rsid w:val="7D4313B9"/>
    <w:rsid w:val="7D441EBF"/>
    <w:rsid w:val="7D470A80"/>
    <w:rsid w:val="7D4A36D4"/>
    <w:rsid w:val="7D4A42E4"/>
    <w:rsid w:val="7D4A691C"/>
    <w:rsid w:val="7D4B78E6"/>
    <w:rsid w:val="7D522ECD"/>
    <w:rsid w:val="7D55675B"/>
    <w:rsid w:val="7D565F94"/>
    <w:rsid w:val="7D586EFA"/>
    <w:rsid w:val="7D5A0CE9"/>
    <w:rsid w:val="7D5B0573"/>
    <w:rsid w:val="7D63439A"/>
    <w:rsid w:val="7D641E1F"/>
    <w:rsid w:val="7D6733BC"/>
    <w:rsid w:val="7D680465"/>
    <w:rsid w:val="7D69241B"/>
    <w:rsid w:val="7D6B16A8"/>
    <w:rsid w:val="7D6D4DA6"/>
    <w:rsid w:val="7D7F23D2"/>
    <w:rsid w:val="7D7F3750"/>
    <w:rsid w:val="7D852294"/>
    <w:rsid w:val="7D857905"/>
    <w:rsid w:val="7D865DAC"/>
    <w:rsid w:val="7D8B587E"/>
    <w:rsid w:val="7D9341A0"/>
    <w:rsid w:val="7D935841"/>
    <w:rsid w:val="7D943702"/>
    <w:rsid w:val="7D9527B6"/>
    <w:rsid w:val="7D963A49"/>
    <w:rsid w:val="7DAA05C9"/>
    <w:rsid w:val="7DAD7173"/>
    <w:rsid w:val="7DAF2136"/>
    <w:rsid w:val="7DB27ABE"/>
    <w:rsid w:val="7DB759BE"/>
    <w:rsid w:val="7DB839AE"/>
    <w:rsid w:val="7DBA7990"/>
    <w:rsid w:val="7DBC53DD"/>
    <w:rsid w:val="7DC176AB"/>
    <w:rsid w:val="7DC6671D"/>
    <w:rsid w:val="7DC70476"/>
    <w:rsid w:val="7DD0469D"/>
    <w:rsid w:val="7DD47A50"/>
    <w:rsid w:val="7DD8186D"/>
    <w:rsid w:val="7DD90D4E"/>
    <w:rsid w:val="7DD936C0"/>
    <w:rsid w:val="7DD97F7E"/>
    <w:rsid w:val="7DDA5E08"/>
    <w:rsid w:val="7DDB290A"/>
    <w:rsid w:val="7DDC3A27"/>
    <w:rsid w:val="7DE51069"/>
    <w:rsid w:val="7DE63A7B"/>
    <w:rsid w:val="7DED5CFD"/>
    <w:rsid w:val="7DF1407C"/>
    <w:rsid w:val="7DF759C8"/>
    <w:rsid w:val="7DF970EE"/>
    <w:rsid w:val="7DFF43BB"/>
    <w:rsid w:val="7E032931"/>
    <w:rsid w:val="7E0E3838"/>
    <w:rsid w:val="7E150362"/>
    <w:rsid w:val="7E17642F"/>
    <w:rsid w:val="7E1C3323"/>
    <w:rsid w:val="7E1E273D"/>
    <w:rsid w:val="7E223C41"/>
    <w:rsid w:val="7E252456"/>
    <w:rsid w:val="7E253E6F"/>
    <w:rsid w:val="7E260853"/>
    <w:rsid w:val="7E283F1A"/>
    <w:rsid w:val="7E303036"/>
    <w:rsid w:val="7E31542A"/>
    <w:rsid w:val="7E325B02"/>
    <w:rsid w:val="7E334629"/>
    <w:rsid w:val="7E371D6A"/>
    <w:rsid w:val="7E3B40A8"/>
    <w:rsid w:val="7E3C55CA"/>
    <w:rsid w:val="7E4024CA"/>
    <w:rsid w:val="7E417464"/>
    <w:rsid w:val="7E437A17"/>
    <w:rsid w:val="7E4A4E81"/>
    <w:rsid w:val="7E4F5574"/>
    <w:rsid w:val="7E50411B"/>
    <w:rsid w:val="7E516D03"/>
    <w:rsid w:val="7E624017"/>
    <w:rsid w:val="7E6301CA"/>
    <w:rsid w:val="7E6337D1"/>
    <w:rsid w:val="7E6767A8"/>
    <w:rsid w:val="7E6B2A52"/>
    <w:rsid w:val="7E6F625B"/>
    <w:rsid w:val="7E70079E"/>
    <w:rsid w:val="7E7027BB"/>
    <w:rsid w:val="7E7266D1"/>
    <w:rsid w:val="7E7C17C0"/>
    <w:rsid w:val="7E81012B"/>
    <w:rsid w:val="7E8115B7"/>
    <w:rsid w:val="7E8169C2"/>
    <w:rsid w:val="7E8371A9"/>
    <w:rsid w:val="7E8609B3"/>
    <w:rsid w:val="7E8A0804"/>
    <w:rsid w:val="7E8C3D2F"/>
    <w:rsid w:val="7E8C488D"/>
    <w:rsid w:val="7E8D0071"/>
    <w:rsid w:val="7E942519"/>
    <w:rsid w:val="7E997676"/>
    <w:rsid w:val="7EA02D9A"/>
    <w:rsid w:val="7EA048B8"/>
    <w:rsid w:val="7EA414F6"/>
    <w:rsid w:val="7EA42FA6"/>
    <w:rsid w:val="7EA906DA"/>
    <w:rsid w:val="7EA93257"/>
    <w:rsid w:val="7EAC3F9E"/>
    <w:rsid w:val="7EAC451C"/>
    <w:rsid w:val="7EAC6F6B"/>
    <w:rsid w:val="7EAE621C"/>
    <w:rsid w:val="7EBA009A"/>
    <w:rsid w:val="7EBA2AE8"/>
    <w:rsid w:val="7EC74F15"/>
    <w:rsid w:val="7EC75F4F"/>
    <w:rsid w:val="7EC76707"/>
    <w:rsid w:val="7ECC1412"/>
    <w:rsid w:val="7ECC5A50"/>
    <w:rsid w:val="7ECE31A8"/>
    <w:rsid w:val="7ED45390"/>
    <w:rsid w:val="7ED50FBF"/>
    <w:rsid w:val="7ED8255F"/>
    <w:rsid w:val="7EE051D4"/>
    <w:rsid w:val="7EE11ED6"/>
    <w:rsid w:val="7EE3651F"/>
    <w:rsid w:val="7EE50A3C"/>
    <w:rsid w:val="7EE873FB"/>
    <w:rsid w:val="7EED2710"/>
    <w:rsid w:val="7EEE6AD4"/>
    <w:rsid w:val="7EF739F1"/>
    <w:rsid w:val="7EF73C33"/>
    <w:rsid w:val="7EFB2931"/>
    <w:rsid w:val="7EFD2C7C"/>
    <w:rsid w:val="7F016B8A"/>
    <w:rsid w:val="7F0362AE"/>
    <w:rsid w:val="7F0611E5"/>
    <w:rsid w:val="7F075127"/>
    <w:rsid w:val="7F076E05"/>
    <w:rsid w:val="7F077A52"/>
    <w:rsid w:val="7F0C3F6A"/>
    <w:rsid w:val="7F0E46D0"/>
    <w:rsid w:val="7F0F6E6A"/>
    <w:rsid w:val="7F1567EA"/>
    <w:rsid w:val="7F1751AD"/>
    <w:rsid w:val="7F197B26"/>
    <w:rsid w:val="7F1C1F84"/>
    <w:rsid w:val="7F1D716A"/>
    <w:rsid w:val="7F223789"/>
    <w:rsid w:val="7F297A01"/>
    <w:rsid w:val="7F2A04B4"/>
    <w:rsid w:val="7F2B060A"/>
    <w:rsid w:val="7F2E50A5"/>
    <w:rsid w:val="7F2E71ED"/>
    <w:rsid w:val="7F2F1FE3"/>
    <w:rsid w:val="7F324C4B"/>
    <w:rsid w:val="7F341AFA"/>
    <w:rsid w:val="7F344195"/>
    <w:rsid w:val="7F36037A"/>
    <w:rsid w:val="7F405C73"/>
    <w:rsid w:val="7F421230"/>
    <w:rsid w:val="7F433628"/>
    <w:rsid w:val="7F49515C"/>
    <w:rsid w:val="7F520C1E"/>
    <w:rsid w:val="7F580C3E"/>
    <w:rsid w:val="7F5B507F"/>
    <w:rsid w:val="7F5C11DC"/>
    <w:rsid w:val="7F5E2B8F"/>
    <w:rsid w:val="7F615FDE"/>
    <w:rsid w:val="7F665850"/>
    <w:rsid w:val="7F6E203D"/>
    <w:rsid w:val="7F6F7AA2"/>
    <w:rsid w:val="7F735387"/>
    <w:rsid w:val="7F743B6E"/>
    <w:rsid w:val="7F743D1E"/>
    <w:rsid w:val="7F7C54C6"/>
    <w:rsid w:val="7F810B1E"/>
    <w:rsid w:val="7F82015B"/>
    <w:rsid w:val="7F824952"/>
    <w:rsid w:val="7F8377B2"/>
    <w:rsid w:val="7F871186"/>
    <w:rsid w:val="7F88407A"/>
    <w:rsid w:val="7F923FB3"/>
    <w:rsid w:val="7F926F7D"/>
    <w:rsid w:val="7F960F5D"/>
    <w:rsid w:val="7F994101"/>
    <w:rsid w:val="7F9C5F14"/>
    <w:rsid w:val="7F9F44B7"/>
    <w:rsid w:val="7FA1332B"/>
    <w:rsid w:val="7FA2655F"/>
    <w:rsid w:val="7FAD7F17"/>
    <w:rsid w:val="7FAE24C7"/>
    <w:rsid w:val="7FB11CD3"/>
    <w:rsid w:val="7FB227AD"/>
    <w:rsid w:val="7FB23638"/>
    <w:rsid w:val="7FB349C9"/>
    <w:rsid w:val="7FBA2712"/>
    <w:rsid w:val="7FBC00BF"/>
    <w:rsid w:val="7FC137AD"/>
    <w:rsid w:val="7FC77923"/>
    <w:rsid w:val="7FC81A5A"/>
    <w:rsid w:val="7FCA55DB"/>
    <w:rsid w:val="7FCE742A"/>
    <w:rsid w:val="7FD1720E"/>
    <w:rsid w:val="7FD3756D"/>
    <w:rsid w:val="7FD74553"/>
    <w:rsid w:val="7FDA1BBE"/>
    <w:rsid w:val="7FDC6C6A"/>
    <w:rsid w:val="7FE019FF"/>
    <w:rsid w:val="7FE156F8"/>
    <w:rsid w:val="7FE175BB"/>
    <w:rsid w:val="7FEA5A84"/>
    <w:rsid w:val="7FED7D54"/>
    <w:rsid w:val="7FEE2D8F"/>
    <w:rsid w:val="7FEE692F"/>
    <w:rsid w:val="7FF05C04"/>
    <w:rsid w:val="7FF15B66"/>
    <w:rsid w:val="7FF17271"/>
    <w:rsid w:val="7FF41718"/>
    <w:rsid w:val="7FF5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360" w:lineRule="auto"/>
      <w:outlineLvl w:val="1"/>
    </w:pPr>
    <w:rPr>
      <w:rFonts w:ascii="Arial" w:hAnsi="Arial"/>
      <w:b/>
      <w:sz w:val="30"/>
    </w:rPr>
  </w:style>
  <w:style w:type="paragraph" w:styleId="6">
    <w:name w:val="heading 3"/>
    <w:basedOn w:val="1"/>
    <w:next w:val="1"/>
    <w:semiHidden/>
    <w:unhideWhenUsed/>
    <w:qFormat/>
    <w:uiPriority w:val="0"/>
    <w:pPr>
      <w:keepNext w:val="0"/>
      <w:keepLines/>
      <w:numPr>
        <w:ilvl w:val="2"/>
        <w:numId w:val="1"/>
      </w:numPr>
      <w:tabs>
        <w:tab w:val="clear" w:pos="1277"/>
      </w:tabs>
      <w:adjustRightInd w:val="0"/>
      <w:spacing w:before="30" w:beforeLines="30" w:after="30" w:afterLines="30" w:line="500" w:lineRule="exact"/>
      <w:ind w:left="0" w:right="0" w:rightChars="0"/>
      <w:jc w:val="left"/>
      <w:outlineLvl w:val="2"/>
    </w:pPr>
    <w:rPr>
      <w:rFonts w:ascii="黑体" w:hAnsi="黑体" w:eastAsia="Times New Roman"/>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styleId="7">
    <w:name w:val="Normal Indent"/>
    <w:basedOn w:val="1"/>
    <w:next w:val="8"/>
    <w:qFormat/>
    <w:uiPriority w:val="0"/>
    <w:pPr>
      <w:ind w:firstLine="420" w:firstLineChars="200"/>
    </w:pPr>
  </w:style>
  <w:style w:type="paragraph" w:styleId="8">
    <w:name w:val="Body Text First Indent 2"/>
    <w:basedOn w:val="9"/>
    <w:next w:val="1"/>
    <w:qFormat/>
    <w:uiPriority w:val="0"/>
    <w:pPr>
      <w:ind w:firstLine="420" w:firstLineChars="200"/>
    </w:pPr>
    <w:rPr>
      <w:sz w:val="21"/>
    </w:rPr>
  </w:style>
  <w:style w:type="paragraph" w:styleId="9">
    <w:name w:val="Body Text Indent"/>
    <w:basedOn w:val="1"/>
    <w:next w:val="7"/>
    <w:qFormat/>
    <w:uiPriority w:val="0"/>
    <w:pPr>
      <w:spacing w:after="120"/>
      <w:ind w:left="420" w:leftChars="200"/>
    </w:pPr>
    <w:rPr>
      <w:kern w:val="0"/>
      <w:sz w:val="24"/>
      <w:szCs w:val="20"/>
    </w:rPr>
  </w:style>
  <w:style w:type="paragraph" w:styleId="10">
    <w:name w:val="caption"/>
    <w:basedOn w:val="1"/>
    <w:next w:val="1"/>
    <w:link w:val="75"/>
    <w:qFormat/>
    <w:uiPriority w:val="0"/>
    <w:pPr>
      <w:adjustRightInd w:val="0"/>
      <w:snapToGrid w:val="0"/>
      <w:spacing w:line="360" w:lineRule="auto"/>
      <w:jc w:val="left"/>
    </w:pPr>
    <w:rPr>
      <w:rFonts w:eastAsia="黑体"/>
      <w:sz w:val="24"/>
      <w:szCs w:val="20"/>
    </w:rPr>
  </w:style>
  <w:style w:type="paragraph" w:styleId="11">
    <w:name w:val="annotation text"/>
    <w:basedOn w:val="1"/>
    <w:link w:val="54"/>
    <w:semiHidden/>
    <w:qFormat/>
    <w:uiPriority w:val="0"/>
    <w:pPr>
      <w:jc w:val="left"/>
    </w:pPr>
    <w:rPr>
      <w:kern w:val="0"/>
      <w:sz w:val="24"/>
      <w:szCs w:val="20"/>
    </w:rPr>
  </w:style>
  <w:style w:type="paragraph" w:styleId="12">
    <w:name w:val="Body Text 3"/>
    <w:basedOn w:val="1"/>
    <w:qFormat/>
    <w:uiPriority w:val="0"/>
    <w:pPr>
      <w:spacing w:after="120"/>
    </w:pPr>
    <w:rPr>
      <w:sz w:val="16"/>
      <w:szCs w:val="16"/>
    </w:rPr>
  </w:style>
  <w:style w:type="paragraph" w:styleId="13">
    <w:name w:val="Block Text"/>
    <w:basedOn w:val="1"/>
    <w:qFormat/>
    <w:uiPriority w:val="0"/>
    <w:pPr>
      <w:spacing w:after="120"/>
      <w:ind w:left="1440" w:right="1440"/>
    </w:pPr>
    <w:rPr>
      <w:rFonts w:ascii="宋体" w:hAnsi="Arial Black"/>
      <w:kern w:val="44"/>
      <w:sz w:val="20"/>
    </w:rPr>
  </w:style>
  <w:style w:type="paragraph" w:styleId="14">
    <w:name w:val="Plain Text"/>
    <w:basedOn w:val="1"/>
    <w:qFormat/>
    <w:uiPriority w:val="0"/>
    <w:rPr>
      <w:rFonts w:ascii="宋体" w:hAnsi="Courier New" w:cs="Courier New"/>
    </w:rPr>
  </w:style>
  <w:style w:type="paragraph" w:styleId="15">
    <w:name w:val="Body Text Indent 2"/>
    <w:basedOn w:val="1"/>
    <w:next w:val="8"/>
    <w:unhideWhenUsed/>
    <w:qFormat/>
    <w:uiPriority w:val="99"/>
    <w:pPr>
      <w:spacing w:after="120" w:line="480" w:lineRule="auto"/>
      <w:ind w:left="420" w:leftChars="200"/>
    </w:pPr>
  </w:style>
  <w:style w:type="paragraph" w:styleId="16">
    <w:name w:val="endnote text"/>
    <w:basedOn w:val="1"/>
    <w:qFormat/>
    <w:uiPriority w:val="0"/>
    <w:pPr>
      <w:snapToGrid w:val="0"/>
      <w:jc w:val="left"/>
    </w:pPr>
    <w:rPr>
      <w:sz w:val="24"/>
    </w:rPr>
  </w:style>
  <w:style w:type="paragraph" w:styleId="17">
    <w:name w:val="Balloon Text"/>
    <w:basedOn w:val="1"/>
    <w:link w:val="53"/>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Subtitle"/>
    <w:basedOn w:val="1"/>
    <w:next w:val="1"/>
    <w:qFormat/>
    <w:uiPriority w:val="0"/>
    <w:pPr>
      <w:spacing w:line="320" w:lineRule="exact"/>
      <w:jc w:val="center"/>
    </w:pPr>
    <w:rPr>
      <w:rFonts w:ascii="Cambria" w:hAnsi="Cambria" w:eastAsia="Times New Roman"/>
      <w:bCs/>
      <w:kern w:val="28"/>
      <w:szCs w:val="32"/>
    </w:rPr>
  </w:style>
  <w:style w:type="paragraph" w:styleId="21">
    <w:name w:val="Body Text Indent 3"/>
    <w:basedOn w:val="1"/>
    <w:qFormat/>
    <w:uiPriority w:val="0"/>
    <w:pPr>
      <w:spacing w:line="800" w:lineRule="exact"/>
      <w:ind w:firstLine="646"/>
    </w:pPr>
    <w:rPr>
      <w:rFonts w:eastAsia="仿宋_GB2312"/>
      <w:sz w:val="32"/>
    </w:rPr>
  </w:style>
  <w:style w:type="paragraph" w:styleId="22">
    <w:name w:val="table of figures"/>
    <w:basedOn w:val="1"/>
    <w:next w:val="1"/>
    <w:qFormat/>
    <w:uiPriority w:val="0"/>
    <w:pPr>
      <w:ind w:left="1920" w:leftChars="200"/>
      <w:jc w:val="center"/>
    </w:pPr>
    <w:rPr>
      <w:b/>
      <w:kern w:val="0"/>
      <w:szCs w:val="20"/>
    </w:rPr>
  </w:style>
  <w:style w:type="paragraph" w:styleId="23">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4">
    <w:name w:val="annotation subject"/>
    <w:basedOn w:val="11"/>
    <w:next w:val="11"/>
    <w:link w:val="55"/>
    <w:qFormat/>
    <w:uiPriority w:val="0"/>
    <w:rPr>
      <w:b/>
      <w:bCs/>
      <w:kern w:val="2"/>
      <w:sz w:val="21"/>
      <w:szCs w:val="21"/>
    </w:rPr>
  </w:style>
  <w:style w:type="paragraph" w:styleId="25">
    <w:name w:val="Body Text First Indent"/>
    <w:basedOn w:val="2"/>
    <w:next w:val="1"/>
    <w:qFormat/>
    <w:uiPriority w:val="0"/>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annotation reference"/>
    <w:semiHidden/>
    <w:qFormat/>
    <w:uiPriority w:val="0"/>
    <w:rPr>
      <w:sz w:val="21"/>
    </w:rPr>
  </w:style>
  <w:style w:type="paragraph" w:customStyle="1" w:styleId="30">
    <w:name w:val="Default"/>
    <w:basedOn w:val="31"/>
    <w:next w:val="2"/>
    <w:qFormat/>
    <w:uiPriority w:val="0"/>
    <w:pPr>
      <w:autoSpaceDE w:val="0"/>
      <w:autoSpaceDN w:val="0"/>
      <w:jc w:val="left"/>
    </w:pPr>
    <w:rPr>
      <w:color w:val="000000"/>
      <w:kern w:val="0"/>
      <w:sz w:val="24"/>
      <w:szCs w:val="24"/>
    </w:rPr>
  </w:style>
  <w:style w:type="paragraph" w:customStyle="1" w:styleId="31">
    <w:name w:val="纯文本1"/>
    <w:basedOn w:val="1"/>
    <w:qFormat/>
    <w:uiPriority w:val="0"/>
    <w:pPr>
      <w:adjustRightInd w:val="0"/>
    </w:pPr>
    <w:rPr>
      <w:rFonts w:hAnsi="Courier New"/>
      <w:szCs w:val="20"/>
    </w:rPr>
  </w:style>
  <w:style w:type="paragraph" w:customStyle="1" w:styleId="32">
    <w:name w:val="样式9"/>
    <w:basedOn w:val="1"/>
    <w:qFormat/>
    <w:uiPriority w:val="0"/>
    <w:pPr>
      <w:adjustRightInd w:val="0"/>
      <w:snapToGrid w:val="0"/>
      <w:spacing w:line="460" w:lineRule="exact"/>
      <w:ind w:firstLine="520" w:firstLineChars="200"/>
    </w:pPr>
    <w:rPr>
      <w:sz w:val="26"/>
      <w:szCs w:val="26"/>
    </w:rPr>
  </w:style>
  <w:style w:type="paragraph" w:customStyle="1" w:styleId="33">
    <w:name w:val="表格"/>
    <w:basedOn w:val="1"/>
    <w:next w:val="34"/>
    <w:qFormat/>
    <w:uiPriority w:val="0"/>
    <w:pPr>
      <w:adjustRightInd w:val="0"/>
      <w:snapToGrid w:val="0"/>
      <w:spacing w:beforeLines="10" w:afterLines="10" w:line="259" w:lineRule="auto"/>
      <w:jc w:val="center"/>
    </w:pPr>
    <w:rPr>
      <w:rFonts w:ascii="宋体"/>
      <w:kern w:val="0"/>
      <w:szCs w:val="20"/>
    </w:rPr>
  </w:style>
  <w:style w:type="paragraph" w:customStyle="1" w:styleId="34">
    <w:name w:val="正文首行"/>
    <w:basedOn w:val="7"/>
    <w:qFormat/>
    <w:uiPriority w:val="0"/>
    <w:pPr>
      <w:spacing w:line="480" w:lineRule="exact"/>
      <w:ind w:firstLine="200"/>
    </w:p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S报告正文"/>
    <w:basedOn w:val="1"/>
    <w:qFormat/>
    <w:uiPriority w:val="0"/>
    <w:pPr>
      <w:adjustRightInd w:val="0"/>
      <w:snapToGrid w:val="0"/>
      <w:spacing w:line="480" w:lineRule="exact"/>
      <w:ind w:firstLine="510"/>
      <w:jc w:val="left"/>
    </w:pPr>
    <w:rPr>
      <w:sz w:val="24"/>
    </w:rPr>
  </w:style>
  <w:style w:type="paragraph" w:customStyle="1" w:styleId="37">
    <w:name w:val="S表名图名"/>
    <w:basedOn w:val="36"/>
    <w:qFormat/>
    <w:uiPriority w:val="1"/>
    <w:pPr>
      <w:ind w:firstLine="0"/>
      <w:jc w:val="center"/>
    </w:pPr>
    <w:rPr>
      <w:b/>
      <w:szCs w:val="23"/>
    </w:rPr>
  </w:style>
  <w:style w:type="paragraph" w:customStyle="1" w:styleId="38">
    <w:name w:val="S表格文字"/>
    <w:basedOn w:val="25"/>
    <w:qFormat/>
    <w:uiPriority w:val="0"/>
    <w:pPr>
      <w:adjustRightInd w:val="0"/>
      <w:snapToGrid w:val="0"/>
      <w:spacing w:before="20" w:after="20"/>
      <w:ind w:firstLine="0" w:firstLineChars="0"/>
      <w:jc w:val="center"/>
    </w:pPr>
    <w:rPr>
      <w:szCs w:val="20"/>
    </w:rPr>
  </w:style>
  <w:style w:type="paragraph" w:customStyle="1" w:styleId="39">
    <w:name w:val="S备注"/>
    <w:basedOn w:val="36"/>
    <w:qFormat/>
    <w:uiPriority w:val="0"/>
    <w:pPr>
      <w:spacing w:before="60" w:after="120" w:line="240" w:lineRule="auto"/>
      <w:ind w:firstLine="0"/>
    </w:pPr>
    <w:rPr>
      <w:b/>
      <w:sz w:val="21"/>
    </w:rPr>
  </w:style>
  <w:style w:type="paragraph" w:customStyle="1" w:styleId="40">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41">
    <w:name w:val="表格文字"/>
    <w:basedOn w:val="25"/>
    <w:next w:val="1"/>
    <w:qFormat/>
    <w:uiPriority w:val="0"/>
    <w:pPr>
      <w:spacing w:line="0" w:lineRule="atLeast"/>
      <w:jc w:val="center"/>
    </w:pPr>
    <w:rPr>
      <w:sz w:val="28"/>
      <w:szCs w:val="20"/>
    </w:rPr>
  </w:style>
  <w:style w:type="paragraph" w:customStyle="1" w:styleId="42">
    <w:name w:val="正文格式"/>
    <w:basedOn w:val="1"/>
    <w:qFormat/>
    <w:uiPriority w:val="0"/>
    <w:pPr>
      <w:spacing w:line="360" w:lineRule="auto"/>
      <w:ind w:firstLine="560" w:firstLineChars="200"/>
    </w:pPr>
    <w:rPr>
      <w:rFonts w:ascii="宋体" w:hAnsi="宋体"/>
      <w:sz w:val="28"/>
      <w:szCs w:val="28"/>
    </w:rPr>
  </w:style>
  <w:style w:type="paragraph" w:customStyle="1" w:styleId="43">
    <w:name w:val="列出段落1"/>
    <w:basedOn w:val="1"/>
    <w:qFormat/>
    <w:uiPriority w:val="0"/>
    <w:pPr>
      <w:ind w:firstLine="420" w:firstLineChars="200"/>
    </w:pPr>
    <w:rPr>
      <w:rFonts w:ascii="Calibri" w:hAnsi="Calibri"/>
    </w:rPr>
  </w:style>
  <w:style w:type="character" w:customStyle="1" w:styleId="44">
    <w:name w:val="content1"/>
    <w:basedOn w:val="28"/>
    <w:qFormat/>
    <w:uiPriority w:val="0"/>
    <w:rPr>
      <w:rFonts w:ascii="Times New Roman" w:hAnsi="Times New Roman" w:eastAsia="宋体" w:cs="Times New Roman"/>
      <w:color w:val="000000"/>
      <w:sz w:val="20"/>
      <w:szCs w:val="20"/>
    </w:rPr>
  </w:style>
  <w:style w:type="paragraph" w:customStyle="1" w:styleId="45">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46">
    <w:name w:val="表格1"/>
    <w:basedOn w:val="1"/>
    <w:qFormat/>
    <w:uiPriority w:val="0"/>
    <w:pPr>
      <w:adjustRightInd w:val="0"/>
      <w:spacing w:line="400" w:lineRule="atLeast"/>
      <w:jc w:val="center"/>
    </w:pPr>
    <w:rPr>
      <w:kern w:val="0"/>
    </w:rPr>
  </w:style>
  <w:style w:type="paragraph" w:customStyle="1" w:styleId="47">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48">
    <w:name w:val="书表内容"/>
    <w:basedOn w:val="1"/>
    <w:qFormat/>
    <w:uiPriority w:val="0"/>
    <w:pPr>
      <w:spacing w:line="360" w:lineRule="exact"/>
      <w:jc w:val="center"/>
    </w:pPr>
    <w:rPr>
      <w:szCs w:val="24"/>
    </w:rPr>
  </w:style>
  <w:style w:type="paragraph" w:customStyle="1" w:styleId="49">
    <w:name w:val="样式 小四 居中"/>
    <w:basedOn w:val="1"/>
    <w:qFormat/>
    <w:uiPriority w:val="0"/>
    <w:pPr>
      <w:jc w:val="center"/>
    </w:pPr>
    <w:rPr>
      <w:szCs w:val="20"/>
    </w:rPr>
  </w:style>
  <w:style w:type="paragraph" w:customStyle="1" w:styleId="50">
    <w:name w:val="文本正文"/>
    <w:basedOn w:val="1"/>
    <w:qFormat/>
    <w:uiPriority w:val="0"/>
    <w:pPr>
      <w:spacing w:line="360" w:lineRule="auto"/>
      <w:ind w:firstLine="480" w:firstLineChars="200"/>
    </w:pPr>
    <w:rPr>
      <w:sz w:val="24"/>
      <w:szCs w:val="24"/>
    </w:rPr>
  </w:style>
  <w:style w:type="paragraph" w:customStyle="1" w:styleId="51">
    <w:name w:val="图表标题"/>
    <w:basedOn w:val="22"/>
    <w:next w:val="33"/>
    <w:qFormat/>
    <w:uiPriority w:val="0"/>
    <w:pPr>
      <w:outlineLvl w:val="4"/>
    </w:pPr>
    <w:rPr>
      <w:bCs/>
      <w:snapToGrid w:val="0"/>
    </w:rPr>
  </w:style>
  <w:style w:type="paragraph" w:customStyle="1" w:styleId="52">
    <w:name w:val="标准正文"/>
    <w:basedOn w:val="1"/>
    <w:qFormat/>
    <w:uiPriority w:val="0"/>
    <w:pPr>
      <w:spacing w:line="360" w:lineRule="auto"/>
      <w:ind w:firstLine="200" w:firstLineChars="200"/>
    </w:pPr>
    <w:rPr>
      <w:rFonts w:hAnsi="宋体"/>
      <w:sz w:val="24"/>
    </w:rPr>
  </w:style>
  <w:style w:type="character" w:customStyle="1" w:styleId="53">
    <w:name w:val="批注框文本 Char"/>
    <w:basedOn w:val="28"/>
    <w:link w:val="17"/>
    <w:qFormat/>
    <w:uiPriority w:val="0"/>
    <w:rPr>
      <w:kern w:val="2"/>
      <w:sz w:val="18"/>
      <w:szCs w:val="18"/>
    </w:rPr>
  </w:style>
  <w:style w:type="character" w:customStyle="1" w:styleId="54">
    <w:name w:val="批注文字 Char"/>
    <w:basedOn w:val="28"/>
    <w:link w:val="11"/>
    <w:semiHidden/>
    <w:qFormat/>
    <w:uiPriority w:val="0"/>
    <w:rPr>
      <w:sz w:val="24"/>
    </w:rPr>
  </w:style>
  <w:style w:type="character" w:customStyle="1" w:styleId="55">
    <w:name w:val="批注主题 Char"/>
    <w:basedOn w:val="54"/>
    <w:link w:val="24"/>
    <w:qFormat/>
    <w:uiPriority w:val="0"/>
    <w:rPr>
      <w:b/>
      <w:bCs/>
      <w:kern w:val="2"/>
      <w:sz w:val="21"/>
      <w:szCs w:val="21"/>
    </w:rPr>
  </w:style>
  <w:style w:type="paragraph" w:customStyle="1" w:styleId="56">
    <w:name w:val="样式 样式 小四 段前: 7.8 磅 段后: 7.8 磅 行距: 1.5 倍行距 + 首行缩进:  2 字符"/>
    <w:basedOn w:val="1"/>
    <w:qFormat/>
    <w:uiPriority w:val="0"/>
    <w:pPr>
      <w:spacing w:line="360" w:lineRule="auto"/>
      <w:ind w:firstLine="480" w:firstLineChars="200"/>
    </w:pPr>
    <w:rPr>
      <w:sz w:val="24"/>
    </w:rPr>
  </w:style>
  <w:style w:type="paragraph" w:customStyle="1" w:styleId="57">
    <w:name w:val="报告表格"/>
    <w:basedOn w:val="1"/>
    <w:qFormat/>
    <w:uiPriority w:val="0"/>
    <w:pPr>
      <w:autoSpaceDE w:val="0"/>
      <w:autoSpaceDN w:val="0"/>
      <w:adjustRightInd w:val="0"/>
      <w:jc w:val="center"/>
      <w:textAlignment w:val="baseline"/>
    </w:pPr>
    <w:rPr>
      <w:b/>
      <w:kern w:val="0"/>
      <w:sz w:val="24"/>
      <w:szCs w:val="20"/>
    </w:rPr>
  </w:style>
  <w:style w:type="paragraph" w:customStyle="1" w:styleId="58">
    <w:name w:val="表格内容"/>
    <w:basedOn w:val="33"/>
    <w:next w:val="50"/>
    <w:qFormat/>
    <w:uiPriority w:val="0"/>
    <w:pPr>
      <w:spacing w:line="240" w:lineRule="auto"/>
    </w:pPr>
    <w:rPr>
      <w:rFonts w:ascii="Times New Roman"/>
    </w:rPr>
  </w:style>
  <w:style w:type="paragraph" w:customStyle="1" w:styleId="59">
    <w:name w:val="正文（源通）"/>
    <w:basedOn w:val="1"/>
    <w:qFormat/>
    <w:uiPriority w:val="0"/>
    <w:pPr>
      <w:spacing w:line="500" w:lineRule="exact"/>
      <w:ind w:firstLine="480" w:firstLineChars="200"/>
    </w:pPr>
    <w:rPr>
      <w:rFonts w:eastAsia="Times New Roman"/>
      <w:color w:val="FF0000"/>
    </w:rPr>
  </w:style>
  <w:style w:type="paragraph" w:customStyle="1" w:styleId="60">
    <w:name w:val="样式 四号"/>
    <w:basedOn w:val="1"/>
    <w:qFormat/>
    <w:uiPriority w:val="0"/>
    <w:pPr>
      <w:ind w:firstLine="560" w:firstLineChars="200"/>
      <w:jc w:val="left"/>
    </w:pPr>
    <w:rPr>
      <w:rFonts w:cs="宋体"/>
      <w:sz w:val="24"/>
      <w:szCs w:val="20"/>
    </w:rPr>
  </w:style>
  <w:style w:type="character" w:customStyle="1" w:styleId="61">
    <w:name w:val="16"/>
    <w:qFormat/>
    <w:uiPriority w:val="0"/>
    <w:rPr>
      <w:rFonts w:hint="default" w:ascii="Calibri" w:hAnsi="Calibri" w:cs="Calibri"/>
      <w:color w:val="000000"/>
      <w:sz w:val="24"/>
      <w:szCs w:val="24"/>
    </w:rPr>
  </w:style>
  <w:style w:type="character" w:customStyle="1" w:styleId="62">
    <w:name w:val="15"/>
    <w:qFormat/>
    <w:uiPriority w:val="0"/>
    <w:rPr>
      <w:rFonts w:hint="eastAsia" w:ascii="宋体" w:hAnsi="宋体" w:eastAsia="宋体" w:cs="宋体"/>
      <w:color w:val="000000"/>
      <w:sz w:val="24"/>
      <w:szCs w:val="24"/>
    </w:rPr>
  </w:style>
  <w:style w:type="paragraph" w:customStyle="1" w:styleId="63">
    <w:name w:val="报告表样式"/>
    <w:basedOn w:val="1"/>
    <w:qFormat/>
    <w:uiPriority w:val="0"/>
    <w:pPr>
      <w:adjustRightInd w:val="0"/>
      <w:snapToGrid w:val="0"/>
      <w:spacing w:line="360" w:lineRule="auto"/>
      <w:ind w:firstLine="200" w:firstLineChars="200"/>
    </w:pPr>
    <w:rPr>
      <w:kern w:val="0"/>
      <w:sz w:val="28"/>
      <w:szCs w:val="28"/>
    </w:rPr>
  </w:style>
  <w:style w:type="paragraph" w:customStyle="1" w:styleId="64">
    <w:name w:val="样式1"/>
    <w:basedOn w:val="1"/>
    <w:next w:val="13"/>
    <w:qFormat/>
    <w:uiPriority w:val="0"/>
    <w:pPr>
      <w:jc w:val="center"/>
    </w:pPr>
    <w:rPr>
      <w:kern w:val="0"/>
      <w:szCs w:val="20"/>
    </w:rPr>
  </w:style>
  <w:style w:type="paragraph" w:customStyle="1" w:styleId="65">
    <w:name w:val="图表标注"/>
    <w:basedOn w:val="1"/>
    <w:qFormat/>
    <w:uiPriority w:val="0"/>
    <w:pPr>
      <w:spacing w:line="480" w:lineRule="exact"/>
      <w:jc w:val="center"/>
    </w:pPr>
    <w:rPr>
      <w:rFonts w:eastAsia="黑体"/>
      <w:kern w:val="0"/>
      <w:sz w:val="20"/>
      <w:szCs w:val="20"/>
    </w:rPr>
  </w:style>
  <w:style w:type="character" w:customStyle="1" w:styleId="66">
    <w:name w:val="font21"/>
    <w:basedOn w:val="28"/>
    <w:qFormat/>
    <w:uiPriority w:val="0"/>
    <w:rPr>
      <w:rFonts w:hint="eastAsia" w:ascii="宋体" w:hAnsi="宋体" w:eastAsia="宋体" w:cs="宋体"/>
      <w:color w:val="000000"/>
      <w:sz w:val="21"/>
      <w:szCs w:val="21"/>
      <w:u w:val="none"/>
    </w:rPr>
  </w:style>
  <w:style w:type="character" w:customStyle="1" w:styleId="67">
    <w:name w:val="font01"/>
    <w:basedOn w:val="28"/>
    <w:qFormat/>
    <w:uiPriority w:val="0"/>
    <w:rPr>
      <w:rFonts w:hint="default" w:ascii="Calibri" w:hAnsi="Calibri" w:cs="Calibri"/>
      <w:color w:val="000000"/>
      <w:sz w:val="21"/>
      <w:szCs w:val="21"/>
      <w:u w:val="none"/>
    </w:rPr>
  </w:style>
  <w:style w:type="character" w:customStyle="1" w:styleId="68">
    <w:name w:val="font31"/>
    <w:basedOn w:val="28"/>
    <w:qFormat/>
    <w:uiPriority w:val="0"/>
    <w:rPr>
      <w:rFonts w:hint="eastAsia" w:ascii="宋体" w:hAnsi="宋体" w:eastAsia="宋体" w:cs="宋体"/>
      <w:color w:val="000000"/>
      <w:sz w:val="21"/>
      <w:szCs w:val="21"/>
      <w:u w:val="none"/>
    </w:rPr>
  </w:style>
  <w:style w:type="paragraph" w:customStyle="1" w:styleId="69">
    <w:name w:val="段落 Char1"/>
    <w:basedOn w:val="1"/>
    <w:qFormat/>
    <w:uiPriority w:val="0"/>
    <w:pPr>
      <w:tabs>
        <w:tab w:val="left" w:pos="1021"/>
      </w:tabs>
      <w:spacing w:line="360" w:lineRule="auto"/>
      <w:ind w:firstLine="504" w:firstLineChars="200"/>
    </w:pPr>
    <w:rPr>
      <w:rFonts w:hAnsi="宋体"/>
      <w:bCs/>
      <w:color w:val="000000"/>
      <w:spacing w:val="6"/>
      <w:kern w:val="0"/>
      <w:sz w:val="24"/>
      <w:szCs w:val="28"/>
    </w:rPr>
  </w:style>
  <w:style w:type="paragraph" w:customStyle="1" w:styleId="70">
    <w:name w:val="1文章"/>
    <w:basedOn w:val="1"/>
    <w:qFormat/>
    <w:uiPriority w:val="0"/>
    <w:pPr>
      <w:snapToGrid w:val="0"/>
      <w:spacing w:line="360" w:lineRule="auto"/>
      <w:ind w:firstLine="573"/>
    </w:pPr>
    <w:rPr>
      <w:rFonts w:eastAsia="仿宋_GB2312"/>
      <w:sz w:val="28"/>
      <w:szCs w:val="20"/>
    </w:rPr>
  </w:style>
  <w:style w:type="paragraph" w:customStyle="1" w:styleId="71">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72">
    <w:name w:val="报告正文"/>
    <w:basedOn w:val="1"/>
    <w:qFormat/>
    <w:uiPriority w:val="0"/>
    <w:pPr>
      <w:spacing w:line="360" w:lineRule="auto"/>
      <w:ind w:firstLine="200" w:firstLineChars="200"/>
      <w:jc w:val="left"/>
    </w:pPr>
    <w:rPr>
      <w:rFonts w:ascii="Cambria Math" w:hAnsi="Cambria Math" w:cs="Yu Mincho Light"/>
      <w:kern w:val="0"/>
      <w:sz w:val="24"/>
    </w:rPr>
  </w:style>
  <w:style w:type="paragraph" w:customStyle="1" w:styleId="73">
    <w:name w:val="lxc 表头样式1"/>
    <w:basedOn w:val="1"/>
    <w:qFormat/>
    <w:uiPriority w:val="0"/>
    <w:pPr>
      <w:spacing w:line="360" w:lineRule="auto"/>
      <w:jc w:val="center"/>
    </w:pPr>
    <w:rPr>
      <w:b/>
      <w:sz w:val="24"/>
    </w:rPr>
  </w:style>
  <w:style w:type="paragraph" w:customStyle="1" w:styleId="74">
    <w:name w:val="正文新 Char"/>
    <w:basedOn w:val="1"/>
    <w:qFormat/>
    <w:uiPriority w:val="0"/>
    <w:pPr>
      <w:spacing w:line="360" w:lineRule="auto"/>
      <w:ind w:firstLine="480" w:firstLineChars="200"/>
    </w:pPr>
    <w:rPr>
      <w:rFonts w:cs="宋体"/>
      <w:sz w:val="24"/>
    </w:rPr>
  </w:style>
  <w:style w:type="character" w:customStyle="1" w:styleId="75">
    <w:name w:val="题注 字符"/>
    <w:link w:val="10"/>
    <w:qFormat/>
    <w:uiPriority w:val="0"/>
    <w:rPr>
      <w:rFonts w:eastAsia="黑体"/>
      <w:sz w:val="24"/>
      <w:szCs w:val="20"/>
    </w:rPr>
  </w:style>
  <w:style w:type="table" w:customStyle="1" w:styleId="7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42ED8-DC34-4DB8-AA8F-3C1E0FF20FA6}">
  <ds:schemaRefs/>
</ds:datastoreItem>
</file>

<file path=docProps/app.xml><?xml version="1.0" encoding="utf-8"?>
<Properties xmlns="http://schemas.openxmlformats.org/officeDocument/2006/extended-properties" xmlns:vt="http://schemas.openxmlformats.org/officeDocument/2006/docPropsVTypes">
  <Template>Normal</Template>
  <Pages>55</Pages>
  <Words>30414</Words>
  <Characters>34621</Characters>
  <Lines>316</Lines>
  <Paragraphs>89</Paragraphs>
  <TotalTime>15</TotalTime>
  <ScaleCrop>false</ScaleCrop>
  <LinksUpToDate>false</LinksUpToDate>
  <CharactersWithSpaces>34882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灼灼其华</cp:lastModifiedBy>
  <dcterms:modified xsi:type="dcterms:W3CDTF">2023-07-13T02:17:29Z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209108E691D446858D9FB1158A7CDD6C_13</vt:lpwstr>
  </property>
</Properties>
</file>