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4FEB0">
      <w:pPr>
        <w:pStyle w:val="12"/>
        <w:jc w:val="center"/>
        <w:rPr>
          <w:sz w:val="56"/>
          <w:szCs w:val="56"/>
        </w:rPr>
      </w:pPr>
    </w:p>
    <w:p w14:paraId="4EAE8958">
      <w:pPr>
        <w:pStyle w:val="12"/>
        <w:jc w:val="center"/>
        <w:rPr>
          <w:sz w:val="56"/>
          <w:szCs w:val="56"/>
        </w:rPr>
      </w:pPr>
    </w:p>
    <w:p w14:paraId="0A2E3D16">
      <w:pPr>
        <w:pStyle w:val="12"/>
        <w:jc w:val="center"/>
        <w:rPr>
          <w:sz w:val="84"/>
          <w:szCs w:val="84"/>
        </w:rPr>
      </w:pPr>
    </w:p>
    <w:p w14:paraId="655791FD">
      <w:pPr>
        <w:pStyle w:val="12"/>
        <w:jc w:val="center"/>
        <w:rPr>
          <w:sz w:val="84"/>
          <w:szCs w:val="84"/>
        </w:rPr>
      </w:pPr>
    </w:p>
    <w:p w14:paraId="7243F5A1">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28BD4EF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永州市库区移民事务中心</w:t>
      </w:r>
    </w:p>
    <w:p w14:paraId="343E8F26">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3A47B6E">
      <w:pPr>
        <w:pStyle w:val="12"/>
        <w:jc w:val="center"/>
        <w:rPr>
          <w:rFonts w:ascii="方正小标宋_GBK" w:hAnsi="方正小标宋_GBK" w:eastAsia="方正小标宋_GBK" w:cs="方正小标宋_GBK"/>
          <w:sz w:val="56"/>
          <w:szCs w:val="56"/>
        </w:rPr>
      </w:pPr>
    </w:p>
    <w:p w14:paraId="4CBDAFEB">
      <w:pPr>
        <w:pStyle w:val="12"/>
        <w:jc w:val="center"/>
        <w:rPr>
          <w:sz w:val="56"/>
          <w:szCs w:val="56"/>
        </w:rPr>
      </w:pPr>
    </w:p>
    <w:p w14:paraId="16485DB0">
      <w:pPr>
        <w:pStyle w:val="12"/>
        <w:jc w:val="center"/>
        <w:rPr>
          <w:sz w:val="56"/>
          <w:szCs w:val="56"/>
        </w:rPr>
      </w:pPr>
    </w:p>
    <w:p w14:paraId="728BF4E1">
      <w:pPr>
        <w:pStyle w:val="12"/>
        <w:jc w:val="center"/>
        <w:rPr>
          <w:sz w:val="56"/>
          <w:szCs w:val="56"/>
        </w:rPr>
      </w:pPr>
    </w:p>
    <w:p w14:paraId="0847D4E2">
      <w:pPr>
        <w:pStyle w:val="12"/>
        <w:jc w:val="center"/>
        <w:rPr>
          <w:sz w:val="32"/>
          <w:szCs w:val="32"/>
        </w:rPr>
      </w:pPr>
    </w:p>
    <w:p w14:paraId="165D4940">
      <w:pPr>
        <w:pStyle w:val="12"/>
        <w:jc w:val="center"/>
        <w:rPr>
          <w:sz w:val="32"/>
          <w:szCs w:val="32"/>
        </w:rPr>
      </w:pPr>
    </w:p>
    <w:p w14:paraId="464F3D26">
      <w:pPr>
        <w:pStyle w:val="12"/>
        <w:spacing w:line="540" w:lineRule="exact"/>
        <w:jc w:val="both"/>
        <w:rPr>
          <w:sz w:val="56"/>
          <w:szCs w:val="56"/>
        </w:rPr>
      </w:pPr>
    </w:p>
    <w:p w14:paraId="2EEEDB92">
      <w:pPr>
        <w:pStyle w:val="12"/>
        <w:spacing w:line="500" w:lineRule="exact"/>
        <w:jc w:val="both"/>
        <w:rPr>
          <w:b/>
          <w:sz w:val="36"/>
          <w:szCs w:val="28"/>
        </w:rPr>
      </w:pPr>
    </w:p>
    <w:p w14:paraId="444E6E4D">
      <w:pPr>
        <w:pStyle w:val="12"/>
        <w:spacing w:line="500" w:lineRule="exact"/>
        <w:jc w:val="center"/>
        <w:rPr>
          <w:b/>
          <w:sz w:val="36"/>
          <w:szCs w:val="28"/>
        </w:rPr>
      </w:pPr>
      <w:r>
        <w:rPr>
          <w:rFonts w:hint="eastAsia"/>
          <w:b/>
          <w:sz w:val="36"/>
          <w:szCs w:val="28"/>
        </w:rPr>
        <w:t>目录</w:t>
      </w:r>
    </w:p>
    <w:p w14:paraId="480D4037">
      <w:pPr>
        <w:pStyle w:val="12"/>
        <w:spacing w:line="500" w:lineRule="exact"/>
        <w:rPr>
          <w:rFonts w:hAnsi="黑体"/>
          <w:bCs/>
          <w:sz w:val="28"/>
          <w:szCs w:val="28"/>
        </w:rPr>
      </w:pPr>
      <w:r>
        <w:rPr>
          <w:rFonts w:hint="eastAsia" w:hAnsi="黑体"/>
          <w:bCs/>
          <w:sz w:val="28"/>
          <w:szCs w:val="28"/>
        </w:rPr>
        <w:t>第一部分 永州市库区移民事务中心概况</w:t>
      </w:r>
    </w:p>
    <w:p w14:paraId="3AD857ED">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37A7E8C">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790750D">
      <w:pPr>
        <w:pStyle w:val="12"/>
        <w:spacing w:line="500" w:lineRule="exact"/>
        <w:rPr>
          <w:rFonts w:hAnsi="黑体"/>
          <w:bCs/>
          <w:sz w:val="28"/>
          <w:szCs w:val="28"/>
        </w:rPr>
      </w:pPr>
      <w:r>
        <w:rPr>
          <w:rFonts w:hint="eastAsia" w:hAnsi="黑体"/>
          <w:bCs/>
          <w:sz w:val="28"/>
          <w:szCs w:val="28"/>
        </w:rPr>
        <w:t>第二部分 部门决算表</w:t>
      </w:r>
      <w:r>
        <w:rPr>
          <w:rFonts w:hint="eastAsia" w:ascii="仿宋_GB2312" w:hAnsi="仿宋_GB2312" w:eastAsia="仿宋_GB2312" w:cs="仿宋_GB2312"/>
          <w:sz w:val="28"/>
          <w:szCs w:val="28"/>
        </w:rPr>
        <w:t>（说明：本套报表金额单位转换时可能存在尾数误差。）</w:t>
      </w:r>
    </w:p>
    <w:p w14:paraId="3734DFB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C8AF645">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6124D14">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24A799E">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EC2D4E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DB73396">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D6D13C9">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DC4A6E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D297601">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3D8F237">
      <w:pPr>
        <w:pStyle w:val="12"/>
        <w:spacing w:line="500" w:lineRule="exact"/>
        <w:rPr>
          <w:rFonts w:hAnsi="黑体"/>
          <w:bCs/>
          <w:sz w:val="28"/>
          <w:szCs w:val="28"/>
        </w:rPr>
      </w:pPr>
      <w:r>
        <w:rPr>
          <w:rFonts w:hint="eastAsia" w:hAnsi="黑体"/>
          <w:bCs/>
          <w:sz w:val="28"/>
          <w:szCs w:val="28"/>
        </w:rPr>
        <w:t>第三部分 部门决算情况说明</w:t>
      </w:r>
    </w:p>
    <w:p w14:paraId="0601A115">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76AFB8F">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A8AA60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E1054B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3309A1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9AF43D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CB68F9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B29A5D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458CFE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1E2271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0B9886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B1233EF">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2886D91">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7BF08E96">
      <w:pPr>
        <w:pStyle w:val="12"/>
        <w:spacing w:line="500" w:lineRule="exact"/>
        <w:rPr>
          <w:rFonts w:hAnsi="黑体"/>
          <w:bCs/>
          <w:sz w:val="28"/>
          <w:szCs w:val="28"/>
        </w:rPr>
      </w:pPr>
      <w:r>
        <w:rPr>
          <w:rFonts w:hint="eastAsia" w:hAnsi="黑体"/>
          <w:bCs/>
          <w:sz w:val="28"/>
          <w:szCs w:val="28"/>
        </w:rPr>
        <w:t>第四部分 名词解释</w:t>
      </w:r>
    </w:p>
    <w:p w14:paraId="06C57292">
      <w:pPr>
        <w:jc w:val="center"/>
        <w:rPr>
          <w:sz w:val="72"/>
          <w:szCs w:val="72"/>
        </w:rPr>
      </w:pPr>
    </w:p>
    <w:p w14:paraId="253FB1A3">
      <w:pPr>
        <w:jc w:val="center"/>
        <w:rPr>
          <w:sz w:val="72"/>
          <w:szCs w:val="72"/>
        </w:rPr>
      </w:pPr>
    </w:p>
    <w:p w14:paraId="179F3DFD">
      <w:pPr>
        <w:jc w:val="center"/>
        <w:rPr>
          <w:sz w:val="72"/>
          <w:szCs w:val="72"/>
        </w:rPr>
      </w:pPr>
    </w:p>
    <w:p w14:paraId="5A24E995">
      <w:pPr>
        <w:jc w:val="center"/>
        <w:rPr>
          <w:sz w:val="72"/>
          <w:szCs w:val="72"/>
        </w:rPr>
      </w:pPr>
    </w:p>
    <w:p w14:paraId="05B9B5AC">
      <w:pPr>
        <w:rPr>
          <w:rFonts w:ascii="方正小标宋_GBK" w:hAnsi="方正小标宋_GBK" w:eastAsia="方正小标宋_GBK" w:cs="方正小标宋_GBK"/>
          <w:sz w:val="72"/>
          <w:szCs w:val="72"/>
        </w:rPr>
      </w:pPr>
    </w:p>
    <w:p w14:paraId="35DCC917">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954B3D1">
      <w:pPr>
        <w:pStyle w:val="12"/>
        <w:jc w:val="center"/>
        <w:rPr>
          <w:rFonts w:ascii="方正小标宋_GBK" w:hAnsi="方正小标宋_GBK" w:eastAsia="方正小标宋_GBK" w:cs="方正小标宋_GBK"/>
          <w:sz w:val="84"/>
          <w:szCs w:val="84"/>
        </w:rPr>
      </w:pPr>
    </w:p>
    <w:p w14:paraId="477D2CA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永州市库区移民事务中心</w:t>
      </w:r>
    </w:p>
    <w:p w14:paraId="45BD5232">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633B40BA">
      <w:pPr>
        <w:jc w:val="center"/>
        <w:rPr>
          <w:rFonts w:ascii="方正小标宋_GBK" w:hAnsi="方正小标宋_GBK" w:eastAsia="方正小标宋_GBK" w:cs="方正小标宋_GBK"/>
          <w:sz w:val="72"/>
          <w:szCs w:val="72"/>
        </w:rPr>
      </w:pPr>
    </w:p>
    <w:p w14:paraId="6376A309">
      <w:pPr>
        <w:jc w:val="center"/>
        <w:rPr>
          <w:rFonts w:ascii="方正小标宋_GBK" w:hAnsi="方正小标宋_GBK" w:eastAsia="方正小标宋_GBK" w:cs="方正小标宋_GBK"/>
          <w:sz w:val="72"/>
          <w:szCs w:val="72"/>
        </w:rPr>
      </w:pPr>
    </w:p>
    <w:p w14:paraId="25BB8D6E">
      <w:pPr>
        <w:jc w:val="both"/>
        <w:rPr>
          <w:sz w:val="72"/>
          <w:szCs w:val="72"/>
        </w:rPr>
      </w:pPr>
    </w:p>
    <w:p w14:paraId="3C98C072">
      <w:pPr>
        <w:jc w:val="both"/>
        <w:rPr>
          <w:sz w:val="72"/>
          <w:szCs w:val="72"/>
        </w:rPr>
      </w:pPr>
    </w:p>
    <w:p w14:paraId="70F74A70">
      <w:pPr>
        <w:pStyle w:val="13"/>
        <w:ind w:firstLine="960" w:firstLineChars="300"/>
        <w:jc w:val="left"/>
        <w:rPr>
          <w:rFonts w:ascii="黑体" w:hAnsi="黑体" w:eastAsia="黑体" w:cs="黑体"/>
          <w:sz w:val="32"/>
          <w:szCs w:val="32"/>
        </w:rPr>
      </w:pPr>
      <w:r>
        <w:rPr>
          <w:rFonts w:hint="eastAsia" w:ascii="黑体" w:hAnsi="黑体" w:eastAsia="黑体" w:cs="黑体"/>
          <w:sz w:val="32"/>
          <w:szCs w:val="32"/>
        </w:rPr>
        <w:t>一、部门职责</w:t>
      </w:r>
    </w:p>
    <w:p w14:paraId="7DEB4C97">
      <w:pPr>
        <w:spacing w:line="600" w:lineRule="exact"/>
        <w:ind w:firstLine="640" w:firstLineChars="200"/>
        <w:rPr>
          <w:rFonts w:eastAsia="仿宋_GB2312"/>
          <w:sz w:val="32"/>
          <w:szCs w:val="32"/>
        </w:rPr>
      </w:pPr>
      <w:r>
        <w:rPr>
          <w:rFonts w:hint="eastAsia" w:ascii="仿宋_GB2312" w:hAnsi="仿宋_GB2312" w:eastAsia="仿宋_GB2312" w:cs="仿宋_GB2312"/>
          <w:bCs/>
          <w:kern w:val="0"/>
          <w:sz w:val="32"/>
          <w:szCs w:val="32"/>
        </w:rPr>
        <w:t>（一）</w:t>
      </w:r>
      <w:r>
        <w:rPr>
          <w:rFonts w:hint="eastAsia" w:eastAsia="仿宋_GB2312"/>
          <w:sz w:val="32"/>
          <w:szCs w:val="32"/>
        </w:rPr>
        <w:t>为大中型水库工程建设制定征地实物调查细则、移民安置规划大纲、移民安置规划、移民后期扶持规划提供技术支持，承担大中型水库移民安置阶段验收及竣工验收和后期扶持规划实施验收的事务性工作；</w:t>
      </w:r>
    </w:p>
    <w:p w14:paraId="4601FAF6">
      <w:pPr>
        <w:ind w:firstLine="800" w:firstLineChars="250"/>
        <w:jc w:val="left"/>
        <w:rPr>
          <w:rFonts w:eastAsia="仿宋_GB2312"/>
          <w:sz w:val="32"/>
          <w:szCs w:val="32"/>
        </w:rPr>
      </w:pPr>
      <w:r>
        <w:rPr>
          <w:rFonts w:hint="eastAsia" w:eastAsia="仿宋_GB2312"/>
          <w:sz w:val="32"/>
          <w:szCs w:val="32"/>
        </w:rPr>
        <w:t>（二）承担移民综合统计工作；</w:t>
      </w:r>
    </w:p>
    <w:p w14:paraId="0EFF1037">
      <w:pPr>
        <w:ind w:firstLine="800" w:firstLineChars="250"/>
        <w:jc w:val="left"/>
        <w:rPr>
          <w:rFonts w:eastAsia="仿宋_GB2312"/>
          <w:sz w:val="32"/>
          <w:szCs w:val="32"/>
        </w:rPr>
      </w:pPr>
      <w:r>
        <w:rPr>
          <w:rFonts w:hint="eastAsia" w:eastAsia="仿宋_GB2312"/>
          <w:sz w:val="32"/>
          <w:szCs w:val="32"/>
        </w:rPr>
        <w:t>（三）承担大中型水库移民安置和后期扶持的事务性工作；</w:t>
      </w:r>
    </w:p>
    <w:p w14:paraId="728A96DA">
      <w:pPr>
        <w:ind w:firstLine="800" w:firstLineChars="250"/>
        <w:jc w:val="left"/>
        <w:rPr>
          <w:rFonts w:eastAsia="仿宋_GB2312"/>
          <w:sz w:val="32"/>
          <w:szCs w:val="32"/>
        </w:rPr>
      </w:pPr>
      <w:r>
        <w:rPr>
          <w:rFonts w:hint="eastAsia" w:eastAsia="仿宋_GB2312"/>
          <w:sz w:val="32"/>
          <w:szCs w:val="32"/>
        </w:rPr>
        <w:t>（四）协助有关部门拟定市本级及辖区水库移民资金年度预算方案和安排方案、承担全市水库移民工作、移民资金内部审计、稽查和绩效评价的事务性工作，承担全市水库移民后期扶持政策实施情况监测评估的事务性工作，为全市水库移民资金管理提供服务保障；</w:t>
      </w:r>
    </w:p>
    <w:p w14:paraId="1C718A17">
      <w:pPr>
        <w:ind w:firstLine="800" w:firstLineChars="250"/>
        <w:jc w:val="left"/>
        <w:rPr>
          <w:rFonts w:eastAsia="仿宋_GB2312"/>
          <w:sz w:val="32"/>
          <w:szCs w:val="32"/>
        </w:rPr>
      </w:pPr>
      <w:r>
        <w:rPr>
          <w:rFonts w:hint="eastAsia" w:eastAsia="仿宋_GB2312"/>
          <w:sz w:val="32"/>
          <w:szCs w:val="32"/>
        </w:rPr>
        <w:t>（五）拟定全市水库移民工作规划及年度工作计划，负责水库移民工作规范性文件的起草，承担大中型水库移民信访维稳、行政复议、行政诉讼等相关事务性工作；</w:t>
      </w:r>
    </w:p>
    <w:p w14:paraId="0D34C2D7">
      <w:pPr>
        <w:ind w:firstLine="800" w:firstLineChars="250"/>
        <w:jc w:val="left"/>
        <w:rPr>
          <w:rFonts w:eastAsia="仿宋_GB2312"/>
          <w:sz w:val="32"/>
          <w:szCs w:val="32"/>
        </w:rPr>
      </w:pPr>
      <w:r>
        <w:rPr>
          <w:rFonts w:hint="eastAsia" w:eastAsia="仿宋_GB2312"/>
          <w:sz w:val="32"/>
          <w:szCs w:val="32"/>
        </w:rPr>
        <w:t>（六）协助推动水库移民对口帮扶工作</w:t>
      </w:r>
    </w:p>
    <w:p w14:paraId="30F544FC">
      <w:pPr>
        <w:ind w:firstLine="800" w:firstLineChars="250"/>
        <w:jc w:val="left"/>
        <w:rPr>
          <w:rFonts w:eastAsia="仿宋_GB2312"/>
          <w:sz w:val="32"/>
          <w:szCs w:val="32"/>
        </w:rPr>
      </w:pPr>
      <w:r>
        <w:rPr>
          <w:rFonts w:hint="eastAsia" w:eastAsia="仿宋_GB2312"/>
          <w:sz w:val="32"/>
          <w:szCs w:val="32"/>
        </w:rPr>
        <w:t>（七）协助协调三峡移民工作；</w:t>
      </w:r>
    </w:p>
    <w:p w14:paraId="73F81617">
      <w:pPr>
        <w:ind w:firstLine="800" w:firstLineChars="250"/>
        <w:jc w:val="left"/>
        <w:rPr>
          <w:rFonts w:eastAsia="仿宋_GB2312"/>
          <w:sz w:val="32"/>
          <w:szCs w:val="32"/>
        </w:rPr>
      </w:pPr>
      <w:r>
        <w:rPr>
          <w:rFonts w:hint="eastAsia" w:eastAsia="仿宋_GB2312"/>
          <w:sz w:val="32"/>
          <w:szCs w:val="32"/>
        </w:rPr>
        <w:t>（八）承担大中型水库移民的培训工作；</w:t>
      </w:r>
    </w:p>
    <w:p w14:paraId="126A415B">
      <w:pPr>
        <w:ind w:firstLine="800" w:firstLineChars="250"/>
        <w:jc w:val="left"/>
        <w:rPr>
          <w:rFonts w:eastAsia="仿宋_GB2312"/>
          <w:sz w:val="32"/>
          <w:szCs w:val="32"/>
        </w:rPr>
      </w:pPr>
      <w:r>
        <w:rPr>
          <w:rFonts w:hint="eastAsia" w:eastAsia="仿宋_GB2312"/>
          <w:sz w:val="32"/>
          <w:szCs w:val="32"/>
        </w:rPr>
        <w:t>（九）承担市水利局交办的其他工作；</w:t>
      </w:r>
    </w:p>
    <w:p w14:paraId="44C7751C">
      <w:pPr>
        <w:widowControl/>
        <w:spacing w:line="600" w:lineRule="exact"/>
        <w:ind w:firstLine="960" w:firstLineChars="300"/>
        <w:rPr>
          <w:rFonts w:ascii="黑体" w:hAnsi="黑体" w:eastAsia="黑体" w:cs="黑体"/>
          <w:kern w:val="0"/>
          <w:sz w:val="32"/>
          <w:szCs w:val="32"/>
        </w:rPr>
      </w:pPr>
      <w:r>
        <w:rPr>
          <w:rFonts w:hint="eastAsia" w:ascii="黑体" w:hAnsi="黑体" w:eastAsia="黑体" w:cs="黑体"/>
          <w:sz w:val="32"/>
          <w:szCs w:val="32"/>
        </w:rPr>
        <w:t>二、机构设置及决算单位构成</w:t>
      </w:r>
    </w:p>
    <w:p w14:paraId="223B32A2">
      <w:pPr>
        <w:widowControl/>
        <w:spacing w:line="600" w:lineRule="exact"/>
        <w:ind w:firstLine="964" w:firstLineChars="300"/>
        <w:rPr>
          <w:rFonts w:hint="eastAsia" w:ascii="Times New Roman" w:hAnsi="Times New Roman" w:eastAsia="仿宋_GB2312" w:cs="黑体"/>
          <w:color w:val="000000"/>
          <w:kern w:val="0"/>
          <w:sz w:val="32"/>
          <w:szCs w:val="32"/>
          <w:lang w:val="en-US" w:eastAsia="zh-CN" w:bidi="ar-SA"/>
        </w:rPr>
      </w:pPr>
      <w:r>
        <w:rPr>
          <w:rFonts w:hint="eastAsia" w:ascii="楷体_GB2312" w:hAnsi="楷体_GB2312" w:eastAsia="楷体_GB2312" w:cs="楷体_GB2312"/>
          <w:b/>
          <w:kern w:val="0"/>
          <w:sz w:val="32"/>
          <w:szCs w:val="32"/>
        </w:rPr>
        <w:t>（一）内设机构设置。</w:t>
      </w:r>
      <w:r>
        <w:rPr>
          <w:rFonts w:hint="eastAsia" w:ascii="仿宋_GB2312" w:hAnsi="仿宋_GB2312" w:eastAsia="仿宋_GB2312" w:cs="仿宋_GB2312"/>
          <w:bCs/>
          <w:kern w:val="0"/>
          <w:sz w:val="32"/>
          <w:szCs w:val="32"/>
        </w:rPr>
        <w:t>永州市库区移民事务中心内设机构包括：综合部、搬迁安置与维权部、计划财务部、后期扶持部，编制20人。</w:t>
      </w:r>
      <w:r>
        <w:rPr>
          <w:rFonts w:hint="eastAsia" w:ascii="Times New Roman" w:hAnsi="Times New Roman" w:eastAsia="仿宋_GB2312" w:cs="黑体"/>
          <w:color w:val="000000"/>
          <w:kern w:val="0"/>
          <w:sz w:val="32"/>
          <w:szCs w:val="32"/>
          <w:lang w:val="en-US" w:eastAsia="zh-CN" w:bidi="ar-SA"/>
        </w:rPr>
        <w:t>在职人员17人，退休人员6人,临聘人员5人。</w:t>
      </w:r>
    </w:p>
    <w:p w14:paraId="36FEBE50">
      <w:pPr>
        <w:widowControl/>
        <w:spacing w:line="600" w:lineRule="exact"/>
        <w:ind w:firstLine="964" w:firstLineChars="300"/>
        <w:rPr>
          <w:rFonts w:hint="eastAsia" w:ascii="Times New Roman" w:hAnsi="Times New Roman" w:eastAsia="仿宋_GB2312" w:cs="黑体"/>
          <w:color w:val="000000"/>
          <w:kern w:val="0"/>
          <w:sz w:val="32"/>
          <w:szCs w:val="32"/>
          <w:lang w:eastAsia="zh-CN"/>
        </w:rPr>
      </w:pPr>
      <w:r>
        <w:rPr>
          <w:rFonts w:hint="eastAsia" w:ascii="楷体_GB2312" w:hAnsi="楷体_GB2312" w:eastAsia="楷体_GB2312" w:cs="楷体_GB2312"/>
          <w:b/>
          <w:kern w:val="0"/>
          <w:sz w:val="32"/>
          <w:szCs w:val="32"/>
        </w:rPr>
        <w:t>（二）决算单位构成。</w:t>
      </w:r>
      <w:r>
        <w:rPr>
          <w:rFonts w:hint="eastAsia" w:ascii="仿宋_GB2312" w:hAnsi="仿宋_GB2312" w:eastAsia="仿宋_GB2312" w:cs="仿宋_GB2312"/>
          <w:bCs/>
          <w:kern w:val="0"/>
          <w:sz w:val="32"/>
          <w:szCs w:val="32"/>
        </w:rPr>
        <w:t>永州市库区移民事务中心</w:t>
      </w:r>
      <w:r>
        <w:rPr>
          <w:rFonts w:hint="eastAsia" w:ascii="Times New Roman" w:hAnsi="Times New Roman" w:eastAsia="仿宋_GB2312" w:cs="黑体"/>
          <w:color w:val="000000"/>
          <w:kern w:val="0"/>
          <w:sz w:val="32"/>
          <w:szCs w:val="32"/>
        </w:rPr>
        <w:t>2022年部门决算汇总公开单位构成包括：</w:t>
      </w:r>
      <w:r>
        <w:rPr>
          <w:rFonts w:hint="eastAsia" w:ascii="仿宋_GB2312" w:hAnsi="仿宋_GB2312" w:eastAsia="仿宋_GB2312" w:cs="仿宋_GB2312"/>
          <w:bCs/>
          <w:kern w:val="0"/>
          <w:sz w:val="32"/>
          <w:szCs w:val="32"/>
        </w:rPr>
        <w:t>永州市库区移民事务中心</w:t>
      </w:r>
      <w:r>
        <w:rPr>
          <w:rFonts w:hint="eastAsia" w:ascii="Times New Roman" w:hAnsi="Times New Roman" w:eastAsia="仿宋_GB2312" w:cs="黑体"/>
          <w:color w:val="000000"/>
          <w:kern w:val="0"/>
          <w:sz w:val="32"/>
          <w:szCs w:val="32"/>
        </w:rPr>
        <w:t>本级</w:t>
      </w:r>
      <w:r>
        <w:rPr>
          <w:rFonts w:hint="eastAsia" w:ascii="Times New Roman" w:hAnsi="Times New Roman" w:eastAsia="仿宋_GB2312" w:cs="黑体"/>
          <w:color w:val="000000"/>
          <w:kern w:val="0"/>
          <w:sz w:val="32"/>
          <w:szCs w:val="32"/>
          <w:lang w:eastAsia="zh-CN"/>
        </w:rPr>
        <w:t>。</w:t>
      </w:r>
    </w:p>
    <w:p w14:paraId="00193C72">
      <w:pPr>
        <w:jc w:val="both"/>
        <w:rPr>
          <w:rFonts w:ascii="黑体" w:hAnsi="黑体" w:eastAsia="黑体"/>
          <w:sz w:val="28"/>
          <w:szCs w:val="28"/>
        </w:rPr>
      </w:pPr>
    </w:p>
    <w:p w14:paraId="2A88DFCD">
      <w:pPr>
        <w:jc w:val="center"/>
        <w:rPr>
          <w:rFonts w:ascii="黑体" w:hAnsi="黑体" w:eastAsia="黑体"/>
          <w:sz w:val="28"/>
          <w:szCs w:val="28"/>
        </w:rPr>
      </w:pPr>
    </w:p>
    <w:p w14:paraId="425041B4">
      <w:pPr>
        <w:jc w:val="center"/>
        <w:rPr>
          <w:rFonts w:ascii="黑体" w:hAnsi="黑体" w:eastAsia="黑体"/>
          <w:sz w:val="28"/>
          <w:szCs w:val="28"/>
        </w:rPr>
      </w:pPr>
    </w:p>
    <w:p w14:paraId="4EDF50B3">
      <w:pPr>
        <w:jc w:val="center"/>
        <w:rPr>
          <w:rFonts w:ascii="黑体" w:hAnsi="黑体" w:eastAsia="黑体"/>
          <w:sz w:val="28"/>
          <w:szCs w:val="28"/>
        </w:rPr>
      </w:pPr>
    </w:p>
    <w:p w14:paraId="4485D7F1">
      <w:pPr>
        <w:jc w:val="center"/>
        <w:rPr>
          <w:rFonts w:ascii="黑体" w:hAnsi="黑体" w:eastAsia="黑体"/>
          <w:sz w:val="28"/>
          <w:szCs w:val="28"/>
        </w:rPr>
      </w:pPr>
    </w:p>
    <w:p w14:paraId="3466A485">
      <w:pPr>
        <w:jc w:val="center"/>
        <w:rPr>
          <w:rFonts w:ascii="黑体" w:hAnsi="黑体" w:eastAsia="黑体"/>
          <w:sz w:val="28"/>
          <w:szCs w:val="28"/>
        </w:rPr>
      </w:pPr>
    </w:p>
    <w:p w14:paraId="08B380D9">
      <w:pPr>
        <w:jc w:val="center"/>
        <w:rPr>
          <w:rFonts w:ascii="黑体" w:hAnsi="黑体" w:eastAsia="黑体"/>
          <w:sz w:val="28"/>
          <w:szCs w:val="28"/>
        </w:rPr>
      </w:pPr>
    </w:p>
    <w:p w14:paraId="503E8AE9">
      <w:pPr>
        <w:pStyle w:val="12"/>
        <w:jc w:val="both"/>
        <w:rPr>
          <w:rFonts w:ascii="方正小标宋_GBK" w:hAnsi="方正小标宋_GBK" w:eastAsia="方正小标宋_GBK" w:cs="方正小标宋_GBK"/>
          <w:sz w:val="84"/>
          <w:szCs w:val="84"/>
        </w:rPr>
      </w:pPr>
    </w:p>
    <w:p w14:paraId="55C8DD86">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8A683C0">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9FA3F6B">
      <w:pPr>
        <w:jc w:val="center"/>
        <w:rPr>
          <w:rFonts w:ascii="楷体_GB2312" w:hAnsi="楷体_GB2312" w:eastAsia="楷体_GB2312" w:cs="楷体_GB2312"/>
          <w:b/>
          <w:bCs/>
          <w:color w:val="000000"/>
          <w:kern w:val="0"/>
          <w:sz w:val="52"/>
          <w:szCs w:val="52"/>
        </w:rPr>
      </w:pPr>
      <w:r>
        <w:rPr>
          <w:rFonts w:hint="eastAsia" w:ascii="楷体_GB2312" w:hAnsi="楷体_GB2312" w:eastAsia="楷体_GB2312" w:cs="楷体_GB2312"/>
          <w:b/>
          <w:bCs/>
          <w:color w:val="000000"/>
          <w:kern w:val="0"/>
          <w:sz w:val="52"/>
          <w:szCs w:val="52"/>
        </w:rPr>
        <w:t>（详见附表）</w:t>
      </w:r>
    </w:p>
    <w:p w14:paraId="388287BB">
      <w:pPr>
        <w:pStyle w:val="12"/>
        <w:jc w:val="center"/>
        <w:rPr>
          <w:rFonts w:ascii="方正小标宋_GBK" w:hAnsi="方正小标宋_GBK" w:eastAsia="方正小标宋_GBK" w:cs="方正小标宋_GBK"/>
          <w:sz w:val="84"/>
          <w:szCs w:val="84"/>
        </w:rPr>
      </w:pPr>
    </w:p>
    <w:p w14:paraId="75375C8F">
      <w:pPr>
        <w:jc w:val="center"/>
        <w:rPr>
          <w:sz w:val="72"/>
          <w:szCs w:val="72"/>
        </w:rPr>
      </w:pPr>
    </w:p>
    <w:p w14:paraId="551DDA98">
      <w:pPr>
        <w:jc w:val="left"/>
        <w:rPr>
          <w:rFonts w:asciiTheme="minorEastAsia" w:hAnsiTheme="minorEastAsia"/>
          <w:sz w:val="32"/>
          <w:szCs w:val="32"/>
        </w:rPr>
      </w:pPr>
    </w:p>
    <w:p w14:paraId="458DB33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25DFF1EC">
      <w:pPr>
        <w:pStyle w:val="12"/>
        <w:rPr>
          <w:sz w:val="72"/>
          <w:szCs w:val="72"/>
        </w:rPr>
      </w:pPr>
    </w:p>
    <w:p w14:paraId="2A5C76DC">
      <w:pPr>
        <w:pStyle w:val="12"/>
        <w:rPr>
          <w:sz w:val="72"/>
          <w:szCs w:val="72"/>
        </w:rPr>
      </w:pPr>
    </w:p>
    <w:p w14:paraId="0705706F">
      <w:pPr>
        <w:pStyle w:val="12"/>
        <w:jc w:val="center"/>
        <w:rPr>
          <w:sz w:val="72"/>
          <w:szCs w:val="72"/>
        </w:rPr>
      </w:pPr>
    </w:p>
    <w:p w14:paraId="647CDC61">
      <w:pPr>
        <w:pStyle w:val="12"/>
        <w:jc w:val="center"/>
        <w:rPr>
          <w:rFonts w:ascii="方正小标宋_GBK" w:hAnsi="方正小标宋_GBK" w:eastAsia="方正小标宋_GBK" w:cs="方正小标宋_GBK"/>
          <w:sz w:val="72"/>
          <w:szCs w:val="72"/>
        </w:rPr>
      </w:pPr>
    </w:p>
    <w:p w14:paraId="35DA4B6A">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0D5A966">
      <w:pPr>
        <w:pStyle w:val="12"/>
        <w:jc w:val="center"/>
        <w:rPr>
          <w:rFonts w:ascii="方正小标宋_GBK" w:hAnsi="方正小标宋_GBK" w:eastAsia="方正小标宋_GBK" w:cs="方正小标宋_GBK"/>
          <w:sz w:val="70"/>
          <w:szCs w:val="70"/>
        </w:rPr>
      </w:pPr>
    </w:p>
    <w:p w14:paraId="2C35C708">
      <w:pPr>
        <w:pStyle w:val="1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14:paraId="623D82E1">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308D8059">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14:paraId="335259E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2022年度收入总计372.49万元。与上年相比，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72.32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24.09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单位人员增加和公用经费调整</w:t>
      </w:r>
      <w:r>
        <w:rPr>
          <w:rFonts w:hint="eastAsia" w:ascii="Times New Roman" w:hAnsi="Times New Roman" w:eastAsia="仿宋_GB2312"/>
          <w:sz w:val="32"/>
          <w:szCs w:val="32"/>
        </w:rPr>
        <w:t>。</w:t>
      </w:r>
    </w:p>
    <w:p w14:paraId="71EEC20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2022年度支出总计372.49万元。与上年相比，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72.32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24.09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单位人员增加和公用经费调整</w:t>
      </w:r>
      <w:r>
        <w:rPr>
          <w:rFonts w:hint="eastAsia" w:ascii="Times New Roman" w:hAnsi="Times New Roman" w:eastAsia="仿宋_GB2312"/>
          <w:sz w:val="32"/>
          <w:szCs w:val="32"/>
        </w:rPr>
        <w:t>。</w:t>
      </w:r>
    </w:p>
    <w:p w14:paraId="6B5F4828">
      <w:pPr>
        <w:pStyle w:val="12"/>
        <w:spacing w:line="600" w:lineRule="exact"/>
        <w:ind w:firstLine="640" w:firstLineChars="200"/>
        <w:rPr>
          <w:rFonts w:hAnsi="黑体"/>
          <w:bCs/>
          <w:sz w:val="32"/>
          <w:szCs w:val="32"/>
        </w:rPr>
      </w:pPr>
      <w:r>
        <w:rPr>
          <w:rFonts w:hint="eastAsia" w:hAnsi="黑体"/>
          <w:bCs/>
          <w:sz w:val="32"/>
          <w:szCs w:val="32"/>
        </w:rPr>
        <w:t>二、收入决算情况说明</w:t>
      </w:r>
    </w:p>
    <w:p w14:paraId="3EA86CBF">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w:t>
      </w:r>
      <w:r>
        <w:rPr>
          <w:rFonts w:asciiTheme="minorEastAsia" w:hAnsiTheme="minorEastAsia" w:eastAsiaTheme="minorEastAsia"/>
          <w:sz w:val="32"/>
          <w:szCs w:val="32"/>
        </w:rPr>
        <w:t>372</w:t>
      </w:r>
      <w:r>
        <w:rPr>
          <w:rFonts w:hint="eastAsia" w:asciiTheme="minorEastAsia" w:hAnsiTheme="minorEastAsia" w:eastAsiaTheme="minorEastAsia"/>
          <w:sz w:val="32"/>
          <w:szCs w:val="32"/>
        </w:rPr>
        <w:t>.</w:t>
      </w:r>
      <w:r>
        <w:rPr>
          <w:rFonts w:asciiTheme="minorEastAsia" w:hAnsiTheme="minorEastAsia" w:eastAsiaTheme="minorEastAsia"/>
          <w:sz w:val="32"/>
          <w:szCs w:val="32"/>
        </w:rPr>
        <w:t>49</w:t>
      </w:r>
      <w:r>
        <w:rPr>
          <w:rFonts w:hint="eastAsia" w:ascii="Times New Roman" w:hAnsi="Times New Roman" w:eastAsia="仿宋_GB2312"/>
          <w:sz w:val="32"/>
          <w:szCs w:val="32"/>
        </w:rPr>
        <w:t>万元，其中：财政拨款收入</w:t>
      </w:r>
      <w:r>
        <w:rPr>
          <w:rFonts w:asciiTheme="minorEastAsia" w:hAnsiTheme="minorEastAsia" w:eastAsiaTheme="minorEastAsia"/>
          <w:sz w:val="32"/>
          <w:szCs w:val="32"/>
        </w:rPr>
        <w:t>372</w:t>
      </w:r>
      <w:r>
        <w:rPr>
          <w:rFonts w:hint="eastAsia" w:asciiTheme="minorEastAsia" w:hAnsiTheme="minorEastAsia" w:eastAsiaTheme="minorEastAsia"/>
          <w:sz w:val="32"/>
          <w:szCs w:val="32"/>
        </w:rPr>
        <w:t>.</w:t>
      </w:r>
      <w:r>
        <w:rPr>
          <w:rFonts w:asciiTheme="minorEastAsia" w:hAnsiTheme="minorEastAsia" w:eastAsiaTheme="minorEastAsia"/>
          <w:sz w:val="32"/>
          <w:szCs w:val="32"/>
        </w:rPr>
        <w:t>49</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14:paraId="67DE9178">
      <w:pPr>
        <w:pStyle w:val="12"/>
        <w:spacing w:line="600" w:lineRule="exact"/>
        <w:ind w:firstLine="640" w:firstLineChars="200"/>
        <w:rPr>
          <w:rFonts w:hAnsi="黑体"/>
          <w:bCs/>
          <w:sz w:val="32"/>
          <w:szCs w:val="32"/>
        </w:rPr>
      </w:pPr>
      <w:r>
        <w:rPr>
          <w:rFonts w:hint="eastAsia" w:hAnsi="黑体"/>
          <w:bCs/>
          <w:sz w:val="32"/>
          <w:szCs w:val="32"/>
        </w:rPr>
        <w:t>三、支出决算情况说明</w:t>
      </w:r>
    </w:p>
    <w:p w14:paraId="1462B37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w:t>
      </w:r>
      <w:r>
        <w:rPr>
          <w:rFonts w:asciiTheme="minorEastAsia" w:hAnsiTheme="minorEastAsia" w:eastAsiaTheme="minorEastAsia"/>
          <w:sz w:val="32"/>
          <w:szCs w:val="32"/>
        </w:rPr>
        <w:t>372</w:t>
      </w:r>
      <w:r>
        <w:rPr>
          <w:rFonts w:hint="eastAsia" w:asciiTheme="minorEastAsia" w:hAnsiTheme="minorEastAsia" w:eastAsiaTheme="minorEastAsia"/>
          <w:sz w:val="32"/>
          <w:szCs w:val="32"/>
        </w:rPr>
        <w:t>.</w:t>
      </w:r>
      <w:r>
        <w:rPr>
          <w:rFonts w:asciiTheme="minorEastAsia" w:hAnsiTheme="minorEastAsia" w:eastAsiaTheme="minorEastAsia"/>
          <w:sz w:val="32"/>
          <w:szCs w:val="32"/>
        </w:rPr>
        <w:t>49</w:t>
      </w:r>
      <w:r>
        <w:rPr>
          <w:rFonts w:hint="eastAsia" w:ascii="Times New Roman" w:hAnsi="Times New Roman" w:eastAsia="仿宋_GB2312"/>
          <w:sz w:val="32"/>
          <w:szCs w:val="32"/>
        </w:rPr>
        <w:t>万元，其中：基本支出</w:t>
      </w:r>
      <w:r>
        <w:rPr>
          <w:rFonts w:asciiTheme="minorEastAsia" w:hAnsiTheme="minorEastAsia" w:eastAsiaTheme="minorEastAsia"/>
          <w:sz w:val="32"/>
          <w:szCs w:val="32"/>
        </w:rPr>
        <w:t>300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69</w:t>
      </w:r>
      <w:r>
        <w:rPr>
          <w:rFonts w:hint="eastAsia" w:ascii="Times New Roman" w:hAnsi="Times New Roman" w:eastAsia="仿宋_GB2312"/>
          <w:sz w:val="32"/>
          <w:szCs w:val="32"/>
        </w:rPr>
        <w:t>万元，占80.73%；项目支出</w:t>
      </w:r>
      <w:r>
        <w:rPr>
          <w:rFonts w:hint="eastAsia" w:asciiTheme="minorEastAsia" w:hAnsiTheme="minorEastAsia" w:eastAsiaTheme="minorEastAsia"/>
          <w:sz w:val="32"/>
          <w:szCs w:val="32"/>
        </w:rPr>
        <w:t>71.</w:t>
      </w:r>
      <w:r>
        <w:rPr>
          <w:rFonts w:hint="eastAsia" w:asciiTheme="minorEastAsia" w:hAnsiTheme="minorEastAsia" w:eastAsiaTheme="minorEastAsia"/>
          <w:sz w:val="32"/>
          <w:szCs w:val="32"/>
          <w:lang w:val="en-US" w:eastAsia="zh-CN"/>
        </w:rPr>
        <w:t>8</w:t>
      </w:r>
      <w:r>
        <w:rPr>
          <w:rFonts w:hint="eastAsia" w:ascii="Times New Roman" w:hAnsi="Times New Roman" w:eastAsia="仿宋_GB2312"/>
          <w:sz w:val="32"/>
          <w:szCs w:val="32"/>
        </w:rPr>
        <w:t>万元，占19.27%；上缴上级支出0万元，占0%；经营支出0万元，占0%；对附属单位补助支出0万元，占0%。</w:t>
      </w:r>
    </w:p>
    <w:p w14:paraId="34448DD8">
      <w:pPr>
        <w:pStyle w:val="12"/>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64C1F54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2022年度财政拨款收入总计</w:t>
      </w:r>
      <w:r>
        <w:rPr>
          <w:rFonts w:asciiTheme="minorEastAsia" w:hAnsiTheme="minorEastAsia" w:eastAsiaTheme="minorEastAsia"/>
          <w:sz w:val="32"/>
          <w:szCs w:val="32"/>
        </w:rPr>
        <w:t>372</w:t>
      </w:r>
      <w:r>
        <w:rPr>
          <w:rFonts w:hint="eastAsia" w:asciiTheme="minorEastAsia" w:hAnsiTheme="minorEastAsia" w:eastAsiaTheme="minorEastAsia"/>
          <w:sz w:val="32"/>
          <w:szCs w:val="32"/>
        </w:rPr>
        <w:t>.</w:t>
      </w:r>
      <w:r>
        <w:rPr>
          <w:rFonts w:asciiTheme="minorEastAsia" w:hAnsiTheme="minorEastAsia" w:eastAsiaTheme="minorEastAsia"/>
          <w:sz w:val="32"/>
          <w:szCs w:val="32"/>
        </w:rPr>
        <w:t>49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72.32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24.09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单位人员增加和公用经费调整</w:t>
      </w:r>
      <w:r>
        <w:rPr>
          <w:rFonts w:hint="eastAsia" w:ascii="Times New Roman" w:hAnsi="Times New Roman" w:eastAsia="仿宋_GB2312"/>
          <w:sz w:val="32"/>
          <w:szCs w:val="32"/>
        </w:rPr>
        <w:t>。</w:t>
      </w:r>
    </w:p>
    <w:p w14:paraId="14A7E92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2022年度财政拨款支出总计</w:t>
      </w:r>
      <w:r>
        <w:rPr>
          <w:rFonts w:asciiTheme="minorEastAsia" w:hAnsiTheme="minorEastAsia" w:eastAsiaTheme="minorEastAsia"/>
          <w:sz w:val="32"/>
          <w:szCs w:val="32"/>
        </w:rPr>
        <w:t>372</w:t>
      </w:r>
      <w:r>
        <w:rPr>
          <w:rFonts w:hint="eastAsia" w:asciiTheme="minorEastAsia" w:hAnsiTheme="minorEastAsia" w:eastAsiaTheme="minorEastAsia"/>
          <w:sz w:val="32"/>
          <w:szCs w:val="32"/>
        </w:rPr>
        <w:t>.</w:t>
      </w:r>
      <w:r>
        <w:rPr>
          <w:rFonts w:asciiTheme="minorEastAsia" w:hAnsiTheme="minorEastAsia" w:eastAsiaTheme="minorEastAsia"/>
          <w:sz w:val="32"/>
          <w:szCs w:val="32"/>
        </w:rPr>
        <w:t>49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72.32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24.09</w:t>
      </w:r>
      <w:r>
        <w:rPr>
          <w:rFonts w:hint="eastAsia" w:ascii="Times New Roman" w:hAnsi="Times New Roman" w:eastAsia="仿宋_GB2312"/>
          <w:sz w:val="32"/>
          <w:szCs w:val="32"/>
        </w:rPr>
        <w:t>%，主要是因为主要是因为</w:t>
      </w:r>
      <w:r>
        <w:rPr>
          <w:rFonts w:hint="eastAsia" w:ascii="Times New Roman" w:hAnsi="Times New Roman" w:eastAsia="仿宋_GB2312"/>
          <w:sz w:val="32"/>
          <w:szCs w:val="32"/>
          <w:lang w:eastAsia="zh-CN"/>
        </w:rPr>
        <w:t>单位人员增加和公用经费调整</w:t>
      </w:r>
      <w:r>
        <w:rPr>
          <w:rFonts w:hint="eastAsia" w:ascii="Times New Roman" w:hAnsi="Times New Roman" w:eastAsia="仿宋_GB2312"/>
          <w:sz w:val="32"/>
          <w:szCs w:val="32"/>
        </w:rPr>
        <w:t>。</w:t>
      </w:r>
    </w:p>
    <w:p w14:paraId="672F9638">
      <w:pPr>
        <w:pStyle w:val="12"/>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5470E436">
      <w:pPr>
        <w:pStyle w:val="12"/>
        <w:spacing w:line="60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（一）财政拨款支出决算总体情况</w:t>
      </w:r>
    </w:p>
    <w:p w14:paraId="6938C281">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300.69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80.73</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64.03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27.05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单位人员增加而调整公用经费</w:t>
      </w:r>
      <w:r>
        <w:rPr>
          <w:rFonts w:hint="eastAsia" w:ascii="Times New Roman" w:hAnsi="Times New Roman" w:eastAsia="仿宋_GB2312"/>
          <w:sz w:val="32"/>
          <w:szCs w:val="32"/>
        </w:rPr>
        <w:t>。</w:t>
      </w:r>
    </w:p>
    <w:p w14:paraId="5D0303B8">
      <w:pPr>
        <w:pStyle w:val="12"/>
        <w:spacing w:line="60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（二）财政拨款支出决算结构情况</w:t>
      </w:r>
    </w:p>
    <w:p w14:paraId="131DC59C">
      <w:pPr>
        <w:pStyle w:val="1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300.69</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支出242.8万元，占</w:t>
      </w:r>
      <w:r>
        <w:rPr>
          <w:rFonts w:hint="eastAsia" w:ascii="Times New Roman" w:hAnsi="Times New Roman" w:eastAsia="仿宋_GB2312"/>
          <w:sz w:val="32"/>
          <w:szCs w:val="32"/>
          <w:lang w:val="en-US" w:eastAsia="zh-CN"/>
        </w:rPr>
        <w:t>80.74</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29.71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9.89</w:t>
      </w:r>
      <w:r>
        <w:rPr>
          <w:rFonts w:hint="eastAsia" w:ascii="Times New Roman" w:hAnsi="Times New Roman" w:eastAsia="仿宋_GB2312"/>
          <w:sz w:val="32"/>
          <w:szCs w:val="32"/>
        </w:rPr>
        <w:t>%；卫生健康支出</w:t>
      </w:r>
      <w:r>
        <w:rPr>
          <w:rFonts w:ascii="Times New Roman" w:hAnsi="Times New Roman" w:eastAsia="仿宋_GB2312"/>
          <w:sz w:val="32"/>
          <w:szCs w:val="32"/>
        </w:rPr>
        <w:t>12</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4.12</w:t>
      </w:r>
      <w:r>
        <w:rPr>
          <w:rFonts w:hint="eastAsia" w:ascii="Times New Roman" w:hAnsi="Times New Roman" w:eastAsia="仿宋_GB2312"/>
          <w:sz w:val="32"/>
          <w:szCs w:val="32"/>
        </w:rPr>
        <w:t>%；住房保障支出</w:t>
      </w:r>
      <w:r>
        <w:rPr>
          <w:rFonts w:ascii="Times New Roman" w:hAnsi="Times New Roman" w:eastAsia="仿宋_GB2312"/>
          <w:sz w:val="32"/>
          <w:szCs w:val="32"/>
        </w:rPr>
        <w:t>15</w:t>
      </w: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5.25</w:t>
      </w:r>
      <w:r>
        <w:rPr>
          <w:rFonts w:hint="eastAsia" w:ascii="Times New Roman" w:hAnsi="Times New Roman" w:eastAsia="仿宋_GB2312"/>
          <w:sz w:val="32"/>
          <w:szCs w:val="32"/>
        </w:rPr>
        <w:t>%。</w:t>
      </w:r>
    </w:p>
    <w:p w14:paraId="00F0ECBD">
      <w:pPr>
        <w:pStyle w:val="12"/>
        <w:spacing w:line="60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（三）财政拨款支出决算具体情况</w:t>
      </w:r>
    </w:p>
    <w:p w14:paraId="60FDD530">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2022年度财政拨款支出年初预算数为228.43万元，支出决算数为</w:t>
      </w:r>
      <w:r>
        <w:rPr>
          <w:rFonts w:hint="eastAsia" w:ascii="Times New Roman" w:hAnsi="Times New Roman" w:eastAsia="仿宋_GB2312"/>
          <w:sz w:val="32"/>
          <w:szCs w:val="32"/>
          <w:lang w:val="en-US" w:eastAsia="zh-CN"/>
        </w:rPr>
        <w:t>300.69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131.63</w:t>
      </w:r>
      <w:r>
        <w:rPr>
          <w:rFonts w:hint="eastAsia" w:ascii="Times New Roman" w:hAnsi="Times New Roman" w:eastAsia="仿宋_GB2312"/>
          <w:sz w:val="32"/>
          <w:szCs w:val="32"/>
        </w:rPr>
        <w:t>%，其中：</w:t>
      </w:r>
    </w:p>
    <w:p w14:paraId="677196A2">
      <w:pPr>
        <w:pStyle w:val="7"/>
        <w:keepNext w:val="0"/>
        <w:keepLines w:val="0"/>
        <w:widowControl w:val="0"/>
        <w:suppressLineNumbers w:val="0"/>
        <w:autoSpaceDE w:val="0"/>
        <w:autoSpaceDN w:val="0"/>
        <w:adjustRightInd w:val="0"/>
        <w:spacing w:before="0" w:beforeAutospacing="0" w:after="0" w:afterAutospacing="0"/>
        <w:ind w:right="0"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b w:val="0"/>
          <w:bCs w:val="0"/>
          <w:sz w:val="32"/>
          <w:szCs w:val="32"/>
        </w:rPr>
        <w:t>社会保障和就业支出</w:t>
      </w:r>
      <w:r>
        <w:rPr>
          <w:rFonts w:hint="eastAsia" w:ascii="仿宋" w:hAnsi="仿宋" w:eastAsia="仿宋" w:cs="仿宋"/>
          <w:color w:val="000000"/>
          <w:kern w:val="0"/>
          <w:sz w:val="32"/>
          <w:szCs w:val="32"/>
          <w:lang w:val="en-US" w:eastAsia="zh-CN" w:bidi="ar"/>
        </w:rPr>
        <w:t>-行政事业单位养老支出-机关事业单位基本养老保险缴费支出。</w:t>
      </w:r>
    </w:p>
    <w:p w14:paraId="5D6D3B30">
      <w:pPr>
        <w:pStyle w:val="12"/>
        <w:keepNext w:val="0"/>
        <w:keepLines w:val="0"/>
        <w:pageBreakBefore w:val="0"/>
        <w:widowControl w:val="0"/>
        <w:kinsoku/>
        <w:wordWrap/>
        <w:overflowPunct/>
        <w:topLinePunct w:val="0"/>
        <w:bidi w:val="0"/>
        <w:snapToGrid/>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28.03</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的154.69</w:t>
      </w:r>
      <w:r>
        <w:rPr>
          <w:rFonts w:hint="eastAsia" w:ascii="Times New Roman" w:hAnsi="Times New Roman" w:eastAsia="仿宋_GB2312"/>
          <w:sz w:val="32"/>
          <w:szCs w:val="32"/>
        </w:rPr>
        <w:t>%，决算数大于年初预算数的主要原因是：</w:t>
      </w:r>
      <w:r>
        <w:rPr>
          <w:rFonts w:hint="eastAsia" w:ascii="仿宋" w:hAnsi="仿宋" w:eastAsia="仿宋" w:cs="仿宋"/>
          <w:color w:val="000000"/>
          <w:kern w:val="0"/>
          <w:sz w:val="32"/>
          <w:szCs w:val="32"/>
          <w:lang w:val="en-US" w:eastAsia="zh-CN" w:bidi="ar"/>
        </w:rPr>
        <w:t>机关事业单位基本养老保险缴费基数</w:t>
      </w:r>
      <w:r>
        <w:rPr>
          <w:rFonts w:hint="eastAsia" w:ascii="仿宋_GB2312" w:hAnsi="仿宋_GB2312" w:eastAsia="仿宋_GB2312" w:cs="仿宋_GB2312"/>
          <w:color w:val="auto"/>
          <w:sz w:val="32"/>
          <w:szCs w:val="32"/>
          <w:lang w:val="en-US" w:eastAsia="zh-CN"/>
        </w:rPr>
        <w:t>增加以及单位人员增加。</w:t>
      </w:r>
    </w:p>
    <w:p w14:paraId="63970DB7">
      <w:pPr>
        <w:pStyle w:val="12"/>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b w:val="0"/>
          <w:bCs w:val="0"/>
          <w:sz w:val="32"/>
          <w:szCs w:val="32"/>
        </w:rPr>
        <w:t>社会保障和就业支出</w:t>
      </w:r>
      <w:r>
        <w:rPr>
          <w:rFonts w:hint="eastAsia" w:ascii="仿宋" w:hAnsi="仿宋" w:eastAsia="仿宋" w:cs="仿宋"/>
          <w:color w:val="000000"/>
          <w:kern w:val="0"/>
          <w:sz w:val="32"/>
          <w:szCs w:val="32"/>
          <w:lang w:val="en-US" w:eastAsia="zh-CN" w:bidi="ar"/>
        </w:rPr>
        <w:t>-行政事业单位养老支出- 其他行政事业单位养老支出</w:t>
      </w:r>
      <w:r>
        <w:rPr>
          <w:rFonts w:hint="eastAsia" w:ascii="Times New Roman" w:hAnsi="Times New Roman" w:eastAsia="仿宋_GB2312"/>
          <w:sz w:val="32"/>
          <w:szCs w:val="32"/>
        </w:rPr>
        <w:t>。</w:t>
      </w:r>
    </w:p>
    <w:p w14:paraId="3B7F1D15">
      <w:pPr>
        <w:pStyle w:val="12"/>
        <w:keepNext w:val="0"/>
        <w:keepLines w:val="0"/>
        <w:pageBreakBefore w:val="0"/>
        <w:widowControl w:val="0"/>
        <w:kinsoku/>
        <w:wordWrap/>
        <w:overflowPunct/>
        <w:topLinePunct w:val="0"/>
        <w:bidi w:val="0"/>
        <w:snapToGrid/>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年初预算未安排，为年中追加安排的支出</w:t>
      </w:r>
      <w:r>
        <w:rPr>
          <w:rFonts w:hint="eastAsia" w:ascii="仿宋_GB2312" w:hAnsi="仿宋_GB2312" w:eastAsia="仿宋_GB2312" w:cs="仿宋_GB2312"/>
          <w:b w:val="0"/>
          <w:bCs w:val="0"/>
          <w:sz w:val="32"/>
          <w:szCs w:val="32"/>
        </w:rPr>
        <w:t>。</w:t>
      </w:r>
    </w:p>
    <w:p w14:paraId="44D0C253">
      <w:pPr>
        <w:pStyle w:val="12"/>
        <w:shd w:val="clea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 w:hAnsi="仿宋" w:eastAsia="仿宋" w:cs="仿宋"/>
          <w:kern w:val="2"/>
          <w:sz w:val="32"/>
          <w:szCs w:val="32"/>
          <w:lang w:val="en-US" w:eastAsia="zh-CN" w:bidi="ar"/>
        </w:rPr>
        <w:t>卫生健康支出</w:t>
      </w:r>
      <w:r>
        <w:rPr>
          <w:rFonts w:hint="eastAsia" w:ascii="仿宋" w:hAnsi="仿宋" w:eastAsia="仿宋" w:cs="仿宋"/>
          <w:color w:val="000000"/>
          <w:kern w:val="0"/>
          <w:sz w:val="32"/>
          <w:szCs w:val="32"/>
          <w:lang w:val="en-US" w:eastAsia="zh-CN" w:bidi="ar"/>
        </w:rPr>
        <w:t>-</w:t>
      </w:r>
      <w:r>
        <w:rPr>
          <w:rFonts w:hint="eastAsia" w:ascii="仿宋" w:hAnsi="仿宋" w:eastAsia="仿宋" w:cs="仿宋"/>
          <w:kern w:val="2"/>
          <w:sz w:val="32"/>
          <w:szCs w:val="32"/>
          <w:lang w:val="en-US" w:eastAsia="zh-CN" w:bidi="ar"/>
        </w:rPr>
        <w:t>行政事业单位医疗</w:t>
      </w:r>
      <w:r>
        <w:rPr>
          <w:rFonts w:hint="eastAsia" w:ascii="仿宋" w:hAnsi="仿宋" w:eastAsia="仿宋" w:cs="仿宋"/>
          <w:color w:val="000000"/>
          <w:kern w:val="0"/>
          <w:sz w:val="32"/>
          <w:szCs w:val="32"/>
          <w:lang w:val="en-US" w:eastAsia="zh-CN" w:bidi="ar"/>
        </w:rPr>
        <w:t>-</w:t>
      </w:r>
      <w:r>
        <w:rPr>
          <w:rFonts w:hint="eastAsia" w:ascii="仿宋" w:hAnsi="仿宋" w:eastAsia="仿宋" w:cs="仿宋"/>
          <w:kern w:val="2"/>
          <w:sz w:val="32"/>
          <w:szCs w:val="32"/>
          <w:lang w:val="en-US" w:eastAsia="zh-CN" w:bidi="ar"/>
        </w:rPr>
        <w:t>行政单位医疗</w:t>
      </w:r>
      <w:r>
        <w:rPr>
          <w:rFonts w:hint="eastAsia" w:ascii="仿宋_GB2312" w:hAnsi="仿宋_GB2312" w:eastAsia="仿宋_GB2312" w:cs="仿宋_GB2312"/>
          <w:b w:val="0"/>
          <w:bCs w:val="0"/>
          <w:sz w:val="32"/>
          <w:szCs w:val="32"/>
        </w:rPr>
        <w:t>。</w:t>
      </w:r>
    </w:p>
    <w:p w14:paraId="26ABE745">
      <w:pPr>
        <w:pStyle w:val="7"/>
        <w:keepNext w:val="0"/>
        <w:keepLines w:val="0"/>
        <w:widowControl w:val="0"/>
        <w:numPr>
          <w:ilvl w:val="0"/>
          <w:numId w:val="0"/>
        </w:numPr>
        <w:suppressLineNumbers w:val="0"/>
        <w:autoSpaceDE w:val="0"/>
        <w:autoSpaceDN w:val="0"/>
        <w:adjustRightInd w:val="0"/>
        <w:spacing w:before="0" w:beforeAutospacing="0" w:after="0" w:afterAutospacing="0"/>
        <w:ind w:right="0" w:rightChars="0" w:firstLine="640" w:firstLineChars="200"/>
        <w:jc w:val="left"/>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9.85</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10.99</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val="en-US" w:eastAsia="zh-CN"/>
        </w:rPr>
        <w:t>完成年初预算的111.67%，</w:t>
      </w:r>
      <w:r>
        <w:rPr>
          <w:rFonts w:hint="eastAsia" w:ascii="仿宋_GB2312" w:hAnsi="仿宋_GB2312" w:eastAsia="仿宋_GB2312" w:cs="仿宋_GB2312"/>
          <w:b w:val="0"/>
          <w:bCs w:val="0"/>
          <w:sz w:val="32"/>
          <w:szCs w:val="32"/>
        </w:rPr>
        <w:t>决算数大于年初预算数的主要原因是：</w:t>
      </w:r>
      <w:r>
        <w:rPr>
          <w:rFonts w:hint="eastAsia" w:ascii="仿宋" w:hAnsi="仿宋" w:eastAsia="仿宋" w:cs="仿宋"/>
          <w:kern w:val="2"/>
          <w:sz w:val="32"/>
          <w:szCs w:val="32"/>
          <w:lang w:val="en-US" w:eastAsia="zh-CN" w:bidi="ar"/>
        </w:rPr>
        <w:t>行政单位医疗缴费基数增加</w:t>
      </w:r>
      <w:r>
        <w:rPr>
          <w:rFonts w:hint="eastAsia" w:ascii="仿宋_GB2312" w:hAnsi="仿宋_GB2312" w:eastAsia="仿宋_GB2312" w:cs="仿宋_GB2312"/>
          <w:color w:val="auto"/>
          <w:sz w:val="32"/>
          <w:szCs w:val="32"/>
          <w:lang w:val="en-US" w:eastAsia="zh-CN"/>
        </w:rPr>
        <w:t>以及单位人员增加</w:t>
      </w:r>
      <w:r>
        <w:rPr>
          <w:rFonts w:hint="eastAsia" w:ascii="仿宋" w:hAnsi="仿宋" w:eastAsia="仿宋" w:cs="仿宋"/>
          <w:kern w:val="2"/>
          <w:sz w:val="32"/>
          <w:szCs w:val="32"/>
          <w:lang w:val="en-US" w:eastAsia="zh-CN" w:bidi="ar"/>
        </w:rPr>
        <w:t>。</w:t>
      </w:r>
    </w:p>
    <w:p w14:paraId="606884D4">
      <w:pPr>
        <w:pStyle w:val="7"/>
        <w:keepNext w:val="0"/>
        <w:keepLines w:val="0"/>
        <w:widowControl w:val="0"/>
        <w:numPr>
          <w:ilvl w:val="0"/>
          <w:numId w:val="0"/>
        </w:numPr>
        <w:suppressLineNumbers w:val="0"/>
        <w:autoSpaceDE w:val="0"/>
        <w:autoSpaceDN w:val="0"/>
        <w:adjustRightInd w:val="0"/>
        <w:spacing w:before="0" w:beforeAutospacing="0" w:after="0" w:afterAutospacing="0"/>
        <w:ind w:right="0" w:rightChars="0" w:firstLine="640" w:firstLineChars="200"/>
        <w:jc w:val="left"/>
        <w:rPr>
          <w:rFonts w:hint="eastAsia" w:ascii="仿宋_GB2312" w:hAnsi="仿宋_GB2312" w:eastAsia="仿宋_GB2312" w:cs="仿宋_GB2312"/>
          <w:b w:val="0"/>
          <w:bCs w:val="0"/>
          <w:sz w:val="32"/>
          <w:szCs w:val="32"/>
        </w:rPr>
      </w:pPr>
      <w:r>
        <w:rPr>
          <w:rFonts w:hint="eastAsia" w:ascii="仿宋" w:hAnsi="仿宋" w:eastAsia="仿宋" w:cs="仿宋"/>
          <w:kern w:val="2"/>
          <w:sz w:val="32"/>
          <w:szCs w:val="32"/>
          <w:lang w:val="en-US" w:eastAsia="zh-CN" w:bidi="ar"/>
        </w:rPr>
        <w:t>4</w:t>
      </w:r>
      <w:r>
        <w:rPr>
          <w:rFonts w:hint="eastAsia" w:ascii="仿宋_GB2312" w:hAnsi="仿宋_GB2312" w:eastAsia="仿宋_GB2312" w:cs="仿宋_GB2312"/>
          <w:b w:val="0"/>
          <w:bCs w:val="0"/>
          <w:sz w:val="32"/>
          <w:szCs w:val="32"/>
        </w:rPr>
        <w:t>、</w:t>
      </w:r>
      <w:r>
        <w:rPr>
          <w:rFonts w:hint="eastAsia" w:ascii="仿宋" w:hAnsi="仿宋" w:eastAsia="仿宋" w:cs="仿宋"/>
          <w:kern w:val="2"/>
          <w:sz w:val="32"/>
          <w:szCs w:val="32"/>
          <w:lang w:val="en-US" w:eastAsia="zh-CN" w:bidi="ar"/>
        </w:rPr>
        <w:t>卫生健康支出</w:t>
      </w:r>
      <w:r>
        <w:rPr>
          <w:rFonts w:hint="eastAsia" w:ascii="仿宋" w:hAnsi="仿宋" w:eastAsia="仿宋" w:cs="仿宋"/>
          <w:color w:val="000000"/>
          <w:kern w:val="0"/>
          <w:sz w:val="32"/>
          <w:szCs w:val="32"/>
          <w:lang w:val="en-US" w:eastAsia="zh-CN" w:bidi="ar"/>
        </w:rPr>
        <w:t>-</w:t>
      </w:r>
      <w:r>
        <w:rPr>
          <w:rFonts w:hint="eastAsia" w:ascii="仿宋" w:hAnsi="仿宋" w:eastAsia="仿宋" w:cs="仿宋"/>
          <w:kern w:val="2"/>
          <w:sz w:val="32"/>
          <w:szCs w:val="32"/>
          <w:lang w:val="en-US" w:eastAsia="zh-CN" w:bidi="ar"/>
        </w:rPr>
        <w:t>行政事业单位医疗</w:t>
      </w:r>
      <w:r>
        <w:rPr>
          <w:rFonts w:hint="eastAsia" w:ascii="仿宋" w:hAnsi="仿宋" w:eastAsia="仿宋" w:cs="仿宋"/>
          <w:color w:val="000000"/>
          <w:kern w:val="0"/>
          <w:sz w:val="32"/>
          <w:szCs w:val="32"/>
          <w:lang w:val="en-US" w:eastAsia="zh-CN" w:bidi="ar"/>
        </w:rPr>
        <w:t>-</w:t>
      </w:r>
      <w:r>
        <w:rPr>
          <w:rFonts w:hint="eastAsia" w:ascii="仿宋" w:hAnsi="仿宋" w:eastAsia="仿宋" w:cs="仿宋"/>
          <w:kern w:val="2"/>
          <w:sz w:val="32"/>
          <w:szCs w:val="32"/>
          <w:lang w:val="en-US" w:eastAsia="zh-CN" w:bidi="ar"/>
        </w:rPr>
        <w:t>公务员医疗补助</w:t>
      </w:r>
      <w:r>
        <w:rPr>
          <w:rFonts w:hint="eastAsia" w:ascii="仿宋_GB2312" w:hAnsi="仿宋_GB2312" w:eastAsia="仿宋_GB2312" w:cs="仿宋_GB2312"/>
          <w:b w:val="0"/>
          <w:bCs w:val="0"/>
          <w:sz w:val="32"/>
          <w:szCs w:val="32"/>
        </w:rPr>
        <w:t>。</w:t>
      </w:r>
    </w:p>
    <w:p w14:paraId="3E21D676">
      <w:pPr>
        <w:pStyle w:val="12"/>
        <w:keepNext w:val="0"/>
        <w:keepLines w:val="0"/>
        <w:pageBreakBefore w:val="0"/>
        <w:widowControl w:val="0"/>
        <w:kinsoku/>
        <w:wordWrap/>
        <w:overflowPunct/>
        <w:topLinePunct w:val="0"/>
        <w:bidi w:val="0"/>
        <w:snapToGrid/>
        <w:spacing w:line="600" w:lineRule="exact"/>
        <w:ind w:firstLine="800" w:firstLineChars="250"/>
        <w:rPr>
          <w:rFonts w:hint="default" w:ascii="Times New Roman" w:hAnsi="Times New Roman" w:eastAsia="仿宋_GB2312"/>
          <w:sz w:val="32"/>
          <w:szCs w:val="32"/>
          <w:lang w:val="en-US"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1.39</w:t>
      </w:r>
      <w:r>
        <w:rPr>
          <w:rFonts w:hint="eastAsia" w:ascii="仿宋_GB2312" w:hAnsi="仿宋_GB2312" w:eastAsia="仿宋_GB2312" w:cs="仿宋_GB2312"/>
          <w:b w:val="0"/>
          <w:bCs w:val="0"/>
          <w:sz w:val="32"/>
          <w:szCs w:val="32"/>
        </w:rPr>
        <w:t>元，决算数大于年初预算数的主要原因是：</w:t>
      </w:r>
      <w:r>
        <w:rPr>
          <w:rFonts w:hint="eastAsia" w:ascii="Times New Roman" w:hAnsi="Times New Roman" w:eastAsia="仿宋_GB2312"/>
          <w:sz w:val="32"/>
          <w:szCs w:val="32"/>
          <w:lang w:val="en-US" w:eastAsia="zh-CN"/>
        </w:rPr>
        <w:t>年初预算未安排，为年中追加安排的支出</w:t>
      </w:r>
      <w:r>
        <w:rPr>
          <w:rFonts w:hint="eastAsia" w:ascii="仿宋_GB2312" w:hAnsi="仿宋_GB2312" w:eastAsia="仿宋_GB2312" w:cs="仿宋_GB2312"/>
          <w:b w:val="0"/>
          <w:bCs w:val="0"/>
          <w:sz w:val="32"/>
          <w:szCs w:val="32"/>
        </w:rPr>
        <w:t>。</w:t>
      </w:r>
    </w:p>
    <w:p w14:paraId="0F69619A">
      <w:pPr>
        <w:pStyle w:val="12"/>
        <w:numPr>
          <w:ilvl w:val="0"/>
          <w:numId w:val="0"/>
        </w:numPr>
        <w:ind w:leftChars="200" w:firstLine="320" w:firstLineChars="100"/>
        <w:rPr>
          <w:rFonts w:hint="eastAsia" w:asciiTheme="minorEastAsia" w:hAnsiTheme="minorEastAsia" w:eastAsiaTheme="minorEastAsia"/>
          <w:sz w:val="32"/>
          <w:szCs w:val="32"/>
        </w:rPr>
      </w:pPr>
      <w:r>
        <w:rPr>
          <w:rFonts w:hint="eastAsia" w:ascii="仿宋" w:hAnsi="仿宋" w:eastAsia="仿宋" w:cs="仿宋"/>
          <w:color w:val="auto"/>
          <w:kern w:val="2"/>
          <w:sz w:val="32"/>
          <w:szCs w:val="32"/>
          <w:lang w:val="en-US" w:eastAsia="zh-CN" w:bidi="ar"/>
        </w:rPr>
        <w:t>5</w:t>
      </w:r>
      <w:r>
        <w:rPr>
          <w:rFonts w:hint="eastAsia" w:ascii="仿宋_GB2312" w:hAnsi="仿宋_GB2312" w:eastAsia="仿宋_GB2312" w:cs="仿宋_GB2312"/>
          <w:b w:val="0"/>
          <w:bCs w:val="0"/>
          <w:sz w:val="32"/>
          <w:szCs w:val="32"/>
        </w:rPr>
        <w:t>、</w:t>
      </w:r>
      <w:r>
        <w:rPr>
          <w:rFonts w:hint="eastAsia" w:ascii="仿宋" w:hAnsi="仿宋" w:eastAsia="仿宋" w:cs="仿宋"/>
          <w:color w:val="auto"/>
          <w:kern w:val="2"/>
          <w:sz w:val="32"/>
          <w:szCs w:val="32"/>
          <w:lang w:val="en-US" w:eastAsia="zh-CN" w:bidi="ar"/>
        </w:rPr>
        <w:t>农林水支出-水利-水利建设征地及移民支出</w:t>
      </w:r>
    </w:p>
    <w:p w14:paraId="129FD811">
      <w:pPr>
        <w:pStyle w:val="12"/>
        <w:numPr>
          <w:ilvl w:val="0"/>
          <w:numId w:val="0"/>
        </w:num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年初预算为186.86万元，支出决算为242.8万元，完成年初预算的129.93%，决算数大于年初预算数的主要原因是：</w:t>
      </w:r>
      <w:r>
        <w:rPr>
          <w:rFonts w:hint="eastAsia" w:ascii="仿宋_GB2312" w:hAnsi="仿宋_GB2312" w:eastAsia="仿宋_GB2312" w:cs="仿宋_GB2312"/>
          <w:b w:val="0"/>
          <w:bCs w:val="0"/>
          <w:sz w:val="32"/>
          <w:szCs w:val="32"/>
        </w:rPr>
        <w:t>主要是因为</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val="en-US" w:eastAsia="zh-CN"/>
        </w:rPr>
        <w:t>增加。</w:t>
      </w:r>
    </w:p>
    <w:p w14:paraId="754BC37D">
      <w:pPr>
        <w:pStyle w:val="7"/>
        <w:keepNext w:val="0"/>
        <w:keepLines w:val="0"/>
        <w:widowControl w:val="0"/>
        <w:numPr>
          <w:ilvl w:val="0"/>
          <w:numId w:val="0"/>
        </w:numPr>
        <w:suppressLineNumbers w:val="0"/>
        <w:autoSpaceDE w:val="0"/>
        <w:autoSpaceDN w:val="0"/>
        <w:adjustRightInd w:val="0"/>
        <w:spacing w:before="0" w:beforeAutospacing="0" w:after="0" w:afterAutospacing="0"/>
        <w:ind w:right="0" w:righ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6、住房保障支出-住房改革支出-住房公积金</w:t>
      </w:r>
    </w:p>
    <w:p w14:paraId="2FF037CA">
      <w:pPr>
        <w:pStyle w:val="12"/>
        <w:numPr>
          <w:ilvl w:val="0"/>
          <w:numId w:val="0"/>
        </w:numPr>
        <w:ind w:firstLine="640"/>
        <w:rPr>
          <w:rFonts w:hint="default" w:ascii="Times New Roman" w:hAnsi="Times New Roman" w:eastAsia="仿宋_GB2312"/>
          <w:sz w:val="32"/>
          <w:szCs w:val="32"/>
          <w:lang w:val="en-US"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13.59</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15.8</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val="en-US" w:eastAsia="zh-CN"/>
        </w:rPr>
        <w:t>完成年初预算数的116.26%，</w:t>
      </w:r>
      <w:r>
        <w:rPr>
          <w:rFonts w:hint="eastAsia" w:ascii="仿宋_GB2312" w:hAnsi="仿宋_GB2312" w:eastAsia="仿宋_GB2312" w:cs="仿宋_GB2312"/>
          <w:b w:val="0"/>
          <w:bCs w:val="0"/>
          <w:sz w:val="32"/>
          <w:szCs w:val="32"/>
        </w:rPr>
        <w:t>决算数</w:t>
      </w:r>
      <w:r>
        <w:rPr>
          <w:rFonts w:hint="eastAsia" w:ascii="仿宋_GB2312" w:hAnsi="仿宋_GB2312" w:eastAsia="仿宋_GB2312" w:cs="仿宋_GB2312"/>
          <w:b w:val="0"/>
          <w:bCs w:val="0"/>
          <w:sz w:val="32"/>
          <w:szCs w:val="32"/>
          <w:lang w:val="en-US" w:eastAsia="zh-CN"/>
        </w:rPr>
        <w:t>大于</w:t>
      </w:r>
      <w:r>
        <w:rPr>
          <w:rFonts w:hint="eastAsia" w:ascii="仿宋_GB2312" w:hAnsi="仿宋_GB2312" w:eastAsia="仿宋_GB2312" w:cs="仿宋_GB2312"/>
          <w:b w:val="0"/>
          <w:bCs w:val="0"/>
          <w:sz w:val="32"/>
          <w:szCs w:val="32"/>
        </w:rPr>
        <w:t>年初预算数的主要原因是：主要是因为</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val="en-US" w:eastAsia="zh-CN"/>
        </w:rPr>
        <w:t>增加。</w:t>
      </w:r>
    </w:p>
    <w:p w14:paraId="4FCFE268">
      <w:pPr>
        <w:pStyle w:val="12"/>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2AC85D5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w:t>
      </w:r>
      <w:r>
        <w:rPr>
          <w:rFonts w:asciiTheme="minorEastAsia" w:hAnsiTheme="minorEastAsia" w:eastAsiaTheme="minorEastAsia"/>
          <w:sz w:val="32"/>
          <w:szCs w:val="32"/>
        </w:rPr>
        <w:t>300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69</w:t>
      </w:r>
      <w:r>
        <w:rPr>
          <w:rFonts w:hint="eastAsia" w:ascii="Times New Roman" w:hAnsi="Times New Roman" w:eastAsia="仿宋_GB2312"/>
          <w:sz w:val="32"/>
          <w:szCs w:val="32"/>
        </w:rPr>
        <w:t>万元，其中：</w:t>
      </w:r>
    </w:p>
    <w:p w14:paraId="55864BB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asciiTheme="minorEastAsia" w:hAnsiTheme="minorEastAsia" w:eastAsiaTheme="minorEastAsia"/>
          <w:sz w:val="32"/>
          <w:szCs w:val="32"/>
        </w:rPr>
        <w:t>27</w:t>
      </w:r>
      <w:r>
        <w:rPr>
          <w:rFonts w:hint="eastAsia" w:asciiTheme="minorEastAsia" w:hAnsiTheme="minorEastAsia" w:eastAsiaTheme="minorEastAsia"/>
          <w:sz w:val="32"/>
          <w:szCs w:val="32"/>
          <w:lang w:val="en-US" w:eastAsia="zh-CN"/>
        </w:rPr>
        <w:t>5.95</w:t>
      </w:r>
      <w:r>
        <w:rPr>
          <w:rFonts w:hint="eastAsia" w:ascii="Times New Roman" w:hAnsi="Times New Roman" w:eastAsia="仿宋_GB2312"/>
          <w:sz w:val="32"/>
          <w:szCs w:val="32"/>
        </w:rPr>
        <w:t>万元，占基本支出的</w:t>
      </w:r>
      <w:r>
        <w:rPr>
          <w:rFonts w:hint="eastAsia" w:asciiTheme="minorEastAsia" w:hAnsiTheme="minorEastAsia" w:eastAsiaTheme="minorEastAsia"/>
          <w:sz w:val="32"/>
          <w:szCs w:val="32"/>
          <w:lang w:val="en-US" w:eastAsia="zh-CN"/>
        </w:rPr>
        <w:t>91.77</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rPr>
        <w:t>机关事业单位基本养老保险缴费、职业年金缴费、公务员医疗补助缴费、职工基本医疗保险缴费、其他社会保障缴费、住房公积金、医疗</w:t>
      </w:r>
      <w:r>
        <w:rPr>
          <w:rFonts w:hint="eastAsia" w:ascii="Times New Roman" w:hAnsi="Times New Roman" w:eastAsia="仿宋_GB2312"/>
          <w:sz w:val="32"/>
          <w:szCs w:val="32"/>
          <w:lang w:eastAsia="zh-CN"/>
        </w:rPr>
        <w:t>补助</w:t>
      </w:r>
      <w:r>
        <w:rPr>
          <w:rFonts w:hint="eastAsia" w:ascii="Times New Roman" w:hAnsi="Times New Roman" w:eastAsia="仿宋_GB2312"/>
          <w:sz w:val="32"/>
          <w:szCs w:val="32"/>
        </w:rPr>
        <w:t>费、其他工资福利支出、</w:t>
      </w:r>
      <w:r>
        <w:rPr>
          <w:rFonts w:hint="eastAsia" w:ascii="Times New Roman" w:hAnsi="Times New Roman" w:eastAsia="仿宋_GB2312"/>
          <w:sz w:val="32"/>
          <w:szCs w:val="32"/>
          <w:lang w:eastAsia="zh-CN"/>
        </w:rPr>
        <w:t>生活补助、</w:t>
      </w:r>
      <w:r>
        <w:rPr>
          <w:rFonts w:hint="eastAsia" w:ascii="Times New Roman" w:hAnsi="Times New Roman" w:eastAsia="仿宋_GB2312"/>
          <w:sz w:val="32"/>
          <w:szCs w:val="32"/>
        </w:rPr>
        <w:t>对个人和家庭的补助等。</w:t>
      </w:r>
    </w:p>
    <w:p w14:paraId="7ACC928F">
      <w:pPr>
        <w:pStyle w:val="12"/>
        <w:ind w:firstLine="640" w:firstLineChars="200"/>
        <w:rPr>
          <w:rFonts w:asciiTheme="minorEastAsia" w:hAnsiTheme="minorEastAsia" w:eastAsiaTheme="minorEastAsia"/>
          <w:sz w:val="32"/>
          <w:szCs w:val="32"/>
        </w:rPr>
      </w:pPr>
      <w:r>
        <w:rPr>
          <w:rFonts w:hint="eastAsia" w:ascii="Times New Roman" w:hAnsi="Times New Roman" w:eastAsia="仿宋_GB2312"/>
          <w:b/>
          <w:bCs/>
          <w:sz w:val="32"/>
          <w:szCs w:val="32"/>
        </w:rPr>
        <w:t>公用经费</w:t>
      </w:r>
      <w:r>
        <w:rPr>
          <w:rFonts w:asciiTheme="minorEastAsia" w:hAnsiTheme="minorEastAsia" w:eastAsiaTheme="minorEastAsia"/>
          <w:sz w:val="32"/>
          <w:szCs w:val="32"/>
        </w:rPr>
        <w:t>24</w:t>
      </w:r>
      <w:r>
        <w:rPr>
          <w:rFonts w:hint="eastAsia" w:asciiTheme="minorEastAsia" w:hAnsiTheme="minorEastAsia" w:eastAsiaTheme="minorEastAsia"/>
          <w:sz w:val="32"/>
          <w:szCs w:val="32"/>
        </w:rPr>
        <w:t>.</w:t>
      </w:r>
      <w:r>
        <w:rPr>
          <w:rFonts w:asciiTheme="minorEastAsia" w:hAnsiTheme="minorEastAsia" w:eastAsiaTheme="minorEastAsia"/>
          <w:sz w:val="32"/>
          <w:szCs w:val="32"/>
        </w:rPr>
        <w:t>7</w:t>
      </w:r>
      <w:r>
        <w:rPr>
          <w:rFonts w:hint="eastAsia" w:asciiTheme="minorEastAsia" w:hAnsiTheme="minorEastAsia" w:eastAsiaTheme="minorEastAsia"/>
          <w:sz w:val="32"/>
          <w:szCs w:val="32"/>
          <w:lang w:val="en-US" w:eastAsia="zh-CN"/>
        </w:rPr>
        <w:t>4</w:t>
      </w:r>
      <w:r>
        <w:rPr>
          <w:rFonts w:hint="eastAsia" w:ascii="Times New Roman" w:hAnsi="Times New Roman" w:eastAsia="仿宋_GB2312"/>
          <w:sz w:val="32"/>
          <w:szCs w:val="32"/>
        </w:rPr>
        <w:t>万元，占基本支出的</w:t>
      </w:r>
      <w:r>
        <w:rPr>
          <w:rFonts w:hint="eastAsia" w:asciiTheme="minorEastAsia" w:hAnsiTheme="minorEastAsia" w:eastAsiaTheme="minorEastAsia"/>
          <w:sz w:val="32"/>
          <w:szCs w:val="32"/>
          <w:lang w:val="en-US" w:eastAsia="zh-CN"/>
        </w:rPr>
        <w:t>8.23</w:t>
      </w:r>
      <w:r>
        <w:rPr>
          <w:rFonts w:hint="eastAsia" w:ascii="Times New Roman" w:hAnsi="Times New Roman" w:eastAsia="仿宋_GB2312"/>
          <w:sz w:val="32"/>
          <w:szCs w:val="32"/>
        </w:rPr>
        <w:t>%，主要包括办公费、差旅费、培训费、公务接待费、劳务费、工会经费、其他</w:t>
      </w:r>
      <w:r>
        <w:rPr>
          <w:rFonts w:hint="eastAsia" w:ascii="Times New Roman" w:hAnsi="Times New Roman" w:eastAsia="仿宋_GB2312"/>
          <w:sz w:val="32"/>
          <w:szCs w:val="32"/>
          <w:lang w:eastAsia="zh-CN"/>
        </w:rPr>
        <w:t>商品和服务支出</w:t>
      </w:r>
      <w:r>
        <w:rPr>
          <w:rFonts w:hint="eastAsia" w:ascii="Times New Roman" w:hAnsi="Times New Roman" w:eastAsia="仿宋_GB2312"/>
          <w:sz w:val="32"/>
          <w:szCs w:val="32"/>
        </w:rPr>
        <w:t>等。</w:t>
      </w:r>
    </w:p>
    <w:p w14:paraId="6133FB3E">
      <w:pPr>
        <w:pStyle w:val="12"/>
        <w:numPr>
          <w:ilvl w:val="0"/>
          <w:numId w:val="1"/>
        </w:numPr>
        <w:spacing w:line="600" w:lineRule="exact"/>
        <w:ind w:firstLine="640" w:firstLineChars="200"/>
        <w:rPr>
          <w:rFonts w:hAnsi="黑体"/>
          <w:bCs/>
          <w:sz w:val="32"/>
          <w:szCs w:val="32"/>
        </w:rPr>
      </w:pPr>
      <w:r>
        <w:rPr>
          <w:rFonts w:hint="eastAsia" w:hAnsi="黑体"/>
          <w:bCs/>
          <w:sz w:val="32"/>
          <w:szCs w:val="32"/>
        </w:rPr>
        <w:t>财政拨款三公经费支出决算情况说明</w:t>
      </w:r>
    </w:p>
    <w:p w14:paraId="7F037385">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2D20C376">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“三公”经费财政拨款支出预算为4万元，支出决算为1.97万元，完成预算的</w:t>
      </w:r>
      <w:r>
        <w:rPr>
          <w:rFonts w:hint="eastAsia" w:ascii="Times New Roman" w:hAnsi="Times New Roman" w:eastAsia="仿宋_GB2312"/>
          <w:sz w:val="32"/>
          <w:szCs w:val="32"/>
          <w:lang w:val="en-US" w:eastAsia="zh-CN"/>
        </w:rPr>
        <w:t>49.25</w:t>
      </w:r>
      <w:r>
        <w:rPr>
          <w:rFonts w:hint="eastAsia" w:ascii="Times New Roman" w:hAnsi="Times New Roman" w:eastAsia="仿宋_GB2312"/>
          <w:sz w:val="32"/>
          <w:szCs w:val="32"/>
        </w:rPr>
        <w:t>%，其中：</w:t>
      </w:r>
    </w:p>
    <w:p w14:paraId="0A903EDC">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决算数等于预算数的主要原因是</w:t>
      </w:r>
      <w:r>
        <w:rPr>
          <w:rFonts w:hint="eastAsia" w:ascii="Times New Roman" w:hAnsi="Times New Roman" w:eastAsia="仿宋_GB2312"/>
          <w:sz w:val="32"/>
          <w:szCs w:val="32"/>
          <w:lang w:eastAsia="zh-CN"/>
        </w:rPr>
        <w:t>没有人员</w:t>
      </w:r>
      <w:r>
        <w:rPr>
          <w:rFonts w:hint="eastAsia" w:ascii="Times New Roman" w:hAnsi="Times New Roman" w:eastAsia="仿宋_GB2312"/>
          <w:sz w:val="32"/>
          <w:szCs w:val="32"/>
        </w:rPr>
        <w:t>因公出国（境），与上年相比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7264EB0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1.97</w:t>
      </w:r>
      <w:r>
        <w:rPr>
          <w:rFonts w:hint="eastAsia" w:ascii="Times New Roman" w:hAnsi="Times New Roman" w:eastAsia="仿宋_GB2312"/>
          <w:sz w:val="32"/>
          <w:szCs w:val="32"/>
        </w:rPr>
        <w:t>万元，完成预算的</w:t>
      </w:r>
      <w:r>
        <w:rPr>
          <w:rFonts w:hint="eastAsia" w:asciiTheme="minorEastAsia" w:hAnsiTheme="minorEastAsia" w:eastAsiaTheme="minorEastAsia"/>
          <w:sz w:val="32"/>
          <w:szCs w:val="32"/>
          <w:lang w:val="en-US" w:eastAsia="zh-CN"/>
        </w:rPr>
        <w:t>49.25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单位人员增加而调整公用经费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单位人员增加而调整公用经费</w:t>
      </w:r>
      <w:r>
        <w:rPr>
          <w:rFonts w:hint="eastAsia" w:ascii="Times New Roman" w:hAnsi="Times New Roman" w:eastAsia="仿宋_GB2312"/>
          <w:sz w:val="32"/>
          <w:szCs w:val="32"/>
        </w:rPr>
        <w:t>。</w:t>
      </w:r>
    </w:p>
    <w:p w14:paraId="2253D87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没有购置公务用车</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479D63F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本年度无公务用车支出</w:t>
      </w:r>
      <w:r>
        <w:rPr>
          <w:rFonts w:hint="eastAsia" w:ascii="Times New Roman" w:hAnsi="Times New Roman" w:eastAsia="仿宋_GB2312"/>
          <w:sz w:val="32"/>
          <w:szCs w:val="32"/>
        </w:rPr>
        <w:t>。</w:t>
      </w:r>
    </w:p>
    <w:p w14:paraId="200AB50C">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0280F03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w:t>
      </w:r>
      <w:r>
        <w:rPr>
          <w:rFonts w:hint="eastAsia" w:ascii="Times New Roman" w:hAnsi="Times New Roman" w:eastAsia="仿宋_GB2312"/>
          <w:sz w:val="32"/>
          <w:szCs w:val="32"/>
          <w:lang w:val="en-US" w:eastAsia="zh-CN"/>
        </w:rPr>
        <w:t>1.97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EE23C5B">
      <w:pPr>
        <w:pStyle w:val="12"/>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b/>
          <w:bCs/>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0万元。</w:t>
      </w:r>
      <w:r>
        <w:rPr>
          <w:rFonts w:hint="eastAsia" w:ascii="Times New Roman" w:hAnsi="Times New Roman" w:eastAsia="仿宋_GB2312" w:cstheme="minorBidi"/>
          <w:color w:val="auto"/>
          <w:kern w:val="2"/>
          <w:sz w:val="32"/>
          <w:szCs w:val="32"/>
        </w:rPr>
        <w:t>2022年度我单位未开展因公出国（境）活动</w:t>
      </w:r>
      <w:r>
        <w:rPr>
          <w:rFonts w:hint="eastAsia" w:ascii="仿宋_GB2312" w:hAnsi="仿宋_GB2312" w:eastAsia="仿宋_GB2312" w:cs="仿宋_GB2312"/>
          <w:color w:val="auto"/>
          <w:sz w:val="32"/>
          <w:szCs w:val="32"/>
        </w:rPr>
        <w:t>。</w:t>
      </w:r>
    </w:p>
    <w:p w14:paraId="48154E7E">
      <w:pPr>
        <w:pStyle w:val="12"/>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278</w:t>
      </w:r>
      <w:r>
        <w:rPr>
          <w:rFonts w:hint="eastAsia" w:ascii="Times New Roman" w:hAnsi="Times New Roman" w:eastAsia="仿宋_GB2312"/>
          <w:sz w:val="32"/>
          <w:szCs w:val="32"/>
        </w:rPr>
        <w:t>人次，主要是</w:t>
      </w:r>
      <w:r>
        <w:rPr>
          <w:rFonts w:hint="eastAsia" w:ascii="仿宋_GB2312" w:hAnsi="仿宋_GB2312" w:eastAsia="仿宋_GB2312" w:cs="仿宋_GB2312"/>
          <w:sz w:val="32"/>
          <w:szCs w:val="32"/>
        </w:rPr>
        <w:t>上级单位检查交流，</w:t>
      </w:r>
      <w:r>
        <w:rPr>
          <w:rFonts w:hint="eastAsia" w:ascii="仿宋_GB2312" w:hAnsi="仿宋_GB2312" w:eastAsia="仿宋_GB2312" w:cs="仿宋_GB2312"/>
          <w:sz w:val="32"/>
          <w:szCs w:val="32"/>
          <w:lang w:eastAsia="zh-CN"/>
        </w:rPr>
        <w:t>各地州市工作交流、各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区工作汇报</w:t>
      </w:r>
      <w:r>
        <w:rPr>
          <w:rFonts w:hint="eastAsia" w:ascii="Times New Roman" w:hAnsi="Times New Roman" w:eastAsia="仿宋_GB2312"/>
          <w:sz w:val="32"/>
          <w:szCs w:val="32"/>
        </w:rPr>
        <w:t>发生的接待支出。</w:t>
      </w:r>
    </w:p>
    <w:p w14:paraId="0CBBFAF0">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万元，本单位无更新公务用车</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万元，截止2022年12月31日，我单位开支财政拨款的公务用车保有量为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0DCA159">
      <w:pPr>
        <w:pStyle w:val="12"/>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00CE1799">
      <w:pPr>
        <w:pStyle w:val="12"/>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2022年度政府性基金预算财政拨款收入</w:t>
      </w:r>
      <w:r>
        <w:rPr>
          <w:rFonts w:hint="eastAsia" w:ascii="Times New Roman" w:hAnsi="Times New Roman" w:eastAsia="仿宋_GB2312"/>
          <w:sz w:val="32"/>
          <w:szCs w:val="32"/>
          <w:lang w:val="en-US" w:eastAsia="zh-CN"/>
        </w:rPr>
        <w:t>71.8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71.8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71.8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4884EBFD">
      <w:pPr>
        <w:pStyle w:val="7"/>
        <w:keepNext w:val="0"/>
        <w:keepLines w:val="0"/>
        <w:widowControl w:val="0"/>
        <w:suppressLineNumbers w:val="0"/>
        <w:autoSpaceDE w:val="0"/>
        <w:autoSpaceDN w:val="0"/>
        <w:adjustRightInd w:val="0"/>
        <w:spacing w:before="0" w:beforeAutospacing="0" w:after="0" w:afterAutospacing="0"/>
        <w:ind w:right="0"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b w:val="0"/>
          <w:bCs w:val="0"/>
          <w:sz w:val="32"/>
          <w:szCs w:val="32"/>
        </w:rPr>
        <w:t>社会保障和就业支出</w:t>
      </w:r>
      <w:r>
        <w:rPr>
          <w:rFonts w:hint="eastAsia" w:ascii="仿宋" w:hAnsi="仿宋" w:eastAsia="仿宋" w:cs="仿宋"/>
          <w:color w:val="000000"/>
          <w:kern w:val="0"/>
          <w:sz w:val="32"/>
          <w:szCs w:val="32"/>
          <w:lang w:val="en-US" w:eastAsia="zh-CN" w:bidi="ar"/>
        </w:rPr>
        <w:t>-大中型水库移民后期扶持基金支出-其他大中型水库移民后期扶持基金支出。</w:t>
      </w:r>
    </w:p>
    <w:p w14:paraId="2A04416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年初预算未安排，为年中追加安排的支出</w:t>
      </w:r>
      <w:r>
        <w:rPr>
          <w:rFonts w:hint="eastAsia" w:ascii="仿宋_GB2312" w:hAnsi="仿宋_GB2312" w:eastAsia="仿宋_GB2312" w:cs="仿宋_GB2312"/>
          <w:b w:val="0"/>
          <w:bCs w:val="0"/>
          <w:sz w:val="32"/>
          <w:szCs w:val="32"/>
        </w:rPr>
        <w:t>。</w:t>
      </w:r>
    </w:p>
    <w:p w14:paraId="5C7E1EF2">
      <w:pPr>
        <w:pStyle w:val="12"/>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10C3F49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w:t>
      </w:r>
      <w:r>
        <w:rPr>
          <w:rFonts w:hint="eastAsia" w:ascii="Times New Roman" w:hAnsi="Times New Roman" w:eastAsia="仿宋_GB2312"/>
          <w:sz w:val="32"/>
          <w:szCs w:val="32"/>
          <w:lang w:val="en-US" w:eastAsia="zh-CN"/>
        </w:rPr>
        <w:t>24.74</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5.79</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30.55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单位人员增加而调整公用经费</w:t>
      </w:r>
      <w:r>
        <w:rPr>
          <w:rFonts w:hint="eastAsia" w:ascii="Times New Roman" w:hAnsi="Times New Roman" w:eastAsia="仿宋_GB2312"/>
          <w:sz w:val="32"/>
          <w:szCs w:val="32"/>
        </w:rPr>
        <w:t xml:space="preserve">。      </w:t>
      </w:r>
    </w:p>
    <w:p w14:paraId="70C5B319">
      <w:pPr>
        <w:pStyle w:val="12"/>
        <w:spacing w:line="600" w:lineRule="exact"/>
        <w:ind w:firstLine="640" w:firstLineChars="200"/>
        <w:rPr>
          <w:rFonts w:hAnsi="黑体"/>
          <w:bCs/>
          <w:sz w:val="32"/>
          <w:szCs w:val="32"/>
        </w:rPr>
      </w:pPr>
      <w:r>
        <w:rPr>
          <w:rFonts w:hint="eastAsia" w:hAnsi="黑体"/>
          <w:bCs/>
          <w:sz w:val="32"/>
          <w:szCs w:val="32"/>
        </w:rPr>
        <w:t>十、一般性支出情况说明</w:t>
      </w:r>
    </w:p>
    <w:p w14:paraId="38EEA54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2022年本部门开支会议费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永州市水利局召开</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人，内容为</w:t>
      </w:r>
      <w:r>
        <w:rPr>
          <w:rFonts w:hint="eastAsia" w:ascii="仿宋" w:hAnsi="仿宋" w:eastAsia="仿宋" w:cs="仿宋"/>
          <w:color w:val="000000"/>
          <w:kern w:val="0"/>
          <w:sz w:val="32"/>
          <w:szCs w:val="32"/>
          <w:lang w:val="en-US" w:eastAsia="zh-CN" w:bidi="ar"/>
        </w:rPr>
        <w:t>大中型水库移民后期扶持资金的</w:t>
      </w:r>
      <w:r>
        <w:rPr>
          <w:rFonts w:hint="eastAsia" w:ascii="Times New Roman" w:hAnsi="Times New Roman" w:eastAsia="仿宋_GB2312"/>
          <w:sz w:val="32"/>
          <w:szCs w:val="32"/>
          <w:lang w:eastAsia="zh-CN"/>
        </w:rPr>
        <w:t>监测评估、绩效评价会议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永州市水利局</w:t>
      </w:r>
      <w:r>
        <w:rPr>
          <w:rFonts w:hint="eastAsia" w:ascii="Times New Roman" w:hAnsi="Times New Roman" w:eastAsia="仿宋_GB2312"/>
          <w:sz w:val="32"/>
          <w:szCs w:val="32"/>
        </w:rPr>
        <w:t>开展</w:t>
      </w:r>
      <w:r>
        <w:rPr>
          <w:rFonts w:hint="eastAsia" w:ascii="Times New Roman" w:hAnsi="Times New Roman" w:eastAsia="仿宋_GB2312"/>
          <w:sz w:val="32"/>
          <w:szCs w:val="32"/>
          <w:lang w:eastAsia="zh-CN"/>
        </w:rPr>
        <w:t>监督检查</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2021年度</w:t>
      </w:r>
      <w:r>
        <w:rPr>
          <w:rFonts w:hint="eastAsia" w:ascii="仿宋" w:hAnsi="仿宋" w:eastAsia="仿宋" w:cs="仿宋"/>
          <w:color w:val="000000"/>
          <w:kern w:val="0"/>
          <w:sz w:val="32"/>
          <w:szCs w:val="32"/>
          <w:lang w:val="en-US" w:eastAsia="zh-CN" w:bidi="ar"/>
        </w:rPr>
        <w:t>大中型水库移民后期扶持资金</w:t>
      </w:r>
      <w:r>
        <w:rPr>
          <w:rFonts w:hint="eastAsia" w:ascii="Times New Roman" w:hAnsi="Times New Roman" w:eastAsia="仿宋_GB2312"/>
          <w:sz w:val="32"/>
          <w:szCs w:val="32"/>
          <w:lang w:eastAsia="zh-CN"/>
        </w:rPr>
        <w:t>监督检查</w:t>
      </w:r>
      <w:r>
        <w:rPr>
          <w:rFonts w:hint="eastAsia" w:ascii="Times New Roman" w:hAnsi="Times New Roman" w:eastAsia="仿宋_GB2312"/>
          <w:sz w:val="32"/>
          <w:szCs w:val="32"/>
        </w:rPr>
        <w:t>培训。</w:t>
      </w:r>
    </w:p>
    <w:p w14:paraId="11238C38">
      <w:pPr>
        <w:pStyle w:val="12"/>
        <w:spacing w:line="600" w:lineRule="exact"/>
        <w:ind w:firstLine="640" w:firstLineChars="200"/>
        <w:rPr>
          <w:rFonts w:hAnsi="黑体"/>
          <w:bCs/>
          <w:sz w:val="32"/>
          <w:szCs w:val="32"/>
        </w:rPr>
      </w:pPr>
      <w:r>
        <w:rPr>
          <w:rFonts w:hint="eastAsia" w:hAnsi="黑体"/>
          <w:bCs/>
          <w:sz w:val="32"/>
          <w:szCs w:val="32"/>
        </w:rPr>
        <w:t>十一、关于政府采购支出说明</w:t>
      </w:r>
    </w:p>
    <w:p w14:paraId="64012C07">
      <w:pPr>
        <w:pStyle w:val="12"/>
        <w:spacing w:line="600" w:lineRule="exact"/>
        <w:ind w:firstLine="640" w:firstLineChars="200"/>
        <w:rPr>
          <w:rFonts w:hint="eastAsia" w:ascii="Times New Roman" w:hAnsi="Times New Roman" w:eastAsia="仿宋_GB2312" w:cs="黑体"/>
          <w:b w:val="0"/>
          <w:bCs w:val="0"/>
          <w:color w:val="000000"/>
          <w:kern w:val="0"/>
          <w:sz w:val="32"/>
          <w:szCs w:val="32"/>
          <w:lang w:val="en-US" w:eastAsia="zh-CN" w:bidi="ar-SA"/>
        </w:rPr>
      </w:pPr>
      <w:r>
        <w:rPr>
          <w:rFonts w:hint="eastAsia" w:ascii="Times New Roman" w:hAnsi="Times New Roman" w:eastAsia="仿宋_GB2312" w:cs="黑体"/>
          <w:b w:val="0"/>
          <w:bCs w:val="0"/>
          <w:color w:val="000000"/>
          <w:kern w:val="0"/>
          <w:sz w:val="32"/>
          <w:szCs w:val="32"/>
          <w:lang w:val="en-US" w:eastAsia="zh-CN" w:bidi="ar-SA"/>
        </w:rPr>
        <w:t xml:space="preserve">本部门2022年度政府采购支出总额0万元，其中：政府采购货物支出0 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  </w:t>
      </w:r>
    </w:p>
    <w:p w14:paraId="52966800">
      <w:pPr>
        <w:pStyle w:val="12"/>
        <w:spacing w:line="600" w:lineRule="exact"/>
        <w:ind w:firstLine="640" w:firstLineChars="200"/>
        <w:rPr>
          <w:rFonts w:hAnsi="黑体"/>
          <w:bCs/>
          <w:sz w:val="32"/>
          <w:szCs w:val="32"/>
        </w:rPr>
      </w:pPr>
      <w:r>
        <w:rPr>
          <w:rFonts w:hint="eastAsia" w:hAnsi="黑体"/>
          <w:bCs/>
          <w:sz w:val="32"/>
          <w:szCs w:val="32"/>
        </w:rPr>
        <w:t>十二、关于国有资产占用情况说明</w:t>
      </w:r>
    </w:p>
    <w:p w14:paraId="1949F445">
      <w:pPr>
        <w:pStyle w:val="12"/>
        <w:spacing w:line="600" w:lineRule="exact"/>
        <w:ind w:firstLine="640" w:firstLineChars="200"/>
        <w:rPr>
          <w:rFonts w:hint="eastAsia" w:ascii="Times New Roman" w:hAnsi="Times New Roman" w:eastAsia="仿宋_GB2312" w:cs="黑体"/>
          <w:b w:val="0"/>
          <w:bCs w:val="0"/>
          <w:color w:val="000000"/>
          <w:kern w:val="0"/>
          <w:sz w:val="32"/>
          <w:szCs w:val="32"/>
          <w:lang w:val="en-US" w:eastAsia="zh-CN" w:bidi="ar-SA"/>
        </w:rPr>
      </w:pPr>
      <w:r>
        <w:rPr>
          <w:rFonts w:hint="eastAsia" w:ascii="Times New Roman" w:hAnsi="Times New Roman" w:eastAsia="仿宋_GB2312" w:cs="黑体"/>
          <w:b w:val="0"/>
          <w:bCs w:val="0"/>
          <w:color w:val="000000"/>
          <w:kern w:val="0"/>
          <w:sz w:val="32"/>
          <w:szCs w:val="32"/>
          <w:lang w:val="en-US" w:eastAsia="zh-CN" w:bidi="ar-SA"/>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010DCCEA">
      <w:pPr>
        <w:pStyle w:val="12"/>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14:paraId="7930DA85">
      <w:pPr>
        <w:pStyle w:val="12"/>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14:paraId="373F759C">
      <w:pPr>
        <w:pStyle w:val="12"/>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一、</w:t>
      </w:r>
      <w:r>
        <w:rPr>
          <w:rFonts w:hint="eastAsia" w:ascii="Times New Roman" w:hAnsi="Times New Roman" w:eastAsia="仿宋_GB2312"/>
          <w:b/>
          <w:bCs/>
          <w:sz w:val="32"/>
          <w:szCs w:val="32"/>
          <w:lang w:val="en-US" w:eastAsia="zh-CN"/>
        </w:rPr>
        <w:t>永州市库区移民事务中心</w:t>
      </w:r>
      <w:r>
        <w:rPr>
          <w:rFonts w:hint="eastAsia" w:ascii="Times New Roman" w:hAnsi="Times New Roman" w:eastAsia="仿宋_GB2312"/>
          <w:b/>
          <w:bCs/>
          <w:sz w:val="32"/>
          <w:szCs w:val="32"/>
        </w:rPr>
        <w:t>部门整体支出的绩效目标完成情况。</w:t>
      </w:r>
    </w:p>
    <w:p w14:paraId="5E4A5C77">
      <w:pPr>
        <w:autoSpaceDE w:val="0"/>
        <w:autoSpaceDN w:val="0"/>
        <w:adjustRightInd w:val="0"/>
        <w:ind w:firstLine="960" w:firstLineChars="300"/>
        <w:jc w:val="left"/>
        <w:rPr>
          <w:rFonts w:hint="eastAsia" w:ascii="Times New Roman" w:hAnsi="Times New Roman" w:eastAsia="仿宋_GB2312" w:cs="黑体"/>
          <w:b w:val="0"/>
          <w:bCs w:val="0"/>
          <w:color w:val="000000"/>
          <w:kern w:val="0"/>
          <w:sz w:val="32"/>
          <w:szCs w:val="32"/>
          <w:lang w:val="en-US" w:eastAsia="zh-CN" w:bidi="ar-SA"/>
        </w:rPr>
      </w:pPr>
      <w:r>
        <w:rPr>
          <w:rFonts w:hint="eastAsia" w:ascii="Times New Roman" w:hAnsi="Times New Roman" w:eastAsia="仿宋_GB2312" w:cs="黑体"/>
          <w:b w:val="0"/>
          <w:bCs w:val="0"/>
          <w:color w:val="000000"/>
          <w:kern w:val="0"/>
          <w:sz w:val="32"/>
          <w:szCs w:val="32"/>
          <w:lang w:val="en-US" w:eastAsia="zh-CN" w:bidi="ar-SA"/>
        </w:rPr>
        <w:t>根据预算绩效管理要求，我单位组织对2022年度一般公共预算整体支出开展了绩效自评。从评价情况来看，完成情况较好，主要表现为以下几个方面，一是设置了明确的绩效目标，并设置了相应的绩效指标，在推进绩效目标得以实现的同时，为资金管理提供重要依据；二是财务相关管理制度较健全，预算执行及时、有效；三是以提升绩效评价质量为动力，推进了财务内控标准化建设。</w:t>
      </w:r>
    </w:p>
    <w:p w14:paraId="46A04790">
      <w:pPr>
        <w:pStyle w:val="12"/>
        <w:numPr>
          <w:ilvl w:val="0"/>
          <w:numId w:val="2"/>
        </w:num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永州市库区移民事务中心</w:t>
      </w:r>
      <w:r>
        <w:rPr>
          <w:rFonts w:hint="eastAsia" w:ascii="Times New Roman" w:hAnsi="Times New Roman" w:eastAsia="仿宋_GB2312"/>
          <w:b/>
          <w:bCs/>
          <w:sz w:val="32"/>
          <w:szCs w:val="32"/>
        </w:rPr>
        <w:t>实现产出和取得效益的情况。</w:t>
      </w:r>
    </w:p>
    <w:p w14:paraId="3EF1B173">
      <w:pPr>
        <w:ind w:firstLine="640" w:firstLineChars="200"/>
        <w:rPr>
          <w:rFonts w:hint="eastAsia" w:ascii="仿宋_GB2312" w:eastAsia="仿宋_GB2312"/>
          <w:sz w:val="32"/>
          <w:szCs w:val="32"/>
        </w:rPr>
      </w:pPr>
      <w:r>
        <w:rPr>
          <w:rFonts w:hint="eastAsia" w:ascii="Times New Roman" w:hAnsi="Times New Roman" w:eastAsia="仿宋_GB2312"/>
          <w:b/>
          <w:bCs/>
          <w:sz w:val="32"/>
          <w:szCs w:val="32"/>
          <w:lang w:val="en-US" w:eastAsia="zh-CN"/>
        </w:rPr>
        <w:t xml:space="preserve"> </w:t>
      </w:r>
      <w:r>
        <w:rPr>
          <w:rFonts w:hint="eastAsia" w:ascii="仿宋_GB2312" w:eastAsia="仿宋_GB2312"/>
          <w:sz w:val="32"/>
          <w:szCs w:val="32"/>
        </w:rPr>
        <w:t>2022年，</w:t>
      </w:r>
      <w:r>
        <w:rPr>
          <w:rFonts w:hint="eastAsia" w:ascii="仿宋_GB2312" w:eastAsia="仿宋_GB2312"/>
          <w:sz w:val="32"/>
          <w:szCs w:val="32"/>
          <w:lang w:eastAsia="zh-CN"/>
        </w:rPr>
        <w:t>市库区移民事务</w:t>
      </w:r>
      <w:r>
        <w:rPr>
          <w:rFonts w:hint="eastAsia" w:ascii="仿宋_GB2312" w:eastAsia="仿宋_GB2312"/>
          <w:sz w:val="32"/>
          <w:szCs w:val="32"/>
        </w:rPr>
        <w:t>中心在市委、市政府的坚强领导下，紧紧围绕库区移民“搬得出、稳得住、能致富”的目标，扎实推进库区移民各项工作，取得了明显成效，有力保障了库区经济发展和社会</w:t>
      </w:r>
      <w:r>
        <w:rPr>
          <w:rFonts w:hint="eastAsia" w:ascii="仿宋_GB2312" w:eastAsia="仿宋_GB2312"/>
          <w:sz w:val="32"/>
          <w:szCs w:val="32"/>
          <w:lang w:eastAsia="zh-CN"/>
        </w:rPr>
        <w:t>大局</w:t>
      </w:r>
      <w:r>
        <w:rPr>
          <w:rFonts w:hint="eastAsia" w:ascii="仿宋_GB2312" w:eastAsia="仿宋_GB2312"/>
          <w:sz w:val="32"/>
          <w:szCs w:val="32"/>
        </w:rPr>
        <w:t>稳定。</w:t>
      </w:r>
    </w:p>
    <w:p w14:paraId="14B2E38E">
      <w:pPr>
        <w:ind w:firstLine="640" w:firstLineChars="200"/>
        <w:rPr>
          <w:rFonts w:hint="eastAsia" w:ascii="仿宋_GB2312" w:eastAsia="仿宋_GB2312"/>
          <w:sz w:val="32"/>
          <w:szCs w:val="32"/>
        </w:rPr>
      </w:pPr>
      <w:r>
        <w:rPr>
          <w:rFonts w:hint="eastAsia" w:ascii="仿宋_GB2312" w:eastAsia="仿宋_GB2312"/>
          <w:b/>
          <w:sz w:val="32"/>
          <w:szCs w:val="32"/>
        </w:rPr>
        <w:t>1.移民搬迁安置稳步推进</w:t>
      </w:r>
      <w:r>
        <w:rPr>
          <w:rFonts w:hint="eastAsia" w:ascii="仿宋_GB2312" w:eastAsia="仿宋_GB2312"/>
          <w:sz w:val="32"/>
          <w:szCs w:val="32"/>
        </w:rPr>
        <w:t>。一是推进芦江水库验收工作。积极做好芦江水库移民安置扫尾和验收工作，于9月1日顺利通过下闸蓄水阶段移民安置初（自）验，并已申报省级验收。二是做好移民安置其他有关工作。指导江华县开展涔天河移民安置验收后遗留问题整改；指导蓝山县抓好毛俊水库安置点移民自建房2、3层建设的安全工作；指导双牌、江华两县提前介入双牌天子山抽水蓄能电站项目、江华湾水源抽水蓄电站项目移民前期工作。</w:t>
      </w:r>
    </w:p>
    <w:p w14:paraId="0A0A8E68">
      <w:pPr>
        <w:numPr>
          <w:ilvl w:val="0"/>
          <w:numId w:val="0"/>
        </w:numPr>
        <w:ind w:firstLine="640" w:firstLineChars="200"/>
        <w:rPr>
          <w:rFonts w:hint="eastAsia" w:ascii="仿宋_GB2312" w:eastAsia="仿宋_GB2312"/>
          <w:sz w:val="32"/>
          <w:szCs w:val="32"/>
        </w:rPr>
      </w:pPr>
      <w:r>
        <w:rPr>
          <w:rFonts w:hint="eastAsia" w:ascii="仿宋_GB2312" w:eastAsia="仿宋_GB2312"/>
          <w:b/>
          <w:sz w:val="32"/>
          <w:szCs w:val="32"/>
        </w:rPr>
        <w:t>2.移民后期扶持成效显著</w:t>
      </w:r>
      <w:r>
        <w:rPr>
          <w:rFonts w:hint="eastAsia" w:ascii="仿宋_GB2312" w:eastAsia="仿宋_GB2312"/>
          <w:sz w:val="32"/>
          <w:szCs w:val="32"/>
        </w:rPr>
        <w:t>。一是按时完成移民直补打卡发放。2022年我市核定移民后扶指标25.79万人，发放移民直补资金8372.32万元，各县市区均在4月15日前完成移民直补发放，</w:t>
      </w:r>
      <w:r>
        <w:rPr>
          <w:rFonts w:hint="eastAsia" w:ascii="仿宋_GB2312" w:eastAsia="仿宋_GB2312"/>
          <w:sz w:val="32"/>
          <w:szCs w:val="32"/>
          <w:lang w:eastAsia="zh-CN"/>
        </w:rPr>
        <w:t>位列</w:t>
      </w:r>
      <w:r>
        <w:rPr>
          <w:rFonts w:hint="eastAsia" w:ascii="仿宋_GB2312" w:eastAsia="仿宋_GB2312"/>
          <w:sz w:val="32"/>
          <w:szCs w:val="32"/>
        </w:rPr>
        <w:t>全省前列。二是有序推进后期扶持项目建设。全市移民后期扶持资金共4.38亿元，同比增加9.5%，计划实施项目1400个，项目实施进度达到80%以上。三是加快推进重点移民村建设。2022年</w:t>
      </w:r>
      <w:r>
        <w:rPr>
          <w:rFonts w:hint="eastAsia" w:ascii="仿宋_GB2312" w:eastAsia="仿宋_GB2312"/>
          <w:sz w:val="32"/>
          <w:szCs w:val="32"/>
          <w:lang w:eastAsia="zh-CN"/>
        </w:rPr>
        <w:t>全</w:t>
      </w:r>
      <w:r>
        <w:rPr>
          <w:rFonts w:hint="eastAsia" w:ascii="仿宋_GB2312" w:eastAsia="仿宋_GB2312"/>
          <w:sz w:val="32"/>
          <w:szCs w:val="32"/>
        </w:rPr>
        <w:t>市实施移民重点村项目26个，总投入5640万元。四是超额完成移民培训任务。2022年我市共培训移民5900人次，投入培训资金807.49万元，完成任务率超过139%，为移民就业增收提供了坚实的保障。五是持续做好移民产业发展。以发展产业为根本，指导县市区协同本地产业发展方向，做好移民产业规划设计，集中后扶资金，整合部门资金，因地制宜打造具有地方特色的移民产业群，不断开拓移民产业新路子。</w:t>
      </w:r>
    </w:p>
    <w:p w14:paraId="6F1FAAD2">
      <w:pPr>
        <w:ind w:firstLine="640" w:firstLineChars="200"/>
        <w:rPr>
          <w:rFonts w:hint="eastAsia" w:ascii="仿宋_GB2312" w:eastAsia="仿宋_GB2312"/>
          <w:sz w:val="32"/>
          <w:szCs w:val="32"/>
        </w:rPr>
      </w:pPr>
      <w:r>
        <w:rPr>
          <w:rFonts w:hint="eastAsia" w:ascii="仿宋_GB2312" w:eastAsia="仿宋_GB2312"/>
          <w:b/>
          <w:sz w:val="32"/>
          <w:szCs w:val="32"/>
        </w:rPr>
        <w:t>3.移民资金监管有力有效</w:t>
      </w:r>
      <w:r>
        <w:rPr>
          <w:rFonts w:hint="eastAsia" w:ascii="仿宋_GB2312" w:eastAsia="仿宋_GB2312"/>
          <w:sz w:val="32"/>
          <w:szCs w:val="32"/>
        </w:rPr>
        <w:t>。一是开展移民资金监督检查。充分利用移民资金监督检查体系，加大监管力度。</w:t>
      </w:r>
      <w:r>
        <w:rPr>
          <w:rFonts w:hint="eastAsia" w:ascii="仿宋_GB2312" w:eastAsia="仿宋_GB2312"/>
          <w:sz w:val="32"/>
          <w:szCs w:val="32"/>
          <w:lang w:val="en-US" w:eastAsia="zh-CN"/>
        </w:rPr>
        <w:t>2022</w:t>
      </w:r>
      <w:r>
        <w:rPr>
          <w:rFonts w:hint="eastAsia" w:ascii="仿宋_GB2312" w:eastAsia="仿宋_GB2312"/>
          <w:sz w:val="32"/>
          <w:szCs w:val="32"/>
        </w:rPr>
        <w:t>对13个县市区2021年度移民资金使用管理情况开展了绩效评价；对冷水滩、双牌、江永、江华、道县、祁阳、东安2021年度移民后扶政策实施情况开展了监督检查；配合省中心对13个县市区完成了监测评估，有力促进移民资金使用管理安全高效。二是开展移民存量资金专项整治。根据省里统一部署，开展了移民存量资金专项整治行动</w:t>
      </w:r>
      <w:r>
        <w:rPr>
          <w:rFonts w:hint="eastAsia" w:ascii="仿宋_GB2312" w:eastAsia="仿宋_GB2312"/>
          <w:sz w:val="32"/>
          <w:szCs w:val="32"/>
          <w:lang w:eastAsia="zh-CN"/>
        </w:rPr>
        <w:t>，全</w:t>
      </w:r>
      <w:r>
        <w:rPr>
          <w:rFonts w:hint="eastAsia" w:ascii="仿宋_GB2312" w:eastAsia="仿宋_GB2312"/>
          <w:sz w:val="32"/>
          <w:szCs w:val="32"/>
        </w:rPr>
        <w:t>年化解移民存量资金5</w:t>
      </w:r>
      <w:r>
        <w:rPr>
          <w:rFonts w:hint="eastAsia" w:ascii="仿宋_GB2312" w:eastAsia="仿宋_GB2312"/>
          <w:sz w:val="32"/>
          <w:szCs w:val="32"/>
          <w:lang w:val="en-US" w:eastAsia="zh-CN"/>
        </w:rPr>
        <w:t>.</w:t>
      </w:r>
      <w:r>
        <w:rPr>
          <w:rFonts w:hint="eastAsia" w:ascii="仿宋_GB2312" w:eastAsia="仿宋_GB2312"/>
          <w:sz w:val="32"/>
          <w:szCs w:val="32"/>
        </w:rPr>
        <w:t>8</w:t>
      </w:r>
      <w:r>
        <w:rPr>
          <w:rFonts w:hint="eastAsia" w:ascii="仿宋_GB2312" w:eastAsia="仿宋_GB2312"/>
          <w:sz w:val="32"/>
          <w:szCs w:val="32"/>
          <w:lang w:eastAsia="zh-CN"/>
        </w:rPr>
        <w:t>亿</w:t>
      </w:r>
      <w:r>
        <w:rPr>
          <w:rFonts w:hint="eastAsia" w:ascii="仿宋_GB2312" w:eastAsia="仿宋_GB2312"/>
          <w:sz w:val="32"/>
          <w:szCs w:val="32"/>
        </w:rPr>
        <w:t>元，大大提高了资金的使用效率</w:t>
      </w:r>
      <w:r>
        <w:rPr>
          <w:rFonts w:hint="eastAsia" w:ascii="仿宋_GB2312" w:eastAsia="仿宋_GB2312"/>
          <w:sz w:val="32"/>
          <w:szCs w:val="32"/>
          <w:lang w:eastAsia="zh-CN"/>
        </w:rPr>
        <w:t>，</w:t>
      </w:r>
      <w:r>
        <w:rPr>
          <w:rFonts w:hint="eastAsia" w:ascii="仿宋_GB2312" w:eastAsia="仿宋_GB2312"/>
          <w:sz w:val="32"/>
          <w:szCs w:val="32"/>
        </w:rPr>
        <w:t>全市移民经营性固定资产已达到2亿元以上。</w:t>
      </w:r>
    </w:p>
    <w:p w14:paraId="776F655B">
      <w:pPr>
        <w:ind w:firstLine="640" w:firstLineChars="200"/>
        <w:rPr>
          <w:rFonts w:hint="eastAsia" w:ascii="仿宋_GB2312" w:eastAsia="仿宋_GB2312"/>
          <w:sz w:val="32"/>
          <w:szCs w:val="32"/>
        </w:rPr>
      </w:pPr>
      <w:r>
        <w:rPr>
          <w:rFonts w:hint="eastAsia" w:ascii="仿宋_GB2312" w:eastAsia="仿宋_GB2312"/>
          <w:b/>
          <w:sz w:val="32"/>
          <w:szCs w:val="32"/>
        </w:rPr>
        <w:t>4.乡村振兴工作颇有成效</w:t>
      </w:r>
      <w:r>
        <w:rPr>
          <w:rFonts w:hint="eastAsia" w:ascii="仿宋_GB2312" w:eastAsia="仿宋_GB2312"/>
          <w:sz w:val="32"/>
          <w:szCs w:val="32"/>
        </w:rPr>
        <w:t>。深刻认识乡村振兴在中国式现代化中的重要性和必然性，自觉将移民工作融入乡村振兴战略，以产业</w:t>
      </w:r>
      <w:r>
        <w:rPr>
          <w:rFonts w:hint="eastAsia" w:ascii="仿宋_GB2312" w:eastAsia="仿宋_GB2312"/>
          <w:sz w:val="32"/>
          <w:szCs w:val="32"/>
          <w:lang w:eastAsia="zh-CN"/>
        </w:rPr>
        <w:t>振兴</w:t>
      </w:r>
      <w:r>
        <w:rPr>
          <w:rFonts w:hint="eastAsia" w:ascii="仿宋_GB2312" w:eastAsia="仿宋_GB2312"/>
          <w:sz w:val="32"/>
          <w:szCs w:val="32"/>
        </w:rPr>
        <w:t>促进乡村全面振兴。作为牵头单位，我中心在帮扶道县新立村实施乡村振兴过程中，通过招商引资3000万元打造的千亩高质量脐橙示范基地和加工、销售等现代农业项目，不仅为道县脐橙产业高质量发展发挥示范效应，而且每年可为该村集体经济</w:t>
      </w:r>
      <w:r>
        <w:rPr>
          <w:rFonts w:hint="eastAsia" w:ascii="仿宋_GB2312" w:eastAsia="仿宋_GB2312"/>
          <w:sz w:val="32"/>
          <w:szCs w:val="32"/>
          <w:lang w:eastAsia="zh-CN"/>
        </w:rPr>
        <w:t>增</w:t>
      </w:r>
      <w:r>
        <w:rPr>
          <w:rFonts w:hint="eastAsia" w:ascii="仿宋_GB2312" w:eastAsia="仿宋_GB2312"/>
          <w:sz w:val="32"/>
          <w:szCs w:val="32"/>
        </w:rPr>
        <w:t>收30万元以上。</w:t>
      </w:r>
    </w:p>
    <w:p w14:paraId="3049ADB8">
      <w:pPr>
        <w:ind w:firstLine="640" w:firstLineChars="200"/>
        <w:rPr>
          <w:rFonts w:hint="eastAsia" w:ascii="仿宋_GB2312" w:eastAsia="仿宋_GB2312"/>
          <w:sz w:val="32"/>
          <w:szCs w:val="32"/>
        </w:rPr>
      </w:pPr>
      <w:r>
        <w:rPr>
          <w:rFonts w:hint="eastAsia" w:ascii="仿宋_GB2312" w:eastAsia="仿宋_GB2312"/>
          <w:b/>
          <w:sz w:val="32"/>
          <w:szCs w:val="32"/>
        </w:rPr>
        <w:t>5.</w:t>
      </w:r>
      <w:r>
        <w:rPr>
          <w:rFonts w:hint="eastAsia" w:ascii="仿宋_GB2312" w:eastAsia="仿宋_GB2312"/>
          <w:b/>
        </w:rPr>
        <w:t xml:space="preserve"> </w:t>
      </w:r>
      <w:r>
        <w:rPr>
          <w:rFonts w:hint="eastAsia" w:ascii="仿宋_GB2312" w:eastAsia="仿宋_GB2312"/>
          <w:b/>
          <w:sz w:val="32"/>
          <w:szCs w:val="32"/>
        </w:rPr>
        <w:t>移民信访维稳齐抓共管</w:t>
      </w:r>
      <w:r>
        <w:rPr>
          <w:rFonts w:hint="eastAsia" w:ascii="仿宋_GB2312" w:eastAsia="仿宋_GB2312"/>
          <w:sz w:val="32"/>
          <w:szCs w:val="32"/>
        </w:rPr>
        <w:t>。认真落实信访责任制，积极接待来访移民，深入开展矛盾纠纷排查，采取有效措施，防范风险隐患，确保移民群体的大局稳定。特别在党的二十大期间，印发了《关于做好特别防护期重点信访人员稳控的通知》，要求各县市区必须严格执行值班制度，每日报告当地移民信访和稳控情况，及时掌握信息、了解动态，依法依规化解矛盾，妥善解决群众诉求，把信访苗头化解在一线，确保党的二十大期间社会大局和谐稳定。</w:t>
      </w:r>
    </w:p>
    <w:p w14:paraId="1D3B5A75">
      <w:pPr>
        <w:pStyle w:val="12"/>
        <w:numPr>
          <w:ilvl w:val="0"/>
          <w:numId w:val="0"/>
        </w:num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三、永州市库区移民事务中心</w:t>
      </w:r>
      <w:r>
        <w:rPr>
          <w:rFonts w:hint="eastAsia" w:ascii="Times New Roman" w:hAnsi="Times New Roman" w:eastAsia="仿宋_GB2312"/>
          <w:b/>
          <w:bCs/>
          <w:sz w:val="32"/>
          <w:szCs w:val="32"/>
        </w:rPr>
        <w:t>职责、行业发展规划。</w:t>
      </w:r>
    </w:p>
    <w:p w14:paraId="711DB805">
      <w:pPr>
        <w:spacing w:line="600" w:lineRule="exact"/>
        <w:ind w:firstLine="640" w:firstLineChars="200"/>
        <w:rPr>
          <w:rFonts w:hint="eastAsia" w:eastAsia="仿宋_GB2312"/>
          <w:sz w:val="32"/>
          <w:szCs w:val="32"/>
          <w:lang w:eastAsia="zh-CN"/>
        </w:rPr>
      </w:pPr>
      <w:r>
        <w:rPr>
          <w:rFonts w:hint="eastAsia" w:ascii="仿宋_GB2312" w:hAnsi="仿宋_GB2312" w:eastAsia="仿宋_GB2312" w:cs="仿宋_GB2312"/>
          <w:b/>
          <w:bCs w:val="0"/>
          <w:kern w:val="0"/>
          <w:sz w:val="32"/>
          <w:szCs w:val="32"/>
          <w:lang w:eastAsia="zh-CN"/>
        </w:rPr>
        <w:t>职责：</w:t>
      </w:r>
      <w:r>
        <w:rPr>
          <w:rFonts w:hint="eastAsia" w:eastAsia="仿宋_GB2312"/>
          <w:sz w:val="32"/>
          <w:szCs w:val="32"/>
        </w:rPr>
        <w:t>为大中型水库工程建设制定征地实物调查细则、移民安置规划大纲、移民安置规划、移民后期扶持规划提供技术支持，承担大中型水库移民安置阶段验收及竣工验收和后期扶持规划实施验收的事务性工作；承担移民综合统计工作；承担大中型水库移民安置和后期扶持的事务性工作</w:t>
      </w:r>
      <w:r>
        <w:rPr>
          <w:rFonts w:hint="eastAsia" w:eastAsia="仿宋_GB2312"/>
          <w:sz w:val="32"/>
          <w:szCs w:val="32"/>
          <w:lang w:eastAsia="zh-CN"/>
        </w:rPr>
        <w:t>；</w:t>
      </w:r>
      <w:r>
        <w:rPr>
          <w:rFonts w:hint="eastAsia" w:eastAsia="仿宋_GB2312"/>
          <w:sz w:val="32"/>
          <w:szCs w:val="32"/>
        </w:rPr>
        <w:t>协助有关部门拟定市本级及辖区水库移民资金年度预算方案和安排方案、承担全市水库移民工作、移民资金内部审计、稽查和绩效评价的事务性工作，承担全市水库移民后期扶持政策实施情况监测评估的事务性工作，为全市水库移民资金管理提供服务保障；拟定全市水库移民工作规划及年度工作计划，负责水库移民工作规范性文件的起草，承担大中型水库移民信访维稳、行政复议、行政诉讼等相关事务性工作；协助推动水库移民对口帮扶工作</w:t>
      </w:r>
      <w:r>
        <w:rPr>
          <w:rFonts w:hint="eastAsia" w:eastAsia="仿宋_GB2312"/>
          <w:sz w:val="32"/>
          <w:szCs w:val="32"/>
          <w:lang w:eastAsia="zh-CN"/>
        </w:rPr>
        <w:t>；</w:t>
      </w:r>
      <w:r>
        <w:rPr>
          <w:rFonts w:hint="eastAsia" w:eastAsia="仿宋_GB2312"/>
          <w:sz w:val="32"/>
          <w:szCs w:val="32"/>
        </w:rPr>
        <w:t>协助协调三峡移民工作；承担大中型水库移民的培训工作</w:t>
      </w:r>
      <w:r>
        <w:rPr>
          <w:rFonts w:hint="eastAsia" w:eastAsia="仿宋_GB2312"/>
          <w:sz w:val="32"/>
          <w:szCs w:val="32"/>
          <w:lang w:eastAsia="zh-CN"/>
        </w:rPr>
        <w:t>。</w:t>
      </w:r>
    </w:p>
    <w:p w14:paraId="07292B74">
      <w:pPr>
        <w:spacing w:line="600" w:lineRule="exact"/>
        <w:ind w:firstLine="640" w:firstLineChars="200"/>
        <w:rPr>
          <w:rFonts w:hint="eastAsia" w:ascii="仿宋" w:hAnsi="仿宋" w:eastAsia="仿宋" w:cs="仿宋"/>
          <w:color w:val="000000"/>
          <w:kern w:val="0"/>
          <w:sz w:val="30"/>
          <w:szCs w:val="30"/>
          <w:lang w:val="en-US" w:eastAsia="zh-CN" w:bidi="ar-SA"/>
        </w:rPr>
      </w:pPr>
      <w:r>
        <w:rPr>
          <w:rFonts w:hint="eastAsia" w:ascii="Times New Roman" w:hAnsi="Times New Roman" w:eastAsia="仿宋_GB2312"/>
          <w:b/>
          <w:bCs/>
          <w:sz w:val="32"/>
          <w:szCs w:val="32"/>
        </w:rPr>
        <w:t>行业发展规划</w:t>
      </w:r>
      <w:r>
        <w:rPr>
          <w:rFonts w:hint="eastAsia" w:ascii="Times New Roman" w:hAnsi="Times New Roman" w:eastAsia="仿宋_GB2312"/>
          <w:b/>
          <w:bCs/>
          <w:sz w:val="32"/>
          <w:szCs w:val="32"/>
          <w:lang w:eastAsia="zh-CN"/>
        </w:rPr>
        <w:t>：</w:t>
      </w:r>
      <w:r>
        <w:rPr>
          <w:rFonts w:hint="eastAsia" w:ascii="仿宋" w:hAnsi="仿宋" w:eastAsia="仿宋" w:cs="仿宋"/>
          <w:color w:val="000000"/>
          <w:kern w:val="0"/>
          <w:sz w:val="30"/>
          <w:szCs w:val="30"/>
          <w:lang w:val="en-US" w:eastAsia="zh-CN" w:bidi="ar-SA"/>
        </w:rPr>
        <w:t>一是抓</w:t>
      </w:r>
      <w:r>
        <w:rPr>
          <w:rFonts w:hint="eastAsia" w:eastAsia="仿宋_GB2312"/>
          <w:sz w:val="32"/>
          <w:szCs w:val="32"/>
        </w:rPr>
        <w:t>大中型水库</w:t>
      </w:r>
      <w:r>
        <w:rPr>
          <w:rFonts w:hint="eastAsia" w:ascii="仿宋" w:hAnsi="仿宋" w:eastAsia="仿宋" w:cs="仿宋"/>
          <w:color w:val="000000"/>
          <w:kern w:val="0"/>
          <w:sz w:val="30"/>
          <w:szCs w:val="30"/>
          <w:lang w:val="en-US" w:eastAsia="zh-CN" w:bidi="ar-SA"/>
        </w:rPr>
        <w:t>移民事务性、服务性相关工作。重点做好</w:t>
      </w:r>
      <w:r>
        <w:rPr>
          <w:rFonts w:hint="eastAsia" w:eastAsia="仿宋_GB2312"/>
          <w:sz w:val="32"/>
          <w:szCs w:val="32"/>
        </w:rPr>
        <w:t>大中型水库移民安置和后期扶持的事务性工作</w:t>
      </w:r>
      <w:r>
        <w:rPr>
          <w:rFonts w:hint="eastAsia" w:eastAsia="仿宋_GB2312"/>
          <w:sz w:val="32"/>
          <w:szCs w:val="32"/>
          <w:lang w:eastAsia="zh-CN"/>
        </w:rPr>
        <w:t>以及</w:t>
      </w:r>
      <w:r>
        <w:rPr>
          <w:rFonts w:hint="eastAsia" w:eastAsia="仿宋_GB2312"/>
          <w:sz w:val="32"/>
          <w:szCs w:val="32"/>
        </w:rPr>
        <w:t>全市水库移民后期扶持政策实施情况监测评估的事务性工</w:t>
      </w:r>
      <w:r>
        <w:rPr>
          <w:rFonts w:hint="eastAsia" w:eastAsia="仿宋_GB2312"/>
          <w:sz w:val="32"/>
          <w:szCs w:val="32"/>
          <w:lang w:eastAsia="zh-CN"/>
        </w:rPr>
        <w:t>作，</w:t>
      </w:r>
      <w:r>
        <w:rPr>
          <w:rFonts w:hint="eastAsia" w:ascii="Times New Roman" w:hAnsi="Times New Roman" w:eastAsia="仿宋_GB2312"/>
          <w:b w:val="0"/>
          <w:bCs w:val="0"/>
          <w:sz w:val="32"/>
          <w:szCs w:val="32"/>
          <w:lang w:val="en-US" w:eastAsia="zh-CN"/>
        </w:rPr>
        <w:t>使移民生活水平得到更大提高，移民产业得到快速发展。</w:t>
      </w:r>
      <w:r>
        <w:rPr>
          <w:rFonts w:hint="eastAsia" w:eastAsia="仿宋_GB2312"/>
          <w:sz w:val="32"/>
          <w:szCs w:val="32"/>
          <w:lang w:val="en-US" w:eastAsia="zh-CN"/>
        </w:rPr>
        <w:t>二是抓基层党建、党风廉政建设、文明创建、乡村振兴驻村帮扶等基础性工作，确保本单位基础性、政治性等工作跃上新台阶</w:t>
      </w:r>
      <w:r>
        <w:rPr>
          <w:rFonts w:hint="eastAsia" w:ascii="仿宋" w:hAnsi="仿宋" w:eastAsia="仿宋" w:cs="仿宋"/>
          <w:color w:val="000000"/>
          <w:kern w:val="0"/>
          <w:sz w:val="30"/>
          <w:szCs w:val="30"/>
          <w:lang w:val="en-US" w:eastAsia="zh-CN" w:bidi="ar-SA"/>
        </w:rPr>
        <w:t>。</w:t>
      </w:r>
    </w:p>
    <w:p w14:paraId="22BC6532">
      <w:p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lang w:eastAsia="zh-CN"/>
        </w:rPr>
        <w:t>四、</w:t>
      </w: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val="en-US" w:eastAsia="zh-CN"/>
        </w:rPr>
        <w:t>永州市库区移民事务中心</w:t>
      </w:r>
      <w:r>
        <w:rPr>
          <w:rFonts w:hint="eastAsia" w:ascii="Times New Roman" w:hAnsi="Times New Roman" w:eastAsia="仿宋_GB2312"/>
          <w:b/>
          <w:bCs/>
          <w:sz w:val="32"/>
          <w:szCs w:val="32"/>
        </w:rPr>
        <w:t>资产管理和开展业务情况。</w:t>
      </w:r>
    </w:p>
    <w:p w14:paraId="056B189B">
      <w:pPr>
        <w:pStyle w:val="12"/>
        <w:keepNext w:val="0"/>
        <w:keepLines w:val="0"/>
        <w:pageBreakBefore w:val="0"/>
        <w:widowControl w:val="0"/>
        <w:numPr>
          <w:ilvl w:val="0"/>
          <w:numId w:val="0"/>
        </w:numPr>
        <w:kinsoku/>
        <w:wordWrap/>
        <w:overflowPunct/>
        <w:topLinePunct w:val="0"/>
        <w:bidi w:val="0"/>
        <w:snapToGrid/>
        <w:spacing w:line="600" w:lineRule="exact"/>
        <w:ind w:leftChars="200"/>
        <w:jc w:val="both"/>
        <w:rPr>
          <w:rFonts w:hint="eastAsia" w:eastAsia="仿宋_GB2312" w:asciiTheme="minorHAnsi" w:hAnsiTheme="minorHAnsi" w:cstheme="minorBidi"/>
          <w:color w:val="auto"/>
          <w:kern w:val="2"/>
          <w:sz w:val="32"/>
          <w:szCs w:val="32"/>
          <w:lang w:val="en-US" w:eastAsia="zh-CN" w:bidi="ar-SA"/>
        </w:rPr>
      </w:pPr>
      <w:r>
        <w:rPr>
          <w:rFonts w:hint="eastAsia" w:ascii="Times New Roman" w:hAnsi="Times New Roman" w:eastAsia="仿宋_GB2312"/>
          <w:b/>
          <w:bCs/>
          <w:sz w:val="32"/>
          <w:szCs w:val="32"/>
        </w:rPr>
        <w:t xml:space="preserve">  </w:t>
      </w:r>
      <w:r>
        <w:rPr>
          <w:rFonts w:hint="eastAsia" w:eastAsia="仿宋_GB2312" w:asciiTheme="minorHAnsi" w:hAnsiTheme="minorHAnsi" w:cstheme="minorBidi"/>
          <w:color w:val="auto"/>
          <w:kern w:val="2"/>
          <w:sz w:val="32"/>
          <w:szCs w:val="32"/>
          <w:lang w:val="en-US" w:eastAsia="zh-CN" w:bidi="ar-SA"/>
        </w:rPr>
        <w:t xml:space="preserve">  </w:t>
      </w:r>
      <w:bookmarkStart w:id="0" w:name="_GoBack"/>
      <w:bookmarkEnd w:id="0"/>
      <w:r>
        <w:rPr>
          <w:rFonts w:hint="eastAsia" w:eastAsia="仿宋_GB2312" w:asciiTheme="minorHAnsi" w:hAnsiTheme="minorHAnsi" w:cstheme="minorBidi"/>
          <w:color w:val="auto"/>
          <w:kern w:val="2"/>
          <w:sz w:val="32"/>
          <w:szCs w:val="32"/>
          <w:lang w:val="en-US" w:eastAsia="zh-CN" w:bidi="ar-SA"/>
        </w:rPr>
        <w:t>由综合部根据年度预算提出申请，经分管领导同意后报主要负责人批准，通过政府平台采购，未经批准的，一律不得配备购置;对预算执行中，因特殊需要，需追加预算并临时购置资产的，也应严格按照规定的程序报批，方可购置;对未申报购置预算的资产，不得安排经费。由使用人负责使用、保管，并做好日常的养护工作，在使用中如造成人为的损失，由该使用人负责赔偿。</w:t>
      </w:r>
    </w:p>
    <w:p w14:paraId="7EED9540">
      <w:pPr>
        <w:pStyle w:val="12"/>
        <w:numPr>
          <w:ilvl w:val="0"/>
          <w:numId w:val="0"/>
        </w:num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lang w:eastAsia="zh-CN"/>
        </w:rPr>
        <w:t>五、</w:t>
      </w:r>
      <w:r>
        <w:rPr>
          <w:rFonts w:hint="eastAsia" w:ascii="Times New Roman" w:hAnsi="Times New Roman" w:eastAsia="仿宋_GB2312"/>
          <w:b/>
          <w:bCs/>
          <w:sz w:val="32"/>
          <w:szCs w:val="32"/>
        </w:rPr>
        <w:t>从运行成本、管理效率、履职效能、社会效应、可持续发展能力和服务对象满意度等方面，衡量部门</w:t>
      </w:r>
      <w:r>
        <w:rPr>
          <w:rFonts w:hint="eastAsia" w:ascii="Times New Roman" w:hAnsi="Times New Roman" w:eastAsia="仿宋_GB2312"/>
          <w:b/>
          <w:bCs/>
          <w:sz w:val="32"/>
          <w:szCs w:val="32"/>
          <w:lang w:val="en-US" w:eastAsia="zh-CN"/>
        </w:rPr>
        <w:t>永州市库区移民事务中心</w:t>
      </w:r>
      <w:r>
        <w:rPr>
          <w:rFonts w:hint="eastAsia" w:ascii="Times New Roman" w:hAnsi="Times New Roman" w:eastAsia="仿宋_GB2312"/>
          <w:b/>
          <w:bCs/>
          <w:sz w:val="32"/>
          <w:szCs w:val="32"/>
        </w:rPr>
        <w:t>整体及核心业务实施效果。</w:t>
      </w:r>
    </w:p>
    <w:p w14:paraId="129A0AA7">
      <w:pPr>
        <w:keepNext w:val="0"/>
        <w:keepLines w:val="0"/>
        <w:pageBreakBefore w:val="0"/>
        <w:kinsoku/>
        <w:wordWrap/>
        <w:overflowPunct/>
        <w:topLinePunct w:val="0"/>
        <w:bidi w:val="0"/>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 xml:space="preserve">  </w:t>
      </w:r>
      <w:r>
        <w:rPr>
          <w:rFonts w:hint="eastAsia" w:eastAsia="仿宋_GB2312"/>
          <w:sz w:val="32"/>
          <w:szCs w:val="32"/>
          <w:lang w:val="en-US" w:eastAsia="zh-CN"/>
        </w:rPr>
        <w:t>本单位从运行成本、管理效率、履职效能、社会效益、可持续发展和服务对象满意度等方面对2022年部门整体支出绩效开展了评价。根据部门整体支出绩效评价指标，永州市库区移民事务中心2022年自评结果为96分绩效评价等级为“优”。</w:t>
      </w:r>
    </w:p>
    <w:p w14:paraId="160BEE62">
      <w:pPr>
        <w:pStyle w:val="12"/>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14:paraId="337A782B">
      <w:pPr>
        <w:pStyle w:val="12"/>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一、从预算和预算绩效管理，部门履职效能，资金分配、使用和管理，资产和财务管理、政府采购等方面归纳存在的问题。</w:t>
      </w:r>
    </w:p>
    <w:p w14:paraId="21DFDB73">
      <w:pPr>
        <w:pStyle w:val="12"/>
        <w:keepNext w:val="0"/>
        <w:keepLines w:val="0"/>
        <w:pageBreakBefore w:val="0"/>
        <w:widowControl w:val="0"/>
        <w:numPr>
          <w:ilvl w:val="0"/>
          <w:numId w:val="0"/>
        </w:numPr>
        <w:kinsoku/>
        <w:wordWrap/>
        <w:overflowPunct/>
        <w:topLinePunct w:val="0"/>
        <w:bidi w:val="0"/>
        <w:snapToGrid/>
        <w:spacing w:line="600" w:lineRule="exact"/>
        <w:ind w:firstLine="320" w:firstLineChars="100"/>
        <w:jc w:val="left"/>
        <w:rPr>
          <w:rFonts w:hint="eastAsia" w:eastAsia="仿宋_GB2312" w:asciiTheme="minorHAnsi" w:hAnsiTheme="minorHAnsi" w:cstheme="minorBidi"/>
          <w:color w:val="auto"/>
          <w:kern w:val="2"/>
          <w:sz w:val="32"/>
          <w:szCs w:val="32"/>
          <w:lang w:val="en-US" w:eastAsia="zh-CN" w:bidi="ar-SA"/>
        </w:rPr>
      </w:pPr>
      <w:r>
        <w:rPr>
          <w:rFonts w:hint="eastAsia" w:ascii="Times New Roman" w:hAnsi="Times New Roman" w:eastAsia="仿宋_GB2312"/>
          <w:b/>
          <w:bCs/>
          <w:sz w:val="32"/>
          <w:szCs w:val="32"/>
        </w:rPr>
        <w:t xml:space="preserve"> </w:t>
      </w:r>
      <w:r>
        <w:rPr>
          <w:rFonts w:hint="eastAsia" w:eastAsia="仿宋_GB2312" w:asciiTheme="minorHAnsi" w:hAnsiTheme="minorHAnsi" w:cstheme="minorBidi"/>
          <w:color w:val="auto"/>
          <w:kern w:val="2"/>
          <w:sz w:val="32"/>
          <w:szCs w:val="32"/>
          <w:lang w:val="en-US" w:eastAsia="zh-CN" w:bidi="ar-SA"/>
        </w:rPr>
        <w:t>单位在2022年度的工作中还存在着一些不足，在以后的工作中，要进一步完善管理制度，更好地实现预算和预算绩效管理，部门履职效能，资金分配、使用和管理，资产和财务管理、政府采购等方面科学化、精细化。使资金依法管理，以保障资金更加规范、安全、高效地使用。保障决算数据公开内容完整、及时。</w:t>
      </w:r>
    </w:p>
    <w:p w14:paraId="115EAA27">
      <w:pPr>
        <w:pStyle w:val="12"/>
        <w:numPr>
          <w:ilvl w:val="0"/>
          <w:numId w:val="3"/>
        </w:num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反映各种预算支出执行偏离绩效目标的情况，并分析其原因。</w:t>
      </w:r>
    </w:p>
    <w:p w14:paraId="11A7235E">
      <w:pPr>
        <w:pStyle w:val="12"/>
        <w:spacing w:line="600" w:lineRule="exact"/>
        <w:rPr>
          <w:rFonts w:hint="eastAsia" w:eastAsia="仿宋_GB2312" w:asciiTheme="minorHAnsi" w:hAnsiTheme="minorHAnsi" w:cstheme="minorBidi"/>
          <w:color w:val="auto"/>
          <w:kern w:val="2"/>
          <w:sz w:val="32"/>
          <w:szCs w:val="32"/>
          <w:lang w:val="en-US" w:eastAsia="zh-CN" w:bidi="ar-SA"/>
        </w:rPr>
      </w:pPr>
      <w:r>
        <w:rPr>
          <w:rFonts w:hint="eastAsia" w:ascii="Times New Roman" w:hAnsi="Times New Roman" w:eastAsia="仿宋_GB2312"/>
          <w:b/>
          <w:bCs/>
          <w:sz w:val="32"/>
          <w:szCs w:val="32"/>
        </w:rPr>
        <w:t xml:space="preserve">     </w:t>
      </w:r>
      <w:r>
        <w:rPr>
          <w:rFonts w:hint="eastAsia" w:eastAsia="仿宋_GB2312" w:asciiTheme="minorHAnsi" w:hAnsiTheme="minorHAnsi" w:cstheme="minorBidi"/>
          <w:color w:val="auto"/>
          <w:kern w:val="2"/>
          <w:sz w:val="32"/>
          <w:szCs w:val="32"/>
          <w:lang w:val="en-US" w:eastAsia="zh-CN" w:bidi="ar-SA"/>
        </w:rPr>
        <w:t>本单位从运行成本、管理效率、社会效益、可持续发展和服务对象满意度各预算支出执行中均完成绩效目标，其中，履职效能执行偏离绩效目标原因：项目资金安排有限，移民要求解决实际困难的问题较多，需要财政资金补助生活需求和项目扶持较多，矛盾较突出。措施：财政部门在安排移民资金时，要结合当前乡村振兴政策，加大对移民部门各项资金投入力度，保障移民工作经费，以便更快使移民生活水平得到更大提高，移民产业得到快速发展。</w:t>
      </w:r>
    </w:p>
    <w:p w14:paraId="692F5F14">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jc w:val="left"/>
        <w:rPr>
          <w:rFonts w:hint="eastAsia" w:ascii="Times New Roman" w:hAnsi="Times New Roman" w:eastAsia="仿宋_GB2312"/>
          <w:b w:val="0"/>
          <w:bCs w:val="0"/>
          <w:sz w:val="32"/>
          <w:szCs w:val="32"/>
          <w:lang w:val="en-US" w:eastAsia="zh-CN"/>
        </w:rPr>
      </w:pPr>
    </w:p>
    <w:p w14:paraId="463C4AD9">
      <w:pPr>
        <w:pStyle w:val="12"/>
        <w:spacing w:line="600" w:lineRule="exact"/>
        <w:rPr>
          <w:rFonts w:hint="eastAsia" w:ascii="Times New Roman" w:hAnsi="Times New Roman" w:eastAsia="仿宋_GB2312" w:cs="黑体"/>
          <w:color w:val="000000"/>
          <w:kern w:val="0"/>
          <w:sz w:val="32"/>
          <w:szCs w:val="32"/>
          <w:lang w:val="en-US" w:eastAsia="zh-CN" w:bidi="ar-SA"/>
        </w:rPr>
      </w:pPr>
    </w:p>
    <w:p w14:paraId="4C1AABA6">
      <w:pPr>
        <w:pStyle w:val="12"/>
        <w:jc w:val="center"/>
        <w:rPr>
          <w:sz w:val="72"/>
          <w:szCs w:val="72"/>
        </w:rPr>
      </w:pPr>
    </w:p>
    <w:p w14:paraId="442FC9C8">
      <w:pPr>
        <w:pStyle w:val="12"/>
        <w:jc w:val="center"/>
        <w:rPr>
          <w:sz w:val="72"/>
          <w:szCs w:val="72"/>
        </w:rPr>
      </w:pPr>
    </w:p>
    <w:p w14:paraId="15C94AD8">
      <w:pPr>
        <w:pStyle w:val="12"/>
        <w:jc w:val="center"/>
        <w:rPr>
          <w:sz w:val="72"/>
          <w:szCs w:val="72"/>
        </w:rPr>
      </w:pPr>
    </w:p>
    <w:p w14:paraId="69B446F5">
      <w:pPr>
        <w:pStyle w:val="12"/>
        <w:jc w:val="center"/>
        <w:rPr>
          <w:sz w:val="72"/>
          <w:szCs w:val="72"/>
        </w:rPr>
      </w:pPr>
    </w:p>
    <w:p w14:paraId="5219C182">
      <w:pPr>
        <w:pStyle w:val="12"/>
        <w:jc w:val="center"/>
        <w:rPr>
          <w:sz w:val="72"/>
          <w:szCs w:val="72"/>
        </w:rPr>
      </w:pPr>
    </w:p>
    <w:p w14:paraId="5E84609E">
      <w:pPr>
        <w:pStyle w:val="12"/>
        <w:jc w:val="both"/>
        <w:rPr>
          <w:rFonts w:ascii="方正小标宋_GBK" w:hAnsi="方正小标宋_GBK" w:eastAsia="方正小标宋_GBK" w:cs="方正小标宋_GBK"/>
          <w:sz w:val="72"/>
          <w:szCs w:val="72"/>
        </w:rPr>
      </w:pPr>
    </w:p>
    <w:p w14:paraId="2137CBAB">
      <w:pPr>
        <w:pStyle w:val="12"/>
        <w:jc w:val="center"/>
        <w:rPr>
          <w:rFonts w:ascii="方正小标宋_GBK" w:hAnsi="方正小标宋_GBK" w:eastAsia="方正小标宋_GBK" w:cs="方正小标宋_GBK"/>
          <w:sz w:val="72"/>
          <w:szCs w:val="72"/>
        </w:rPr>
      </w:pPr>
    </w:p>
    <w:p w14:paraId="330AEEE3">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C480924">
      <w:pPr>
        <w:jc w:val="center"/>
        <w:rPr>
          <w:rFonts w:ascii="方正小标宋_GBK" w:hAnsi="方正小标宋_GBK" w:eastAsia="方正小标宋_GBK" w:cs="方正小标宋_GBK"/>
          <w:color w:val="000000"/>
          <w:kern w:val="0"/>
          <w:sz w:val="70"/>
          <w:szCs w:val="70"/>
        </w:rPr>
      </w:pPr>
    </w:p>
    <w:p w14:paraId="4BC285D3">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7C94421">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1371887">
      <w:pPr>
        <w:widowControl/>
        <w:numPr>
          <w:ilvl w:val="0"/>
          <w:numId w:val="4"/>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财政拨款收入：指财政当年拨付的资金，主要包括一般公共预算财政拨款，政府性基金预算财政拨款，国有资本经营预算财政拨款。</w:t>
      </w:r>
    </w:p>
    <w:p w14:paraId="29B22474">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二、上级补助收入：指事业单位从主管部门和上级单位取得的非财政补助收入。 </w:t>
      </w:r>
    </w:p>
    <w:p w14:paraId="23115EB2">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三、事业收入：指事业单位开展专业业务活动及辅助活动所取得的收入。 </w:t>
      </w:r>
    </w:p>
    <w:p w14:paraId="26CC7799">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四、经营收入：指事业单位在专业业务活动及其辅助活动之外开展非独立核算经营活动取得的收入。 </w:t>
      </w:r>
    </w:p>
    <w:p w14:paraId="35AF38BC">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五、附属单位上缴收入：指事业单位附属独立核算单位按照有关规定上缴的收入。 </w:t>
      </w:r>
    </w:p>
    <w:p w14:paraId="110D5D66">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六、其他收入：指除上述“财政拨款收入”、“事业收入”、“经营收入”等以外的收入。 </w:t>
      </w:r>
    </w:p>
    <w:p w14:paraId="22129BC8">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七、基本支出：指为保障机构正常运转、完成日常工作任务而发生的各项支出，包括人员支出和公用支出。  </w:t>
      </w:r>
    </w:p>
    <w:p w14:paraId="7BA13440">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八、项目支出：指在基本支出以外为完成相关行政任务和事业发展目标所发生的各项支出。  </w:t>
      </w:r>
    </w:p>
    <w:p w14:paraId="787E0BF0">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九、“三公”经费：指通过财政拨款资金安排的因公出国（境）费、公务用车购置及运行费和公务接待费支出。  </w:t>
      </w:r>
    </w:p>
    <w:p w14:paraId="07B14A4D">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2AE34F5">
      <w:pPr>
        <w:pStyle w:val="12"/>
        <w:spacing w:line="600" w:lineRule="exact"/>
        <w:ind w:firstLine="720" w:firstLineChars="200"/>
        <w:rPr>
          <w:rFonts w:ascii="Times New Roman" w:hAnsi="Times New Roman" w:eastAsia="仿宋_GB2312"/>
          <w:b/>
          <w:bCs/>
          <w:color w:val="FF0000"/>
          <w:sz w:val="36"/>
          <w:szCs w:val="36"/>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85BFC"/>
    <w:multiLevelType w:val="singleLevel"/>
    <w:tmpl w:val="A6285BFC"/>
    <w:lvl w:ilvl="0" w:tentative="0">
      <w:start w:val="2"/>
      <w:numFmt w:val="chineseCounting"/>
      <w:suff w:val="nothing"/>
      <w:lvlText w:val="%1、"/>
      <w:lvlJc w:val="left"/>
      <w:rPr>
        <w:rFonts w:hint="eastAsia"/>
      </w:rPr>
    </w:lvl>
  </w:abstractNum>
  <w:abstractNum w:abstractNumId="1">
    <w:nsid w:val="D64472DD"/>
    <w:multiLevelType w:val="singleLevel"/>
    <w:tmpl w:val="D64472DD"/>
    <w:lvl w:ilvl="0" w:tentative="0">
      <w:start w:val="2"/>
      <w:numFmt w:val="chineseCounting"/>
      <w:suff w:val="nothing"/>
      <w:lvlText w:val="%1、"/>
      <w:lvlJc w:val="left"/>
      <w:rPr>
        <w:rFonts w:hint="eastAsia"/>
      </w:rPr>
    </w:lvl>
  </w:abstractNum>
  <w:abstractNum w:abstractNumId="2">
    <w:nsid w:val="D9E3DA24"/>
    <w:multiLevelType w:val="singleLevel"/>
    <w:tmpl w:val="D9E3DA24"/>
    <w:lvl w:ilvl="0" w:tentative="0">
      <w:start w:val="1"/>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DA4MDRkNzdmOTlmNzczNjc3MzYyZGQ2NTU4NjkifQ=="/>
  </w:docVars>
  <w:rsids>
    <w:rsidRoot w:val="004506F9"/>
    <w:rsid w:val="0002229B"/>
    <w:rsid w:val="000273BD"/>
    <w:rsid w:val="00040CBC"/>
    <w:rsid w:val="000415B7"/>
    <w:rsid w:val="00041E3F"/>
    <w:rsid w:val="00055DAA"/>
    <w:rsid w:val="00061F7B"/>
    <w:rsid w:val="000658A3"/>
    <w:rsid w:val="00074155"/>
    <w:rsid w:val="00081E9F"/>
    <w:rsid w:val="000A3F69"/>
    <w:rsid w:val="00103957"/>
    <w:rsid w:val="00135A24"/>
    <w:rsid w:val="00152C6D"/>
    <w:rsid w:val="00162D39"/>
    <w:rsid w:val="001678BD"/>
    <w:rsid w:val="00182373"/>
    <w:rsid w:val="001A67DB"/>
    <w:rsid w:val="001C3C29"/>
    <w:rsid w:val="001D51E5"/>
    <w:rsid w:val="001E080D"/>
    <w:rsid w:val="001E53D0"/>
    <w:rsid w:val="001F0C3B"/>
    <w:rsid w:val="00202C82"/>
    <w:rsid w:val="00214427"/>
    <w:rsid w:val="00226CB7"/>
    <w:rsid w:val="00237CD1"/>
    <w:rsid w:val="00264552"/>
    <w:rsid w:val="00264EF9"/>
    <w:rsid w:val="00265724"/>
    <w:rsid w:val="0027426B"/>
    <w:rsid w:val="00277039"/>
    <w:rsid w:val="002E09C3"/>
    <w:rsid w:val="002E0A30"/>
    <w:rsid w:val="003071E0"/>
    <w:rsid w:val="003130C4"/>
    <w:rsid w:val="00316C4B"/>
    <w:rsid w:val="0032192B"/>
    <w:rsid w:val="003479BD"/>
    <w:rsid w:val="0037197D"/>
    <w:rsid w:val="003768D5"/>
    <w:rsid w:val="003926B9"/>
    <w:rsid w:val="003A47DE"/>
    <w:rsid w:val="003C47E6"/>
    <w:rsid w:val="003C4FC2"/>
    <w:rsid w:val="003D5B7E"/>
    <w:rsid w:val="00402E9E"/>
    <w:rsid w:val="004140F7"/>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E5D83"/>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31298"/>
    <w:rsid w:val="00787B42"/>
    <w:rsid w:val="007C4539"/>
    <w:rsid w:val="007F3657"/>
    <w:rsid w:val="00812ED5"/>
    <w:rsid w:val="008277D9"/>
    <w:rsid w:val="0084478C"/>
    <w:rsid w:val="0086638C"/>
    <w:rsid w:val="008A3E8D"/>
    <w:rsid w:val="009237C4"/>
    <w:rsid w:val="00937BC4"/>
    <w:rsid w:val="00944C48"/>
    <w:rsid w:val="00950252"/>
    <w:rsid w:val="00967F5D"/>
    <w:rsid w:val="009A0F95"/>
    <w:rsid w:val="009B3ADF"/>
    <w:rsid w:val="009C3B52"/>
    <w:rsid w:val="009E6817"/>
    <w:rsid w:val="009E6E9A"/>
    <w:rsid w:val="009F128A"/>
    <w:rsid w:val="00A01D2B"/>
    <w:rsid w:val="00A42218"/>
    <w:rsid w:val="00A70249"/>
    <w:rsid w:val="00A70B02"/>
    <w:rsid w:val="00A71D9F"/>
    <w:rsid w:val="00A92E9F"/>
    <w:rsid w:val="00AB18FF"/>
    <w:rsid w:val="00B0453A"/>
    <w:rsid w:val="00B27658"/>
    <w:rsid w:val="00B33BEA"/>
    <w:rsid w:val="00B40032"/>
    <w:rsid w:val="00B57C9F"/>
    <w:rsid w:val="00B63572"/>
    <w:rsid w:val="00B845B3"/>
    <w:rsid w:val="00B85D8B"/>
    <w:rsid w:val="00B92A87"/>
    <w:rsid w:val="00BB4A40"/>
    <w:rsid w:val="00BD3DF3"/>
    <w:rsid w:val="00BD6C3E"/>
    <w:rsid w:val="00BE3674"/>
    <w:rsid w:val="00C10681"/>
    <w:rsid w:val="00C3049A"/>
    <w:rsid w:val="00C307FF"/>
    <w:rsid w:val="00C31B1E"/>
    <w:rsid w:val="00C77645"/>
    <w:rsid w:val="00CE04C3"/>
    <w:rsid w:val="00CE76A0"/>
    <w:rsid w:val="00D148C6"/>
    <w:rsid w:val="00D16C00"/>
    <w:rsid w:val="00D17A8A"/>
    <w:rsid w:val="00D415BA"/>
    <w:rsid w:val="00D63780"/>
    <w:rsid w:val="00D644EE"/>
    <w:rsid w:val="00DD06FF"/>
    <w:rsid w:val="00DD5FE9"/>
    <w:rsid w:val="00E00C7A"/>
    <w:rsid w:val="00E37D6C"/>
    <w:rsid w:val="00E55B68"/>
    <w:rsid w:val="00E561AE"/>
    <w:rsid w:val="00E67BE6"/>
    <w:rsid w:val="00E8683C"/>
    <w:rsid w:val="00EA2B72"/>
    <w:rsid w:val="00F73EB3"/>
    <w:rsid w:val="00F74360"/>
    <w:rsid w:val="00FB462F"/>
    <w:rsid w:val="00FD0EED"/>
    <w:rsid w:val="00FE16FA"/>
    <w:rsid w:val="00FE328A"/>
    <w:rsid w:val="00FE6269"/>
    <w:rsid w:val="00FF5CD6"/>
    <w:rsid w:val="028422ED"/>
    <w:rsid w:val="047B04DC"/>
    <w:rsid w:val="04CC5FF5"/>
    <w:rsid w:val="05E337FC"/>
    <w:rsid w:val="0BEE7CFD"/>
    <w:rsid w:val="0D6F3D3F"/>
    <w:rsid w:val="0D8A3778"/>
    <w:rsid w:val="0DE10621"/>
    <w:rsid w:val="12B7399E"/>
    <w:rsid w:val="12C94B15"/>
    <w:rsid w:val="142D3D3C"/>
    <w:rsid w:val="16DA2B20"/>
    <w:rsid w:val="16FB7986"/>
    <w:rsid w:val="18AD22E9"/>
    <w:rsid w:val="194859F8"/>
    <w:rsid w:val="19FB22BA"/>
    <w:rsid w:val="1A0E3AB4"/>
    <w:rsid w:val="1BE343F4"/>
    <w:rsid w:val="1BE72CBE"/>
    <w:rsid w:val="1C4E1577"/>
    <w:rsid w:val="1C8B3D29"/>
    <w:rsid w:val="1CAC39B6"/>
    <w:rsid w:val="1CD87093"/>
    <w:rsid w:val="1E0D658A"/>
    <w:rsid w:val="1EAB17ED"/>
    <w:rsid w:val="245D1763"/>
    <w:rsid w:val="27445EBF"/>
    <w:rsid w:val="27974665"/>
    <w:rsid w:val="283536C5"/>
    <w:rsid w:val="285A3E36"/>
    <w:rsid w:val="289160F1"/>
    <w:rsid w:val="28F97E9A"/>
    <w:rsid w:val="29F70417"/>
    <w:rsid w:val="2CBE225A"/>
    <w:rsid w:val="2DE108FA"/>
    <w:rsid w:val="2E9547C4"/>
    <w:rsid w:val="2EB02833"/>
    <w:rsid w:val="2F67799C"/>
    <w:rsid w:val="2F7D1D36"/>
    <w:rsid w:val="2FDB53C0"/>
    <w:rsid w:val="303A3D80"/>
    <w:rsid w:val="319E0088"/>
    <w:rsid w:val="33BD210D"/>
    <w:rsid w:val="3425795C"/>
    <w:rsid w:val="351E0FBF"/>
    <w:rsid w:val="35382B63"/>
    <w:rsid w:val="383F5A71"/>
    <w:rsid w:val="38DE1187"/>
    <w:rsid w:val="3A263E74"/>
    <w:rsid w:val="3A35633F"/>
    <w:rsid w:val="3BDF3480"/>
    <w:rsid w:val="3C4B742A"/>
    <w:rsid w:val="3C5F361E"/>
    <w:rsid w:val="3D792D3C"/>
    <w:rsid w:val="3DBB7565"/>
    <w:rsid w:val="3ED862C8"/>
    <w:rsid w:val="405540A0"/>
    <w:rsid w:val="42DF6602"/>
    <w:rsid w:val="442C432A"/>
    <w:rsid w:val="45101210"/>
    <w:rsid w:val="476845ED"/>
    <w:rsid w:val="48CF3DC3"/>
    <w:rsid w:val="49B47C46"/>
    <w:rsid w:val="4AFE1776"/>
    <w:rsid w:val="4B02564D"/>
    <w:rsid w:val="4B183DBB"/>
    <w:rsid w:val="52374280"/>
    <w:rsid w:val="52CB6777"/>
    <w:rsid w:val="534E0404"/>
    <w:rsid w:val="56B6146D"/>
    <w:rsid w:val="5777D4F5"/>
    <w:rsid w:val="589570CB"/>
    <w:rsid w:val="59A0095D"/>
    <w:rsid w:val="59FD5A9E"/>
    <w:rsid w:val="5BD815C8"/>
    <w:rsid w:val="5C5F022E"/>
    <w:rsid w:val="5C6507D2"/>
    <w:rsid w:val="5E8D2D9D"/>
    <w:rsid w:val="5EBD5B0D"/>
    <w:rsid w:val="5FC6BB1E"/>
    <w:rsid w:val="5FF720F1"/>
    <w:rsid w:val="612F440A"/>
    <w:rsid w:val="61CA2781"/>
    <w:rsid w:val="623103B6"/>
    <w:rsid w:val="62652744"/>
    <w:rsid w:val="65B04F76"/>
    <w:rsid w:val="66147141"/>
    <w:rsid w:val="66664EDE"/>
    <w:rsid w:val="66A933C3"/>
    <w:rsid w:val="67F178E9"/>
    <w:rsid w:val="691B3B5C"/>
    <w:rsid w:val="69485AB3"/>
    <w:rsid w:val="70A628A5"/>
    <w:rsid w:val="71931FAF"/>
    <w:rsid w:val="734D525A"/>
    <w:rsid w:val="737D59BA"/>
    <w:rsid w:val="744B3713"/>
    <w:rsid w:val="74DD43BC"/>
    <w:rsid w:val="77C37683"/>
    <w:rsid w:val="794C1FBB"/>
    <w:rsid w:val="79FF515B"/>
    <w:rsid w:val="7A0A6111"/>
    <w:rsid w:val="7A6301DE"/>
    <w:rsid w:val="7B275BDA"/>
    <w:rsid w:val="7C6D795F"/>
    <w:rsid w:val="7E9276B5"/>
    <w:rsid w:val="7E9F11B4"/>
    <w:rsid w:val="7FC69637"/>
    <w:rsid w:val="7FDC2280"/>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qFormat/>
    <w:uiPriority w:val="0"/>
    <w:pPr>
      <w:ind w:left="420"/>
    </w:p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customStyle="1" w:styleId="18">
    <w:name w:val="TOC1"/>
    <w:basedOn w:val="1"/>
    <w:qFormat/>
    <w:uiPriority w:val="0"/>
    <w:pPr>
      <w:spacing w:after="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7182</Words>
  <Characters>7677</Characters>
  <Lines>80</Lines>
  <Paragraphs>22</Paragraphs>
  <TotalTime>13</TotalTime>
  <ScaleCrop>false</ScaleCrop>
  <LinksUpToDate>false</LinksUpToDate>
  <CharactersWithSpaces>7723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dcterms:modified xsi:type="dcterms:W3CDTF">2024-10-15T02:34:10Z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39B453BBF4D940FA9EAAB88F97720180_12</vt:lpwstr>
  </property>
</Properties>
</file>