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F099">
      <w:pPr>
        <w:ind w:firstLine="320" w:firstLineChars="100"/>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3-1</w:t>
      </w:r>
    </w:p>
    <w:p w14:paraId="1FEDE184">
      <w:pPr>
        <w:spacing w:line="70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企业服务年强化大抓环境行动责任清单</w:t>
      </w:r>
    </w:p>
    <w:tbl>
      <w:tblPr>
        <w:tblStyle w:val="5"/>
        <w:tblW w:w="14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98"/>
        <w:gridCol w:w="13526"/>
      </w:tblGrid>
      <w:tr w14:paraId="329E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tblHeader/>
          <w:jc w:val="center"/>
        </w:trPr>
        <w:tc>
          <w:tcPr>
            <w:tcW w:w="898" w:type="dxa"/>
            <w:vAlign w:val="center"/>
          </w:tcPr>
          <w:p w14:paraId="7079CE19">
            <w:pPr>
              <w:jc w:val="center"/>
              <w:rPr>
                <w:rFonts w:ascii="Times New Roman" w:hAnsi="Times New Roman" w:eastAsia="黑体" w:cs="Times New Roman"/>
              </w:rPr>
            </w:pPr>
            <w:r>
              <w:rPr>
                <w:rFonts w:ascii="Times New Roman" w:hAnsi="黑体" w:eastAsia="黑体" w:cs="Times New Roman"/>
              </w:rPr>
              <w:t>总体</w:t>
            </w:r>
          </w:p>
          <w:p w14:paraId="4B4CEA56">
            <w:pPr>
              <w:jc w:val="center"/>
              <w:rPr>
                <w:rFonts w:ascii="Times New Roman" w:hAnsi="Times New Roman" w:eastAsia="黑体" w:cs="Times New Roman"/>
              </w:rPr>
            </w:pPr>
            <w:r>
              <w:rPr>
                <w:rFonts w:ascii="Times New Roman" w:hAnsi="黑体" w:eastAsia="黑体" w:cs="Times New Roman"/>
              </w:rPr>
              <w:t>目标</w:t>
            </w:r>
          </w:p>
        </w:tc>
        <w:tc>
          <w:tcPr>
            <w:tcW w:w="13526" w:type="dxa"/>
            <w:vAlign w:val="center"/>
          </w:tcPr>
          <w:p w14:paraId="749725DD">
            <w:pPr>
              <w:spacing w:line="280" w:lineRule="exact"/>
              <w:ind w:firstLine="420" w:firstLineChars="200"/>
              <w:rPr>
                <w:rFonts w:ascii="Times New Roman" w:hAnsi="Times New Roman" w:eastAsia="黑体" w:cs="Times New Roman"/>
              </w:rPr>
            </w:pPr>
            <w:r>
              <w:rPr>
                <w:rFonts w:ascii="Times New Roman" w:cs="Times New Roman"/>
              </w:rPr>
              <w:t>推动政务服务效能显著提升，拓展</w:t>
            </w:r>
            <w:r>
              <w:rPr>
                <w:rFonts w:ascii="Times New Roman" w:hAnsi="Times New Roman" w:cs="Times New Roman"/>
              </w:rPr>
              <w:t>“</w:t>
            </w:r>
            <w:r>
              <w:rPr>
                <w:rFonts w:ascii="Times New Roman" w:cs="Times New Roman"/>
              </w:rPr>
              <w:t>湘易办</w:t>
            </w:r>
            <w:r>
              <w:rPr>
                <w:rFonts w:ascii="Times New Roman" w:hAnsi="Times New Roman" w:cs="Times New Roman"/>
              </w:rPr>
              <w:t>”“</w:t>
            </w:r>
            <w:r>
              <w:rPr>
                <w:rFonts w:ascii="Times New Roman" w:cs="Times New Roman"/>
              </w:rPr>
              <w:t>一网通办</w:t>
            </w:r>
            <w:r>
              <w:rPr>
                <w:rFonts w:ascii="Times New Roman" w:hAnsi="Times New Roman" w:cs="Times New Roman"/>
              </w:rPr>
              <w:t>”</w:t>
            </w:r>
            <w:r>
              <w:rPr>
                <w:rFonts w:ascii="Times New Roman" w:cs="Times New Roman"/>
              </w:rPr>
              <w:t>，深化</w:t>
            </w:r>
            <w:r>
              <w:rPr>
                <w:rFonts w:ascii="Times New Roman" w:hAnsi="Times New Roman" w:cs="Times New Roman"/>
              </w:rPr>
              <w:t>“</w:t>
            </w:r>
            <w:r>
              <w:rPr>
                <w:rFonts w:ascii="Times New Roman" w:cs="Times New Roman"/>
              </w:rPr>
              <w:t>高效办成一件事</w:t>
            </w:r>
            <w:r>
              <w:rPr>
                <w:rFonts w:ascii="Times New Roman" w:hAnsi="Times New Roman" w:cs="Times New Roman"/>
              </w:rPr>
              <w:t>”</w:t>
            </w:r>
            <w:r>
              <w:rPr>
                <w:rFonts w:ascii="Times New Roman" w:cs="Times New Roman"/>
              </w:rPr>
              <w:t>。持续增强要素保障能力，强化金融支撑，构建多式联运物流体系，优化园区用电机制，水电气网联办服务全面推行。推动降本增效成效全面显现，落实惠企政策</w:t>
            </w:r>
            <w:r>
              <w:rPr>
                <w:rFonts w:ascii="Times New Roman" w:hAnsi="Times New Roman" w:cs="Times New Roman"/>
              </w:rPr>
              <w:t>“</w:t>
            </w:r>
            <w:r>
              <w:rPr>
                <w:rFonts w:ascii="Times New Roman" w:cs="Times New Roman"/>
              </w:rPr>
              <w:t>免申即享</w:t>
            </w:r>
            <w:r>
              <w:rPr>
                <w:rFonts w:ascii="Times New Roman" w:hAnsi="Times New Roman" w:cs="Times New Roman"/>
              </w:rPr>
              <w:t>”</w:t>
            </w:r>
            <w:r>
              <w:rPr>
                <w:rFonts w:ascii="Times New Roman" w:cs="Times New Roman"/>
              </w:rPr>
              <w:t>，推动企业融资、物流、用工、用地等综合成本稳步下降。全面规范监管执法，推行</w:t>
            </w:r>
            <w:r>
              <w:rPr>
                <w:rFonts w:ascii="Times New Roman" w:hAnsi="Times New Roman" w:cs="Times New Roman"/>
              </w:rPr>
              <w:t>“</w:t>
            </w:r>
            <w:r>
              <w:rPr>
                <w:rFonts w:ascii="Times New Roman" w:cs="Times New Roman"/>
              </w:rPr>
              <w:t>扫码入企、联合督查</w:t>
            </w:r>
            <w:r>
              <w:rPr>
                <w:rFonts w:ascii="Times New Roman" w:hAnsi="Times New Roman" w:cs="Times New Roman"/>
              </w:rPr>
              <w:t>”</w:t>
            </w:r>
            <w:r>
              <w:rPr>
                <w:rFonts w:ascii="Times New Roman" w:cs="Times New Roman"/>
              </w:rPr>
              <w:t>，深化跨部门联合检查、柔性执法、包容审慎监管。推动企业权益保护坚实有力，有效纠治涉企执法司法突出问题，强化知识产权协同保护，深入推进政务失信整治，健全拖欠企业账款预防化解机制。推动政商关系亲清有为，全面落实领导干部联系商协会和民营企业制度，</w:t>
            </w:r>
            <w:bookmarkStart w:id="0" w:name="_GoBack"/>
            <w:bookmarkEnd w:id="0"/>
            <w:r>
              <w:rPr>
                <w:rFonts w:ascii="Times New Roman" w:cs="Times New Roman"/>
              </w:rPr>
              <w:t>畅通政企沟通渠道，明晰政商交往</w:t>
            </w:r>
            <w:r>
              <w:rPr>
                <w:rFonts w:ascii="Times New Roman" w:hAnsi="Times New Roman" w:cs="Times New Roman"/>
              </w:rPr>
              <w:t>“</w:t>
            </w:r>
            <w:r>
              <w:rPr>
                <w:rFonts w:ascii="Times New Roman" w:cs="Times New Roman"/>
              </w:rPr>
              <w:t>三张清单</w:t>
            </w:r>
            <w:r>
              <w:rPr>
                <w:rFonts w:ascii="Times New Roman" w:hAnsi="Times New Roman" w:cs="Times New Roman"/>
              </w:rPr>
              <w:t>”</w:t>
            </w:r>
            <w:r>
              <w:rPr>
                <w:rFonts w:ascii="Times New Roman" w:cs="Times New Roman"/>
              </w:rPr>
              <w:t>。到</w:t>
            </w:r>
            <w:r>
              <w:rPr>
                <w:rFonts w:ascii="Times New Roman" w:hAnsi="Times New Roman" w:cs="Times New Roman"/>
              </w:rPr>
              <w:t>2026</w:t>
            </w:r>
            <w:r>
              <w:rPr>
                <w:rFonts w:ascii="Times New Roman" w:cs="Times New Roman"/>
              </w:rPr>
              <w:t>年底，推动全市营商环境问题处置率和经营主体满意度持续提高，打造一批具有永州特色的营商环境品牌。</w:t>
            </w:r>
          </w:p>
        </w:tc>
      </w:tr>
      <w:tr w14:paraId="68DE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tblHeader/>
          <w:jc w:val="center"/>
        </w:trPr>
        <w:tc>
          <w:tcPr>
            <w:tcW w:w="898" w:type="dxa"/>
            <w:vAlign w:val="center"/>
          </w:tcPr>
          <w:p w14:paraId="48E34AB2">
            <w:pPr>
              <w:jc w:val="center"/>
              <w:rPr>
                <w:rFonts w:ascii="Times New Roman" w:hAnsi="Times New Roman" w:eastAsia="黑体" w:cs="Times New Roman"/>
              </w:rPr>
            </w:pPr>
            <w:r>
              <w:rPr>
                <w:rFonts w:ascii="Times New Roman" w:hAnsi="黑体" w:eastAsia="黑体" w:cs="Times New Roman"/>
              </w:rPr>
              <w:t>工作</w:t>
            </w:r>
          </w:p>
          <w:p w14:paraId="5CDAA0AA">
            <w:pPr>
              <w:jc w:val="center"/>
              <w:rPr>
                <w:rFonts w:ascii="Times New Roman" w:hAnsi="Times New Roman" w:eastAsia="黑体" w:cs="Times New Roman"/>
              </w:rPr>
            </w:pPr>
            <w:r>
              <w:rPr>
                <w:rFonts w:ascii="Times New Roman" w:hAnsi="黑体" w:eastAsia="黑体" w:cs="Times New Roman"/>
              </w:rPr>
              <w:t>机制</w:t>
            </w:r>
          </w:p>
        </w:tc>
        <w:tc>
          <w:tcPr>
            <w:tcW w:w="13526" w:type="dxa"/>
            <w:vAlign w:val="center"/>
          </w:tcPr>
          <w:p w14:paraId="5C71147E">
            <w:pPr>
              <w:spacing w:line="280" w:lineRule="exact"/>
              <w:ind w:firstLine="420" w:firstLineChars="200"/>
              <w:rPr>
                <w:rFonts w:ascii="Times New Roman" w:hAnsi="Times New Roman" w:eastAsia="黑体" w:cs="Times New Roman"/>
              </w:rPr>
            </w:pPr>
            <w:r>
              <w:rPr>
                <w:rFonts w:ascii="Times New Roman" w:cs="Times New Roman"/>
              </w:rPr>
              <w:t>建立企业服务年强化大抓环境行动工作专班，由</w:t>
            </w:r>
            <w:r>
              <w:rPr>
                <w:rFonts w:hint="eastAsia" w:ascii="Times New Roman" w:cs="Times New Roman"/>
              </w:rPr>
              <w:t>联系</w:t>
            </w:r>
            <w:r>
              <w:rPr>
                <w:rFonts w:ascii="Times New Roman" w:cs="Times New Roman"/>
              </w:rPr>
              <w:t>营商环境工作的市政府副秘书长牵头，市数据局（营商环境建设局）具体负责。工作责任单位包括市纪委监委、市委组织部、市委宣传部、市委统战部、市工商联、市委社会工作部、市委政法委、市委网信办、市政府办、市中级人民法院、市人民检察院、市发改委、市科技局、市工信局、市公安局、市司法局、市财政局、市人社局、市自然资源和规划局、市生态环境局、市住建局、市交通运输局、市审计局、市水利局、市农业农村局、市商务局、市文旅广体局、市国资委、市林业局、市市场监管局、市城市管理局、市国动办（人防办）、市融媒体中心、市公共资源交易中心、市税务局、中国人民银行永州市分行、永州金融监管分局、国网永州供电公司、永州海关、市邮政管理局、市港发集团、市城发集团、市经发集团等。</w:t>
            </w:r>
          </w:p>
        </w:tc>
      </w:tr>
    </w:tbl>
    <w:p w14:paraId="5AE958CB">
      <w:pPr>
        <w:spacing w:line="40" w:lineRule="exact"/>
        <w:jc w:val="center"/>
        <w:rPr>
          <w:rFonts w:ascii="Times New Roman" w:hAnsi="Times New Roman" w:eastAsia="黑体" w:cs="Times New Roman"/>
          <w:spacing w:val="-17"/>
        </w:rPr>
      </w:pPr>
    </w:p>
    <w:tbl>
      <w:tblPr>
        <w:tblStyle w:val="5"/>
        <w:tblW w:w="14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76"/>
        <w:gridCol w:w="1522"/>
        <w:gridCol w:w="10107"/>
        <w:gridCol w:w="1919"/>
      </w:tblGrid>
      <w:tr w14:paraId="5548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5" w:hRule="atLeast"/>
          <w:tblHeader/>
          <w:jc w:val="center"/>
        </w:trPr>
        <w:tc>
          <w:tcPr>
            <w:tcW w:w="876" w:type="dxa"/>
            <w:vAlign w:val="center"/>
          </w:tcPr>
          <w:p w14:paraId="3FA82B50">
            <w:pPr>
              <w:jc w:val="center"/>
              <w:rPr>
                <w:rFonts w:ascii="Times New Roman" w:hAnsi="Times New Roman" w:eastAsia="黑体" w:cs="Times New Roman"/>
              </w:rPr>
            </w:pPr>
            <w:r>
              <w:rPr>
                <w:rFonts w:ascii="Times New Roman" w:hAnsi="黑体" w:eastAsia="黑体" w:cs="Times New Roman"/>
                <w:spacing w:val="-17"/>
              </w:rPr>
              <w:t>重点任务</w:t>
            </w:r>
          </w:p>
        </w:tc>
        <w:tc>
          <w:tcPr>
            <w:tcW w:w="1522" w:type="dxa"/>
            <w:vAlign w:val="center"/>
          </w:tcPr>
          <w:p w14:paraId="42C46D36">
            <w:pPr>
              <w:jc w:val="center"/>
              <w:rPr>
                <w:rFonts w:ascii="Times New Roman" w:hAnsi="Times New Roman" w:eastAsia="黑体" w:cs="Times New Roman"/>
              </w:rPr>
            </w:pPr>
            <w:r>
              <w:rPr>
                <w:rFonts w:ascii="Times New Roman" w:hAnsi="黑体" w:eastAsia="黑体" w:cs="Times New Roman"/>
              </w:rPr>
              <w:t>工作要点</w:t>
            </w:r>
          </w:p>
        </w:tc>
        <w:tc>
          <w:tcPr>
            <w:tcW w:w="10107" w:type="dxa"/>
            <w:vAlign w:val="center"/>
          </w:tcPr>
          <w:p w14:paraId="1DD4E68F">
            <w:pPr>
              <w:jc w:val="center"/>
              <w:rPr>
                <w:rFonts w:ascii="Times New Roman" w:hAnsi="Times New Roman" w:eastAsia="黑体" w:cs="Times New Roman"/>
              </w:rPr>
            </w:pPr>
            <w:r>
              <w:rPr>
                <w:rFonts w:ascii="Times New Roman" w:hAnsi="黑体" w:eastAsia="黑体" w:cs="Times New Roman"/>
              </w:rPr>
              <w:t>具体举措</w:t>
            </w:r>
          </w:p>
        </w:tc>
        <w:tc>
          <w:tcPr>
            <w:tcW w:w="1919" w:type="dxa"/>
            <w:vAlign w:val="center"/>
          </w:tcPr>
          <w:p w14:paraId="0860F862">
            <w:pPr>
              <w:jc w:val="center"/>
              <w:rPr>
                <w:rFonts w:ascii="Times New Roman" w:hAnsi="Times New Roman" w:eastAsia="黑体" w:cs="Times New Roman"/>
              </w:rPr>
            </w:pPr>
            <w:r>
              <w:rPr>
                <w:rFonts w:ascii="Times New Roman" w:hAnsi="黑体" w:eastAsia="黑体" w:cs="Times New Roman"/>
              </w:rPr>
              <w:t>责任单位</w:t>
            </w:r>
          </w:p>
        </w:tc>
      </w:tr>
      <w:tr w14:paraId="6756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atLeast"/>
          <w:jc w:val="center"/>
        </w:trPr>
        <w:tc>
          <w:tcPr>
            <w:tcW w:w="14424" w:type="dxa"/>
            <w:gridSpan w:val="4"/>
            <w:vAlign w:val="center"/>
          </w:tcPr>
          <w:p w14:paraId="406D8D8A">
            <w:pPr>
              <w:jc w:val="center"/>
              <w:rPr>
                <w:rFonts w:ascii="Times New Roman" w:hAnsi="Times New Roman" w:eastAsia="黑体" w:cs="Times New Roman"/>
                <w:sz w:val="32"/>
                <w:szCs w:val="32"/>
              </w:rPr>
            </w:pPr>
            <w:r>
              <w:rPr>
                <w:rFonts w:ascii="Times New Roman" w:hAnsi="黑体" w:eastAsia="黑体" w:cs="Times New Roman"/>
                <w:sz w:val="32"/>
                <w:szCs w:val="32"/>
              </w:rPr>
              <w:t>一、开展全社会尊商重企行动</w:t>
            </w:r>
          </w:p>
        </w:tc>
      </w:tr>
      <w:tr w14:paraId="231D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jc w:val="center"/>
        </w:trPr>
        <w:tc>
          <w:tcPr>
            <w:tcW w:w="876" w:type="dxa"/>
            <w:vAlign w:val="center"/>
          </w:tcPr>
          <w:p w14:paraId="79098ACD">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（一）筑牢亲清新型政商关系</w:t>
            </w:r>
          </w:p>
        </w:tc>
        <w:tc>
          <w:tcPr>
            <w:tcW w:w="1522" w:type="dxa"/>
            <w:vAlign w:val="center"/>
          </w:tcPr>
          <w:p w14:paraId="1CA68A3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r>
              <w:rPr>
                <w:rFonts w:ascii="Times New Roman" w:hAnsi="宋体" w:eastAsia="宋体" w:cs="Times New Roman"/>
                <w:kern w:val="0"/>
                <w:sz w:val="22"/>
                <w:szCs w:val="22"/>
              </w:rPr>
              <w:t>完善</w:t>
            </w:r>
            <w:r>
              <w:rPr>
                <w:rFonts w:ascii="Times New Roman" w:cs="Times New Roman"/>
                <w:sz w:val="22"/>
                <w:szCs w:val="22"/>
              </w:rPr>
              <w:t>市级领导联系商协会、民营企业制度</w:t>
            </w:r>
          </w:p>
        </w:tc>
        <w:tc>
          <w:tcPr>
            <w:tcW w:w="10107" w:type="dxa"/>
            <w:vAlign w:val="center"/>
          </w:tcPr>
          <w:p w14:paraId="6D8833D4">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推动落实市级领导联系商协会制度，深化</w:t>
            </w:r>
            <w:r>
              <w:rPr>
                <w:rFonts w:hint="eastAsia" w:ascii="Times New Roman" w:hAnsi="宋体" w:eastAsia="宋体" w:cs="Times New Roman"/>
                <w:kern w:val="0"/>
                <w:sz w:val="22"/>
                <w:szCs w:val="22"/>
              </w:rPr>
              <w:t>对</w:t>
            </w:r>
            <w:r>
              <w:rPr>
                <w:rFonts w:ascii="Times New Roman" w:hAnsi="宋体" w:eastAsia="宋体" w:cs="Times New Roman"/>
                <w:kern w:val="0"/>
                <w:sz w:val="22"/>
                <w:szCs w:val="22"/>
              </w:rPr>
              <w:t>县市区及商协会、园区企业</w:t>
            </w:r>
            <w:r>
              <w:rPr>
                <w:rFonts w:hint="eastAsia" w:ascii="Times New Roman" w:hAnsi="宋体" w:eastAsia="宋体" w:cs="Times New Roman"/>
                <w:kern w:val="0"/>
                <w:sz w:val="22"/>
                <w:szCs w:val="22"/>
              </w:rPr>
              <w:t>的</w:t>
            </w:r>
            <w:r>
              <w:rPr>
                <w:rFonts w:ascii="Times New Roman" w:hAnsi="宋体" w:eastAsia="宋体" w:cs="Times New Roman"/>
                <w:kern w:val="0"/>
                <w:sz w:val="22"/>
                <w:szCs w:val="22"/>
              </w:rPr>
              <w:t>走访调研，建立工商联常态化联系机制，畅通政企沟通渠道，及时协调解决</w:t>
            </w:r>
            <w:r>
              <w:rPr>
                <w:rFonts w:hint="eastAsia" w:ascii="Times New Roman" w:hAnsi="宋体" w:eastAsia="宋体" w:cs="Times New Roman"/>
                <w:kern w:val="0"/>
                <w:sz w:val="22"/>
                <w:szCs w:val="22"/>
              </w:rPr>
              <w:t>企业</w:t>
            </w:r>
            <w:r>
              <w:rPr>
                <w:rFonts w:ascii="Times New Roman" w:hAnsi="宋体" w:eastAsia="宋体" w:cs="Times New Roman"/>
                <w:kern w:val="0"/>
                <w:sz w:val="22"/>
                <w:szCs w:val="22"/>
              </w:rPr>
              <w:t>诉求。依托</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万所联万会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及法律顾问团机制，联合公检法司开展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法治护航</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问需企业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活动，推进法律培训服务进商协会。推进商协会改革发展，开展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互学互促</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打造学习型商会，加强本地商会与江苏商会对接交流。</w:t>
            </w:r>
          </w:p>
        </w:tc>
        <w:tc>
          <w:tcPr>
            <w:tcW w:w="1919" w:type="dxa"/>
            <w:vAlign w:val="center"/>
          </w:tcPr>
          <w:p w14:paraId="58105875">
            <w:pPr>
              <w:widowControl/>
              <w:spacing w:line="280" w:lineRule="exact"/>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市委统战部、市工商联、市中级人民法院、市人民检察院等</w:t>
            </w:r>
            <w:r>
              <w:rPr>
                <w:rFonts w:hint="eastAsia" w:ascii="Times New Roman" w:hAnsi="宋体" w:eastAsia="宋体" w:cs="Times New Roman"/>
                <w:spacing w:val="-6"/>
                <w:kern w:val="0"/>
                <w:sz w:val="22"/>
                <w:szCs w:val="22"/>
              </w:rPr>
              <w:t>相</w:t>
            </w:r>
            <w:r>
              <w:rPr>
                <w:rFonts w:ascii="Times New Roman" w:hAnsi="宋体" w:eastAsia="宋体" w:cs="Times New Roman"/>
                <w:spacing w:val="-6"/>
                <w:kern w:val="0"/>
                <w:sz w:val="22"/>
                <w:szCs w:val="22"/>
              </w:rPr>
              <w:t>关单位</w:t>
            </w:r>
            <w:r>
              <w:rPr>
                <w:rFonts w:hint="eastAsia" w:ascii="Times New Roman" w:hAnsi="宋体" w:eastAsia="宋体" w:cs="Times New Roman"/>
                <w:spacing w:val="-6"/>
                <w:kern w:val="0"/>
                <w:sz w:val="22"/>
                <w:szCs w:val="22"/>
              </w:rPr>
              <w:t>，</w:t>
            </w:r>
            <w:r>
              <w:rPr>
                <w:rFonts w:hint="eastAsia" w:ascii="Times New Roman" w:cs="Times New Roman"/>
                <w:spacing w:val="-6"/>
              </w:rPr>
              <w:t>各县市区党委、政府，</w:t>
            </w:r>
            <w:r>
              <w:rPr>
                <w:rFonts w:hint="eastAsia" w:ascii="Times New Roman" w:hAnsi="宋体" w:eastAsia="宋体" w:cs="Times New Roman"/>
                <w:spacing w:val="-6"/>
                <w:kern w:val="0"/>
                <w:sz w:val="22"/>
                <w:szCs w:val="22"/>
              </w:rPr>
              <w:t>排第一位的为牵头单位，下同。</w:t>
            </w:r>
            <w:r>
              <w:rPr>
                <w:rFonts w:ascii="Times New Roman" w:cs="Times New Roman"/>
                <w:bCs/>
                <w:spacing w:val="-6"/>
              </w:rPr>
              <w:t>以下</w:t>
            </w:r>
            <w:r>
              <w:rPr>
                <w:rFonts w:hint="eastAsia" w:ascii="Times New Roman" w:cs="Times New Roman"/>
                <w:bCs/>
                <w:spacing w:val="-6"/>
              </w:rPr>
              <w:t>各项</w:t>
            </w:r>
            <w:r>
              <w:rPr>
                <w:rFonts w:ascii="Times New Roman" w:cs="Times New Roman"/>
                <w:bCs/>
                <w:spacing w:val="-6"/>
              </w:rPr>
              <w:t>均需县市区党委和政府</w:t>
            </w:r>
            <w:r>
              <w:rPr>
                <w:rFonts w:hint="eastAsia" w:ascii="Times New Roman" w:cs="Times New Roman"/>
                <w:bCs/>
                <w:spacing w:val="-6"/>
              </w:rPr>
              <w:t>、管理区、永州经开区</w:t>
            </w:r>
            <w:r>
              <w:rPr>
                <w:rFonts w:ascii="Times New Roman" w:cs="Times New Roman"/>
                <w:bCs/>
                <w:spacing w:val="-6"/>
              </w:rPr>
              <w:t>落实，不</w:t>
            </w:r>
            <w:r>
              <w:rPr>
                <w:rFonts w:hint="eastAsia" w:ascii="Times New Roman" w:cs="Times New Roman"/>
                <w:bCs/>
                <w:spacing w:val="-6"/>
              </w:rPr>
              <w:t>再单独列出。</w:t>
            </w:r>
          </w:p>
        </w:tc>
      </w:tr>
      <w:tr w14:paraId="5A57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2" w:hRule="atLeast"/>
          <w:jc w:val="center"/>
        </w:trPr>
        <w:tc>
          <w:tcPr>
            <w:tcW w:w="876" w:type="dxa"/>
            <w:vMerge w:val="restart"/>
            <w:vAlign w:val="center"/>
          </w:tcPr>
          <w:p w14:paraId="4305948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（一）筑牢亲清新型政商关系</w:t>
            </w:r>
          </w:p>
        </w:tc>
        <w:tc>
          <w:tcPr>
            <w:tcW w:w="1522" w:type="dxa"/>
            <w:shd w:val="clear" w:color="auto" w:fill="auto"/>
            <w:vAlign w:val="center"/>
          </w:tcPr>
          <w:p w14:paraId="4977E6D2">
            <w:pPr>
              <w:widowControl/>
              <w:textAlignment w:val="center"/>
              <w:rPr>
                <w:rFonts w:ascii="Times New Roman" w:hAnsi="Times New Roman" w:cs="Times New Roman"/>
                <w:sz w:val="22"/>
                <w:szCs w:val="22"/>
              </w:rPr>
            </w:pPr>
            <w:r>
              <w:rPr>
                <w:rFonts w:ascii="Times New Roman" w:hAnsi="Times New Roman" w:cs="Times New Roman"/>
                <w:sz w:val="22"/>
                <w:szCs w:val="22"/>
              </w:rPr>
              <w:t>2.</w:t>
            </w:r>
            <w:r>
              <w:rPr>
                <w:rFonts w:ascii="Times New Roman" w:cs="Times New Roman"/>
                <w:sz w:val="22"/>
                <w:szCs w:val="22"/>
              </w:rPr>
              <w:t>促进政企互动</w:t>
            </w:r>
          </w:p>
        </w:tc>
        <w:tc>
          <w:tcPr>
            <w:tcW w:w="10107" w:type="dxa"/>
            <w:shd w:val="clear" w:color="auto" w:fill="auto"/>
            <w:vAlign w:val="center"/>
          </w:tcPr>
          <w:p w14:paraId="6F557CDC">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常态化开展“走找想促”“送解优”活动</w:t>
            </w:r>
            <w:r>
              <w:rPr>
                <w:rFonts w:ascii="Times New Roman" w:hAnsi="宋体" w:eastAsia="宋体" w:cs="Times New Roman"/>
                <w:kern w:val="0"/>
                <w:sz w:val="22"/>
                <w:szCs w:val="22"/>
              </w:rPr>
              <w:t>，县处级以上领导干部带头，</w:t>
            </w:r>
            <w:r>
              <w:rPr>
                <w:rFonts w:ascii="Times New Roman" w:hAnsi="Times New Roman" w:eastAsia="宋体" w:cs="Times New Roman"/>
                <w:kern w:val="0"/>
                <w:sz w:val="22"/>
                <w:szCs w:val="22"/>
              </w:rPr>
              <w:t>组织市县部门深入基层、企业和项目一线走访调研，主动协调解决实际问题。</w:t>
            </w:r>
            <w:r>
              <w:rPr>
                <w:rFonts w:ascii="Times New Roman" w:cs="Times New Roman"/>
                <w:sz w:val="22"/>
                <w:szCs w:val="22"/>
              </w:rPr>
              <w:t>梳理</w:t>
            </w:r>
            <w:r>
              <w:rPr>
                <w:rFonts w:ascii="Times New Roman" w:hAnsi="Times New Roman" w:cs="Times New Roman"/>
                <w:sz w:val="22"/>
                <w:szCs w:val="22"/>
              </w:rPr>
              <w:t>“</w:t>
            </w:r>
            <w:r>
              <w:rPr>
                <w:rFonts w:ascii="Times New Roman" w:cs="Times New Roman"/>
                <w:sz w:val="22"/>
                <w:szCs w:val="22"/>
              </w:rPr>
              <w:t>走找想促</w:t>
            </w:r>
            <w:r>
              <w:rPr>
                <w:rFonts w:ascii="Times New Roman" w:hAnsi="Times New Roman" w:cs="Times New Roman"/>
                <w:sz w:val="22"/>
                <w:szCs w:val="22"/>
              </w:rPr>
              <w:t>”</w:t>
            </w:r>
            <w:r>
              <w:rPr>
                <w:rFonts w:ascii="Times New Roman" w:cs="Times New Roman"/>
                <w:sz w:val="22"/>
                <w:szCs w:val="22"/>
              </w:rPr>
              <w:t>调研信息系统中关于</w:t>
            </w:r>
            <w:r>
              <w:rPr>
                <w:rFonts w:ascii="Times New Roman" w:hAnsi="Times New Roman" w:cs="Times New Roman"/>
                <w:sz w:val="22"/>
                <w:szCs w:val="22"/>
              </w:rPr>
              <w:t>“</w:t>
            </w:r>
            <w:r>
              <w:rPr>
                <w:rFonts w:ascii="Times New Roman" w:cs="Times New Roman"/>
                <w:sz w:val="22"/>
                <w:szCs w:val="22"/>
              </w:rPr>
              <w:t>企业服务年</w:t>
            </w:r>
            <w:r>
              <w:rPr>
                <w:rFonts w:ascii="Times New Roman" w:hAnsi="Times New Roman" w:cs="Times New Roman"/>
                <w:sz w:val="22"/>
                <w:szCs w:val="22"/>
              </w:rPr>
              <w:t>”</w:t>
            </w:r>
            <w:r>
              <w:rPr>
                <w:rFonts w:ascii="Times New Roman" w:cs="Times New Roman"/>
                <w:sz w:val="22"/>
                <w:szCs w:val="22"/>
              </w:rPr>
              <w:t>行动的疑难杂症，每月定期反馈市营商环境工作领导小组办公室。</w:t>
            </w:r>
            <w:r>
              <w:rPr>
                <w:rFonts w:ascii="Times New Roman" w:hAnsi="宋体" w:eastAsia="宋体" w:cs="Times New Roman"/>
                <w:kern w:val="0"/>
                <w:sz w:val="22"/>
                <w:szCs w:val="22"/>
              </w:rPr>
              <w:t>聚焦</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企业服务年</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，组织特邀建议人开展调研建言，筛选优质建议转相关部门分析论证、推动转化。</w:t>
            </w:r>
          </w:p>
        </w:tc>
        <w:tc>
          <w:tcPr>
            <w:tcW w:w="1919" w:type="dxa"/>
            <w:shd w:val="clear" w:color="auto" w:fill="auto"/>
            <w:vAlign w:val="center"/>
          </w:tcPr>
          <w:p w14:paraId="10D73F29">
            <w:pPr>
              <w:widowControl/>
              <w:textAlignment w:val="center"/>
              <w:rPr>
                <w:rFonts w:ascii="Times New Roman" w:hAnsi="Times New Roman" w:cs="Times New Roman"/>
                <w:sz w:val="22"/>
                <w:szCs w:val="22"/>
              </w:rPr>
            </w:pPr>
            <w:r>
              <w:rPr>
                <w:rFonts w:ascii="Times New Roman" w:hAnsi="宋体" w:eastAsia="宋体" w:cs="Times New Roman"/>
                <w:spacing w:val="-6"/>
                <w:kern w:val="0"/>
                <w:sz w:val="22"/>
                <w:szCs w:val="22"/>
              </w:rPr>
              <w:t>市委社会工作部、市发改委、市工信局、市工商联等相关单位</w:t>
            </w:r>
          </w:p>
        </w:tc>
      </w:tr>
      <w:tr w14:paraId="4227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876" w:type="dxa"/>
            <w:vMerge w:val="continue"/>
            <w:vAlign w:val="center"/>
          </w:tcPr>
          <w:p w14:paraId="76EC3C52">
            <w:pPr>
              <w:widowControl/>
              <w:textAlignment w:val="center"/>
              <w:rPr>
                <w:rFonts w:ascii="Times New Roman" w:hAnsi="Times New Roman" w:eastAsia="宋体" w:cs="Times New Roman"/>
                <w:kern w:val="0"/>
                <w:sz w:val="22"/>
                <w:szCs w:val="22"/>
              </w:rPr>
            </w:pPr>
          </w:p>
        </w:tc>
        <w:tc>
          <w:tcPr>
            <w:tcW w:w="1522" w:type="dxa"/>
            <w:vAlign w:val="center"/>
          </w:tcPr>
          <w:p w14:paraId="7C40F22A">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w:t>
            </w:r>
            <w:r>
              <w:rPr>
                <w:rFonts w:ascii="Times New Roman" w:hAnsi="宋体" w:eastAsia="宋体" w:cs="Times New Roman"/>
                <w:kern w:val="0"/>
                <w:sz w:val="22"/>
                <w:szCs w:val="22"/>
              </w:rPr>
              <w:t>强化涉企问题处置</w:t>
            </w:r>
          </w:p>
        </w:tc>
        <w:tc>
          <w:tcPr>
            <w:tcW w:w="10107" w:type="dxa"/>
            <w:vAlign w:val="center"/>
          </w:tcPr>
          <w:p w14:paraId="205EBF8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依托营商环境诉求办理平台、</w:t>
            </w:r>
            <w:r>
              <w:rPr>
                <w:rFonts w:ascii="Times New Roman" w:hAnsi="Times New Roman" w:eastAsia="宋体" w:cs="Times New Roman"/>
                <w:kern w:val="0"/>
                <w:sz w:val="22"/>
                <w:szCs w:val="22"/>
              </w:rPr>
              <w:t>“12345”</w:t>
            </w:r>
            <w:r>
              <w:rPr>
                <w:rFonts w:ascii="Times New Roman" w:hAnsi="宋体" w:eastAsia="宋体" w:cs="Times New Roman"/>
                <w:kern w:val="0"/>
                <w:sz w:val="22"/>
                <w:szCs w:val="22"/>
              </w:rPr>
              <w:t>热线、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湘易办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政企通、民生栏目等各网民留言办理平台等渠道，结合常态化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政企交流主题日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活动，建立企业诉求直达归集、分类交办、建档督办、及时回复、企业评价的工作闭环，高效回应企业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急难愁盼</w:t>
            </w:r>
            <w:r>
              <w:rPr>
                <w:rFonts w:ascii="Times New Roman" w:hAnsi="Times New Roman" w:eastAsia="宋体" w:cs="Times New Roman"/>
                <w:kern w:val="0"/>
                <w:sz w:val="22"/>
                <w:szCs w:val="22"/>
              </w:rPr>
              <w:t>”</w:t>
            </w:r>
            <w:r>
              <w:rPr>
                <w:rFonts w:ascii="Times New Roman" w:hAnsi="宋体" w:eastAsia="宋体" w:cs="Times New Roman"/>
                <w:kern w:val="0"/>
                <w:sz w:val="22"/>
                <w:szCs w:val="22"/>
              </w:rPr>
              <w:t>。</w:t>
            </w:r>
          </w:p>
        </w:tc>
        <w:tc>
          <w:tcPr>
            <w:tcW w:w="1919" w:type="dxa"/>
            <w:vAlign w:val="center"/>
          </w:tcPr>
          <w:p w14:paraId="27EDDFC4">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市数据局（营商环境建设局）等相关单位</w:t>
            </w:r>
          </w:p>
        </w:tc>
      </w:tr>
      <w:tr w14:paraId="773B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876" w:type="dxa"/>
            <w:vMerge w:val="restart"/>
            <w:vAlign w:val="center"/>
          </w:tcPr>
          <w:p w14:paraId="5572E6F8">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（二）浓厚尊商重企氛围</w:t>
            </w:r>
          </w:p>
        </w:tc>
        <w:tc>
          <w:tcPr>
            <w:tcW w:w="1522" w:type="dxa"/>
            <w:vAlign w:val="center"/>
          </w:tcPr>
          <w:p w14:paraId="0AD3882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w:t>
            </w:r>
            <w:r>
              <w:rPr>
                <w:rFonts w:ascii="Times New Roman" w:hAnsi="宋体" w:eastAsia="宋体" w:cs="Times New Roman"/>
                <w:kern w:val="0"/>
                <w:sz w:val="22"/>
                <w:szCs w:val="22"/>
              </w:rPr>
              <w:t>明晰政商交往行为边界</w:t>
            </w:r>
          </w:p>
        </w:tc>
        <w:tc>
          <w:tcPr>
            <w:tcW w:w="10107" w:type="dxa"/>
            <w:vAlign w:val="center"/>
          </w:tcPr>
          <w:p w14:paraId="2F430CF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落实政商交往正面清单、负面清单、倡导清单；推行政商交往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正面激励</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，对主动服务企业、成效突出的公职人员，在评优评先、提拔任用中优先考虑；建立政商交往容错纠错机制；做好民营企业营商环境</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亲清监测点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设立相关工作。落实纪检监察机关与企业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零距离</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沟通机制，开通诉求直达、问题举报绿色通道。</w:t>
            </w:r>
          </w:p>
        </w:tc>
        <w:tc>
          <w:tcPr>
            <w:tcW w:w="1919" w:type="dxa"/>
            <w:vAlign w:val="center"/>
          </w:tcPr>
          <w:p w14:paraId="289DD3F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市纪委监委、市委组织部、市委统战部、市工商联等相关单位</w:t>
            </w:r>
          </w:p>
        </w:tc>
      </w:tr>
      <w:tr w14:paraId="103A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7" w:hRule="atLeast"/>
          <w:jc w:val="center"/>
        </w:trPr>
        <w:tc>
          <w:tcPr>
            <w:tcW w:w="876" w:type="dxa"/>
            <w:vMerge w:val="continue"/>
            <w:vAlign w:val="center"/>
          </w:tcPr>
          <w:p w14:paraId="77D2E721">
            <w:pPr>
              <w:widowControl/>
              <w:textAlignment w:val="center"/>
              <w:rPr>
                <w:rFonts w:ascii="Times New Roman" w:hAnsi="Times New Roman" w:eastAsia="宋体" w:cs="Times New Roman"/>
                <w:kern w:val="0"/>
                <w:sz w:val="22"/>
                <w:szCs w:val="22"/>
              </w:rPr>
            </w:pPr>
          </w:p>
        </w:tc>
        <w:tc>
          <w:tcPr>
            <w:tcW w:w="1522" w:type="dxa"/>
            <w:vAlign w:val="center"/>
          </w:tcPr>
          <w:p w14:paraId="2AF731A2">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5.</w:t>
            </w:r>
            <w:r>
              <w:rPr>
                <w:rFonts w:ascii="Times New Roman" w:hAnsi="宋体" w:eastAsia="宋体" w:cs="Times New Roman"/>
                <w:kern w:val="0"/>
                <w:sz w:val="22"/>
                <w:szCs w:val="22"/>
              </w:rPr>
              <w:t>营造良好网上舆论氛围</w:t>
            </w:r>
          </w:p>
        </w:tc>
        <w:tc>
          <w:tcPr>
            <w:tcW w:w="10107" w:type="dxa"/>
            <w:vAlign w:val="center"/>
          </w:tcPr>
          <w:p w14:paraId="2FF67F7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指导全市各网站平台及自媒体发布、推介涉企正面宣传作品和稿件，营造大抓营商环境良好舆论氛围；加强涉企网上敏感有害信息及网络舆情的监测处置，及时联动发改、市场监管、工商联等部门开展信息共享和会商研判，高效应对处置涉企网络风险。综合运用行政处罚、信用监管、联合惩戒等方式，严厉打击涉企网络侵权违法行为。</w:t>
            </w:r>
          </w:p>
        </w:tc>
        <w:tc>
          <w:tcPr>
            <w:tcW w:w="1919" w:type="dxa"/>
            <w:vAlign w:val="center"/>
          </w:tcPr>
          <w:p w14:paraId="535FE45A">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市委网信办、市委宣传部、市委统战部、市工信局、市市场监管局、市工商联、</w:t>
            </w:r>
            <w:r>
              <w:rPr>
                <w:rFonts w:ascii="Times New Roman" w:cs="Times New Roman"/>
                <w:spacing w:val="-6"/>
              </w:rPr>
              <w:t>市融媒体中心</w:t>
            </w:r>
            <w:r>
              <w:rPr>
                <w:rFonts w:ascii="Times New Roman" w:hAnsi="宋体" w:eastAsia="宋体" w:cs="Times New Roman"/>
                <w:spacing w:val="-6"/>
                <w:kern w:val="0"/>
                <w:sz w:val="22"/>
                <w:szCs w:val="22"/>
              </w:rPr>
              <w:t>等</w:t>
            </w:r>
            <w:r>
              <w:rPr>
                <w:rFonts w:hint="eastAsia" w:ascii="Times New Roman" w:hAnsi="宋体" w:eastAsia="宋体" w:cs="Times New Roman"/>
                <w:spacing w:val="-6"/>
                <w:kern w:val="0"/>
                <w:sz w:val="22"/>
                <w:szCs w:val="22"/>
              </w:rPr>
              <w:t>相关</w:t>
            </w:r>
            <w:r>
              <w:rPr>
                <w:rFonts w:ascii="Times New Roman" w:hAnsi="宋体" w:eastAsia="宋体" w:cs="Times New Roman"/>
                <w:spacing w:val="-6"/>
                <w:kern w:val="0"/>
                <w:sz w:val="22"/>
                <w:szCs w:val="22"/>
              </w:rPr>
              <w:t>单位</w:t>
            </w:r>
          </w:p>
        </w:tc>
      </w:tr>
      <w:tr w14:paraId="59BC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2" w:hRule="atLeast"/>
          <w:jc w:val="center"/>
        </w:trPr>
        <w:tc>
          <w:tcPr>
            <w:tcW w:w="876" w:type="dxa"/>
            <w:vMerge w:val="continue"/>
            <w:vAlign w:val="center"/>
          </w:tcPr>
          <w:p w14:paraId="04C98266">
            <w:pPr>
              <w:widowControl/>
              <w:textAlignment w:val="center"/>
              <w:rPr>
                <w:rFonts w:ascii="Times New Roman" w:hAnsi="Times New Roman" w:eastAsia="宋体" w:cs="Times New Roman"/>
                <w:kern w:val="0"/>
                <w:sz w:val="22"/>
                <w:szCs w:val="22"/>
              </w:rPr>
            </w:pPr>
          </w:p>
        </w:tc>
        <w:tc>
          <w:tcPr>
            <w:tcW w:w="1522" w:type="dxa"/>
            <w:vAlign w:val="center"/>
          </w:tcPr>
          <w:p w14:paraId="443BB8CA">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6.</w:t>
            </w:r>
            <w:r>
              <w:rPr>
                <w:rFonts w:ascii="Times New Roman" w:hAnsi="宋体" w:eastAsia="宋体" w:cs="Times New Roman"/>
                <w:kern w:val="0"/>
                <w:sz w:val="22"/>
                <w:szCs w:val="22"/>
              </w:rPr>
              <w:t>加强正面推介</w:t>
            </w:r>
          </w:p>
        </w:tc>
        <w:tc>
          <w:tcPr>
            <w:tcW w:w="10107" w:type="dxa"/>
            <w:vAlign w:val="center"/>
          </w:tcPr>
          <w:p w14:paraId="46CDC83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做好中办国办、省委省政府通报</w:t>
            </w:r>
            <w:r>
              <w:rPr>
                <w:rFonts w:hint="eastAsia" w:ascii="Times New Roman" w:hAnsi="宋体" w:eastAsia="宋体" w:cs="Times New Roman"/>
                <w:kern w:val="0"/>
                <w:sz w:val="22"/>
                <w:szCs w:val="22"/>
              </w:rPr>
              <w:t>以及</w:t>
            </w:r>
            <w:r>
              <w:rPr>
                <w:rFonts w:ascii="Times New Roman" w:hAnsi="宋体" w:eastAsia="宋体" w:cs="Times New Roman"/>
                <w:kern w:val="0"/>
                <w:sz w:val="22"/>
                <w:szCs w:val="22"/>
              </w:rPr>
              <w:t>全国优化营商环境情况交流、全省优化营商环境</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双十佳</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案例、省委省政府</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两办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工作情况交流、全省优化营商环境情况交流等渠道的营商环境案例和经验推介，提升永州营商环境影响力。</w:t>
            </w:r>
          </w:p>
        </w:tc>
        <w:tc>
          <w:tcPr>
            <w:tcW w:w="1919" w:type="dxa"/>
            <w:vAlign w:val="center"/>
          </w:tcPr>
          <w:p w14:paraId="461367B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0F7B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424" w:type="dxa"/>
            <w:gridSpan w:val="4"/>
            <w:vAlign w:val="center"/>
          </w:tcPr>
          <w:p w14:paraId="387BFC6E">
            <w:pPr>
              <w:jc w:val="center"/>
              <w:rPr>
                <w:rFonts w:ascii="Times New Roman" w:hAnsi="Times New Roman" w:cs="Times New Roman"/>
              </w:rPr>
            </w:pPr>
            <w:r>
              <w:rPr>
                <w:rFonts w:ascii="Times New Roman" w:hAnsi="黑体" w:eastAsia="黑体" w:cs="Times New Roman"/>
                <w:sz w:val="32"/>
                <w:szCs w:val="32"/>
              </w:rPr>
              <w:t>二、开展全周期服务企业行动</w:t>
            </w:r>
          </w:p>
        </w:tc>
      </w:tr>
      <w:tr w14:paraId="4AE0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9" w:hRule="atLeast"/>
          <w:jc w:val="center"/>
        </w:trPr>
        <w:tc>
          <w:tcPr>
            <w:tcW w:w="876" w:type="dxa"/>
            <w:vMerge w:val="restart"/>
            <w:vAlign w:val="center"/>
          </w:tcPr>
          <w:p w14:paraId="1847C8B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（三）全方位降本赋能</w:t>
            </w:r>
          </w:p>
        </w:tc>
        <w:tc>
          <w:tcPr>
            <w:tcW w:w="1522" w:type="dxa"/>
            <w:vAlign w:val="center"/>
          </w:tcPr>
          <w:p w14:paraId="7A356CE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7.</w:t>
            </w:r>
            <w:r>
              <w:rPr>
                <w:rFonts w:ascii="Times New Roman" w:hAnsi="宋体" w:eastAsia="宋体" w:cs="Times New Roman"/>
                <w:kern w:val="0"/>
                <w:sz w:val="22"/>
                <w:szCs w:val="22"/>
              </w:rPr>
              <w:t>降低物流成本</w:t>
            </w:r>
          </w:p>
        </w:tc>
        <w:tc>
          <w:tcPr>
            <w:tcW w:w="10107" w:type="dxa"/>
            <w:vAlign w:val="center"/>
          </w:tcPr>
          <w:p w14:paraId="7844BA1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制定铁海联运专项扶持方案，争取</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年整体为客户节约物流成本</w:t>
            </w:r>
            <w:r>
              <w:rPr>
                <w:rFonts w:ascii="Times New Roman" w:hAnsi="Times New Roman" w:eastAsia="宋体" w:cs="Times New Roman"/>
                <w:kern w:val="0"/>
                <w:sz w:val="22"/>
                <w:szCs w:val="22"/>
              </w:rPr>
              <w:t>10%-20%</w:t>
            </w:r>
            <w:r>
              <w:rPr>
                <w:rFonts w:ascii="Times New Roman" w:hAnsi="宋体" w:eastAsia="宋体" w:cs="Times New Roman"/>
                <w:kern w:val="0"/>
                <w:sz w:val="22"/>
                <w:szCs w:val="22"/>
              </w:rPr>
              <w:t>；推动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两仓一所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进口保税仓、出口监管仓、海关监管场所）实现实质化运营；牵头与深圳盐田港签订一体化通关合作协议；对接湛江港、广西北部湾港，推进合作并签订通关合作框架协议；多渠道开展智慧物流平台推介，优化货物匹配、物流跟踪、费用结算等功能，争取</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年底入驻客户同比增加</w:t>
            </w:r>
            <w:r>
              <w:rPr>
                <w:rFonts w:ascii="Times New Roman" w:hAnsi="Times New Roman" w:eastAsia="宋体" w:cs="Times New Roman"/>
                <w:kern w:val="0"/>
                <w:sz w:val="22"/>
                <w:szCs w:val="22"/>
              </w:rPr>
              <w:t>10%</w:t>
            </w:r>
            <w:r>
              <w:rPr>
                <w:rFonts w:ascii="Times New Roman" w:hAnsi="宋体" w:eastAsia="宋体" w:cs="Times New Roman"/>
                <w:kern w:val="0"/>
                <w:sz w:val="22"/>
                <w:szCs w:val="22"/>
              </w:rPr>
              <w:t>；做好西部陆海新通道、陆港型国家物流枢纽承载城市建设名单等项目申报工作，争取纳入国家和省级规划布局。加快永州陆港冷链物流园项目建设，降低物流成本。新建一批县级寄递物流共配分拣中心，推进农村客货邮融合发展。</w:t>
            </w:r>
          </w:p>
        </w:tc>
        <w:tc>
          <w:tcPr>
            <w:tcW w:w="1919" w:type="dxa"/>
            <w:vAlign w:val="center"/>
          </w:tcPr>
          <w:p w14:paraId="1BDF6DEB">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市交通运输局、市发改委、永州海关、市港发集团、市邮政管理局等相关单位</w:t>
            </w:r>
          </w:p>
        </w:tc>
      </w:tr>
      <w:tr w14:paraId="713E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8" w:hRule="atLeast"/>
          <w:jc w:val="center"/>
        </w:trPr>
        <w:tc>
          <w:tcPr>
            <w:tcW w:w="876" w:type="dxa"/>
            <w:vMerge w:val="continue"/>
            <w:vAlign w:val="center"/>
          </w:tcPr>
          <w:p w14:paraId="36DA4CE8">
            <w:pPr>
              <w:widowControl/>
              <w:textAlignment w:val="center"/>
              <w:rPr>
                <w:rFonts w:ascii="Times New Roman" w:hAnsi="Times New Roman" w:eastAsia="宋体" w:cs="Times New Roman"/>
                <w:kern w:val="0"/>
                <w:sz w:val="22"/>
                <w:szCs w:val="22"/>
              </w:rPr>
            </w:pPr>
          </w:p>
        </w:tc>
        <w:tc>
          <w:tcPr>
            <w:tcW w:w="1522" w:type="dxa"/>
            <w:vMerge w:val="restart"/>
            <w:vAlign w:val="center"/>
          </w:tcPr>
          <w:p w14:paraId="329319F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8.</w:t>
            </w:r>
            <w:r>
              <w:rPr>
                <w:rFonts w:ascii="Times New Roman" w:hAnsi="宋体" w:eastAsia="宋体" w:cs="Times New Roman"/>
                <w:kern w:val="0"/>
                <w:sz w:val="22"/>
                <w:szCs w:val="22"/>
              </w:rPr>
              <w:t>降低用能成本</w:t>
            </w:r>
          </w:p>
        </w:tc>
        <w:tc>
          <w:tcPr>
            <w:tcW w:w="10107" w:type="dxa"/>
            <w:vAlign w:val="center"/>
          </w:tcPr>
          <w:p w14:paraId="25C1376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核定天然气配气价格，完成市中心城区非居民燃气价格下调工作。</w:t>
            </w:r>
          </w:p>
        </w:tc>
        <w:tc>
          <w:tcPr>
            <w:tcW w:w="1919" w:type="dxa"/>
            <w:vAlign w:val="center"/>
          </w:tcPr>
          <w:p w14:paraId="4D52E7B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市发改委等相关单位</w:t>
            </w:r>
          </w:p>
        </w:tc>
      </w:tr>
      <w:tr w14:paraId="5FC6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3" w:hRule="atLeast"/>
          <w:jc w:val="center"/>
        </w:trPr>
        <w:tc>
          <w:tcPr>
            <w:tcW w:w="876" w:type="dxa"/>
            <w:vMerge w:val="continue"/>
            <w:vAlign w:val="center"/>
          </w:tcPr>
          <w:p w14:paraId="1A269071">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559BA56B">
            <w:pPr>
              <w:widowControl/>
              <w:textAlignment w:val="center"/>
              <w:rPr>
                <w:rFonts w:ascii="Times New Roman" w:hAnsi="Times New Roman" w:eastAsia="宋体" w:cs="Times New Roman"/>
                <w:kern w:val="0"/>
                <w:sz w:val="22"/>
                <w:szCs w:val="22"/>
              </w:rPr>
            </w:pPr>
          </w:p>
        </w:tc>
        <w:tc>
          <w:tcPr>
            <w:tcW w:w="10107" w:type="dxa"/>
            <w:vAlign w:val="center"/>
          </w:tcPr>
          <w:p w14:paraId="2C0ADCF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降低企业用电成本，较上年度企业用电成本下降取得明显成效。在省级以上园区推行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转改直</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，对具备条件的存量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转供电</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用户逐步改造为电网企业直供，清理转供电环节不合理加价。积极争取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绿电直连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政策，实现供给电量清晰物理溯源；通过虚拟电厂为电网提供调频调峰、负荷备用服务，参与需求响应，提升用能效率；鼓励企业参与电力辅助服务市场。对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三高</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企业提供精准电力服务。</w:t>
            </w:r>
          </w:p>
        </w:tc>
        <w:tc>
          <w:tcPr>
            <w:tcW w:w="1919" w:type="dxa"/>
            <w:vAlign w:val="center"/>
          </w:tcPr>
          <w:p w14:paraId="6FFE6E9D">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市工信局、市发改委、国网永州供电公司等相关单位</w:t>
            </w:r>
          </w:p>
        </w:tc>
      </w:tr>
      <w:tr w14:paraId="0C35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876" w:type="dxa"/>
            <w:vMerge w:val="continue"/>
            <w:vAlign w:val="center"/>
          </w:tcPr>
          <w:p w14:paraId="5A9F11AC">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67F6B6CC">
            <w:pPr>
              <w:widowControl/>
              <w:textAlignment w:val="center"/>
              <w:rPr>
                <w:rFonts w:ascii="Times New Roman" w:hAnsi="Times New Roman" w:eastAsia="宋体" w:cs="Times New Roman"/>
                <w:kern w:val="0"/>
                <w:sz w:val="22"/>
                <w:szCs w:val="22"/>
              </w:rPr>
            </w:pPr>
          </w:p>
        </w:tc>
        <w:tc>
          <w:tcPr>
            <w:tcW w:w="10107" w:type="dxa"/>
            <w:vAlign w:val="center"/>
          </w:tcPr>
          <w:p w14:paraId="70A5864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建立水电气网接入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一站式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服务站点，进一步推进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瓶改管</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工程，降低安全风险和用能成本。</w:t>
            </w:r>
          </w:p>
        </w:tc>
        <w:tc>
          <w:tcPr>
            <w:tcW w:w="1919" w:type="dxa"/>
            <w:vAlign w:val="center"/>
          </w:tcPr>
          <w:p w14:paraId="01F5C9B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市城市管理局、市工信局等相关单位</w:t>
            </w:r>
          </w:p>
        </w:tc>
      </w:tr>
      <w:tr w14:paraId="75DB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0" w:hRule="atLeast"/>
          <w:jc w:val="center"/>
        </w:trPr>
        <w:tc>
          <w:tcPr>
            <w:tcW w:w="876" w:type="dxa"/>
            <w:vMerge w:val="continue"/>
            <w:vAlign w:val="center"/>
          </w:tcPr>
          <w:p w14:paraId="3936FB84">
            <w:pPr>
              <w:widowControl/>
              <w:textAlignment w:val="center"/>
              <w:rPr>
                <w:rFonts w:ascii="Times New Roman" w:hAnsi="Times New Roman" w:eastAsia="宋体" w:cs="Times New Roman"/>
                <w:kern w:val="0"/>
                <w:sz w:val="22"/>
                <w:szCs w:val="22"/>
              </w:rPr>
            </w:pPr>
          </w:p>
        </w:tc>
        <w:tc>
          <w:tcPr>
            <w:tcW w:w="1522" w:type="dxa"/>
            <w:vAlign w:val="center"/>
          </w:tcPr>
          <w:p w14:paraId="0C21A53B">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r>
              <w:rPr>
                <w:rFonts w:ascii="Times New Roman" w:hAnsi="宋体" w:eastAsia="宋体" w:cs="Times New Roman"/>
                <w:kern w:val="0"/>
                <w:sz w:val="22"/>
                <w:szCs w:val="22"/>
              </w:rPr>
              <w:t>强化金融支撑</w:t>
            </w:r>
          </w:p>
        </w:tc>
        <w:tc>
          <w:tcPr>
            <w:tcW w:w="10107" w:type="dxa"/>
            <w:shd w:val="clear" w:color="auto" w:fill="auto"/>
            <w:vAlign w:val="center"/>
          </w:tcPr>
          <w:p w14:paraId="63D52E0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信易贷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科创贷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中标贷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政采贷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产业链贷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积分贷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等产品，推动全市各项贷款同比增速不低于</w:t>
            </w:r>
            <w:r>
              <w:rPr>
                <w:rFonts w:ascii="Times New Roman" w:hAnsi="Times New Roman" w:eastAsia="宋体" w:cs="Times New Roman"/>
                <w:kern w:val="0"/>
                <w:sz w:val="22"/>
                <w:szCs w:val="22"/>
              </w:rPr>
              <w:t>10%</w:t>
            </w:r>
            <w:r>
              <w:rPr>
                <w:rFonts w:ascii="Times New Roman" w:hAnsi="宋体" w:eastAsia="宋体" w:cs="Times New Roman"/>
                <w:kern w:val="0"/>
                <w:sz w:val="22"/>
                <w:szCs w:val="22"/>
              </w:rPr>
              <w:t>，全年贷款比年初新增额不低于</w:t>
            </w:r>
            <w:r>
              <w:rPr>
                <w:rFonts w:ascii="Times New Roman" w:hAnsi="Times New Roman" w:eastAsia="宋体" w:cs="Times New Roman"/>
                <w:kern w:val="0"/>
                <w:sz w:val="22"/>
                <w:szCs w:val="22"/>
              </w:rPr>
              <w:t>360</w:t>
            </w:r>
            <w:r>
              <w:rPr>
                <w:rFonts w:ascii="Times New Roman" w:hAnsi="宋体" w:eastAsia="宋体" w:cs="Times New Roman"/>
                <w:kern w:val="0"/>
                <w:sz w:val="22"/>
                <w:szCs w:val="22"/>
              </w:rPr>
              <w:t>亿元；出台《永州市金融支持文旅产业高质量发展工作方案》，引导银行机构单列文旅产业信贷计划；争取国家政策性金融工具支持，引导银行机构配套</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项目前期贷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企业收支流水贷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等产品。开展明示企业和个人贷款综合融资成本试点，将辖内所有银行业金融机构纳入明示范围；推行《企业贷款综合融资成本清单》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贷款明白纸</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，办理贷款时将利息、担保费等所有费用打包为清晰可比成本数字，折算成年化利率展示，降低隐性成本。</w:t>
            </w:r>
          </w:p>
        </w:tc>
        <w:tc>
          <w:tcPr>
            <w:tcW w:w="1919" w:type="dxa"/>
            <w:shd w:val="clear" w:color="auto" w:fill="auto"/>
            <w:vAlign w:val="center"/>
          </w:tcPr>
          <w:p w14:paraId="22EB80B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中国人民银行永州市分行、永州金融监管分局等相关单位</w:t>
            </w:r>
          </w:p>
        </w:tc>
      </w:tr>
      <w:tr w14:paraId="168B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1" w:hRule="atLeast"/>
          <w:jc w:val="center"/>
        </w:trPr>
        <w:tc>
          <w:tcPr>
            <w:tcW w:w="876" w:type="dxa"/>
            <w:vMerge w:val="restart"/>
            <w:vAlign w:val="center"/>
          </w:tcPr>
          <w:p w14:paraId="3297D34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（三）全方位降本赋能</w:t>
            </w:r>
          </w:p>
        </w:tc>
        <w:tc>
          <w:tcPr>
            <w:tcW w:w="1522" w:type="dxa"/>
            <w:vMerge w:val="restart"/>
            <w:vAlign w:val="center"/>
          </w:tcPr>
          <w:p w14:paraId="21BBC39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9.</w:t>
            </w:r>
            <w:r>
              <w:rPr>
                <w:rFonts w:ascii="Times New Roman" w:hAnsi="宋体" w:eastAsia="宋体" w:cs="Times New Roman"/>
                <w:kern w:val="0"/>
                <w:sz w:val="22"/>
                <w:szCs w:val="22"/>
              </w:rPr>
              <w:t>强化金融支撑</w:t>
            </w:r>
          </w:p>
        </w:tc>
        <w:tc>
          <w:tcPr>
            <w:tcW w:w="10107" w:type="dxa"/>
            <w:vAlign w:val="center"/>
          </w:tcPr>
          <w:p w14:paraId="7AE6B038">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合理设定绩效目标，申报</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年度中央财政支持普惠金融发展示范区。依托</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湘信贷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等平台，发挥信用对企业融资的支持作用。落实中小企业商业价值信用贷款风险补偿改革举措。优化贷款利率、还款期限等融资条件。组织企业参加政银企对接会、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一月一链</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等活动，破解中小微企业融资难、融资贵问题。健全政府性融资担保机制，严控担保费率，降低担保门槛。优化金融服务，深化与金融机构战略合作，针对中小微民企融资需求举办</w:t>
            </w:r>
            <w:r>
              <w:rPr>
                <w:rFonts w:ascii="Times New Roman" w:hAnsi="Times New Roman" w:eastAsia="宋体" w:cs="Times New Roman"/>
                <w:kern w:val="0"/>
                <w:sz w:val="22"/>
                <w:szCs w:val="22"/>
              </w:rPr>
              <w:t>2</w:t>
            </w:r>
            <w:r>
              <w:rPr>
                <w:rFonts w:ascii="Times New Roman" w:hAnsi="宋体" w:eastAsia="宋体" w:cs="Times New Roman"/>
                <w:kern w:val="0"/>
                <w:sz w:val="22"/>
                <w:szCs w:val="22"/>
              </w:rPr>
              <w:t>期以上银企对接会，创新适配信贷产品。</w:t>
            </w:r>
          </w:p>
        </w:tc>
        <w:tc>
          <w:tcPr>
            <w:tcW w:w="1919" w:type="dxa"/>
            <w:vAlign w:val="center"/>
          </w:tcPr>
          <w:p w14:paraId="6F3C7619">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市财政局、市政府办、永州金融监管分局、中国人民银行永州市分行等相关单位</w:t>
            </w:r>
          </w:p>
        </w:tc>
      </w:tr>
      <w:tr w14:paraId="4F7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0" w:hRule="atLeast"/>
          <w:jc w:val="center"/>
        </w:trPr>
        <w:tc>
          <w:tcPr>
            <w:tcW w:w="876" w:type="dxa"/>
            <w:vMerge w:val="continue"/>
            <w:vAlign w:val="center"/>
          </w:tcPr>
          <w:p w14:paraId="26D7F7F8">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7D5A2AF0">
            <w:pPr>
              <w:widowControl/>
              <w:textAlignment w:val="center"/>
              <w:rPr>
                <w:rFonts w:ascii="Times New Roman" w:hAnsi="Times New Roman" w:eastAsia="宋体" w:cs="Times New Roman"/>
                <w:kern w:val="0"/>
                <w:sz w:val="22"/>
                <w:szCs w:val="22"/>
              </w:rPr>
            </w:pPr>
          </w:p>
        </w:tc>
        <w:tc>
          <w:tcPr>
            <w:tcW w:w="10107" w:type="dxa"/>
            <w:vAlign w:val="center"/>
          </w:tcPr>
          <w:p w14:paraId="6A60DBC6">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提升续贷工作质效，引导银行机构不盲目停贷、压贷、抽贷、断贷，指导持续开发续贷产品，对确有需要客户办理续贷业务；明确</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年目标任务：续贷余额占比不低于</w:t>
            </w:r>
            <w:r>
              <w:rPr>
                <w:rFonts w:ascii="Times New Roman" w:hAnsi="Times New Roman" w:eastAsia="宋体" w:cs="Times New Roman"/>
                <w:kern w:val="0"/>
                <w:sz w:val="22"/>
                <w:szCs w:val="22"/>
              </w:rPr>
              <w:t>6.2%</w:t>
            </w:r>
            <w:r>
              <w:rPr>
                <w:rFonts w:ascii="Times New Roman" w:hAnsi="宋体" w:eastAsia="宋体" w:cs="Times New Roman"/>
                <w:kern w:val="0"/>
                <w:sz w:val="22"/>
                <w:szCs w:val="22"/>
              </w:rPr>
              <w:t>，续贷余额增量不低于</w:t>
            </w:r>
            <w:r>
              <w:rPr>
                <w:rFonts w:ascii="Times New Roman" w:hAnsi="Times New Roman" w:eastAsia="宋体" w:cs="Times New Roman"/>
                <w:kern w:val="0"/>
                <w:sz w:val="22"/>
                <w:szCs w:val="22"/>
              </w:rPr>
              <w:t>50</w:t>
            </w:r>
            <w:r>
              <w:rPr>
                <w:rFonts w:ascii="Times New Roman" w:hAnsi="宋体" w:eastAsia="宋体" w:cs="Times New Roman"/>
                <w:kern w:val="0"/>
                <w:sz w:val="22"/>
                <w:szCs w:val="22"/>
              </w:rPr>
              <w:t>亿元，年内累计发放续贷额不低于</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亿元；建立续贷沟通机制，深化政银企合作，通过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千企万户大走访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个体工商户服务月</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等活动摸排企业接续融资需求；对银行同意续贷的企业，在贷款到期前至少提前</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个月沟通续贷事宜，实现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应续尽续</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。优化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湘信贷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，鼓励银行完善风险评估，开发专属线上产品。</w:t>
            </w:r>
          </w:p>
        </w:tc>
        <w:tc>
          <w:tcPr>
            <w:tcW w:w="1919" w:type="dxa"/>
            <w:vAlign w:val="center"/>
          </w:tcPr>
          <w:p w14:paraId="1A6E155B">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永州金融监管分局、中国人民银行永州市分行等相关单位</w:t>
            </w:r>
          </w:p>
        </w:tc>
      </w:tr>
      <w:tr w14:paraId="52C3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9" w:hRule="atLeast"/>
          <w:jc w:val="center"/>
        </w:trPr>
        <w:tc>
          <w:tcPr>
            <w:tcW w:w="876" w:type="dxa"/>
            <w:vMerge w:val="continue"/>
            <w:vAlign w:val="center"/>
          </w:tcPr>
          <w:p w14:paraId="29CBFFD2">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31158083">
            <w:pPr>
              <w:widowControl/>
              <w:textAlignment w:val="center"/>
              <w:rPr>
                <w:rFonts w:ascii="Times New Roman" w:hAnsi="Times New Roman" w:eastAsia="宋体" w:cs="Times New Roman"/>
                <w:kern w:val="0"/>
                <w:sz w:val="22"/>
                <w:szCs w:val="22"/>
              </w:rPr>
            </w:pPr>
          </w:p>
        </w:tc>
        <w:tc>
          <w:tcPr>
            <w:tcW w:w="10107" w:type="dxa"/>
            <w:vAlign w:val="center"/>
          </w:tcPr>
          <w:p w14:paraId="574CBE0B">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持续深化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银税互动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活动，通过税收大数据协助银行精准放贷，帮助经营主体凭借良好纳税缴费信用获得融资支持。</w:t>
            </w:r>
          </w:p>
        </w:tc>
        <w:tc>
          <w:tcPr>
            <w:tcW w:w="1919" w:type="dxa"/>
            <w:vAlign w:val="center"/>
          </w:tcPr>
          <w:p w14:paraId="18609A6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市税务局等相关单位</w:t>
            </w:r>
          </w:p>
        </w:tc>
      </w:tr>
      <w:tr w14:paraId="4806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0" w:hRule="atLeast"/>
          <w:jc w:val="center"/>
        </w:trPr>
        <w:tc>
          <w:tcPr>
            <w:tcW w:w="876" w:type="dxa"/>
            <w:vMerge w:val="continue"/>
            <w:vAlign w:val="center"/>
          </w:tcPr>
          <w:p w14:paraId="71165B03">
            <w:pPr>
              <w:widowControl/>
              <w:textAlignment w:val="center"/>
              <w:rPr>
                <w:rFonts w:ascii="Times New Roman" w:hAnsi="Times New Roman" w:eastAsia="宋体" w:cs="Times New Roman"/>
                <w:kern w:val="0"/>
                <w:sz w:val="22"/>
                <w:szCs w:val="22"/>
              </w:rPr>
            </w:pPr>
          </w:p>
        </w:tc>
        <w:tc>
          <w:tcPr>
            <w:tcW w:w="1522" w:type="dxa"/>
            <w:vMerge w:val="restart"/>
            <w:vAlign w:val="center"/>
          </w:tcPr>
          <w:p w14:paraId="36EDF00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10.</w:t>
            </w:r>
            <w:r>
              <w:rPr>
                <w:rFonts w:ascii="Times New Roman" w:hAnsi="宋体" w:eastAsia="宋体" w:cs="Times New Roman"/>
                <w:kern w:val="0"/>
                <w:sz w:val="22"/>
                <w:szCs w:val="22"/>
              </w:rPr>
              <w:t>保障自然要素供给</w:t>
            </w:r>
          </w:p>
        </w:tc>
        <w:tc>
          <w:tcPr>
            <w:tcW w:w="10107" w:type="dxa"/>
            <w:vAlign w:val="center"/>
          </w:tcPr>
          <w:p w14:paraId="1A1A1688">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加快矿业权与用地用林审批。精简矿业权出让流程，降低企业拿矿时间；推进用地用林融合审批改革，实现审批融合；加强产业园区重点项目设计研究和规划引导，完善重大项目规划服务</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绿色通道</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。优化土地资源供给，推行工业用地</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弹性年期出让</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续期便利</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模式，根据企业经营周期灵活设定出让年限。允许工业项目分期缴纳土地出让价款，首期不低于</w:t>
            </w:r>
            <w:r>
              <w:rPr>
                <w:rFonts w:ascii="Times New Roman" w:hAnsi="Times New Roman" w:eastAsia="宋体" w:cs="Times New Roman"/>
                <w:spacing w:val="-6"/>
                <w:kern w:val="0"/>
                <w:sz w:val="22"/>
                <w:szCs w:val="22"/>
              </w:rPr>
              <w:t>50%</w:t>
            </w:r>
            <w:r>
              <w:rPr>
                <w:rFonts w:ascii="Times New Roman" w:hAnsi="宋体" w:eastAsia="宋体" w:cs="Times New Roman"/>
                <w:spacing w:val="-6"/>
                <w:kern w:val="0"/>
                <w:sz w:val="22"/>
                <w:szCs w:val="22"/>
              </w:rPr>
              <w:t>，余款</w:t>
            </w:r>
            <w:r>
              <w:rPr>
                <w:rFonts w:ascii="Times New Roman" w:hAnsi="Times New Roman" w:eastAsia="宋体" w:cs="Times New Roman"/>
                <w:spacing w:val="-6"/>
                <w:kern w:val="0"/>
                <w:sz w:val="22"/>
                <w:szCs w:val="22"/>
              </w:rPr>
              <w:t>1</w:t>
            </w:r>
            <w:r>
              <w:rPr>
                <w:rFonts w:ascii="Times New Roman" w:hAnsi="宋体" w:eastAsia="宋体" w:cs="Times New Roman"/>
                <w:spacing w:val="-6"/>
                <w:kern w:val="0"/>
                <w:sz w:val="22"/>
                <w:szCs w:val="22"/>
              </w:rPr>
              <w:t>年内缴清。支持产业链关联企业联合拿地、联合建楼，依法办理工业物业产权分割及转让登记。全面推广</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抵押即交证</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交地即交证</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竣工即交证</w:t>
            </w:r>
            <w:r>
              <w:rPr>
                <w:rFonts w:ascii="Times New Roman" w:hAnsi="Times New Roman" w:eastAsia="宋体" w:cs="Times New Roman"/>
                <w:spacing w:val="-6"/>
                <w:kern w:val="0"/>
                <w:sz w:val="22"/>
                <w:szCs w:val="22"/>
              </w:rPr>
              <w:t>”</w:t>
            </w:r>
            <w:r>
              <w:rPr>
                <w:rFonts w:ascii="Times New Roman" w:hAnsi="宋体" w:eastAsia="宋体" w:cs="Times New Roman"/>
                <w:spacing w:val="-6"/>
                <w:kern w:val="0"/>
                <w:sz w:val="22"/>
                <w:szCs w:val="22"/>
              </w:rPr>
              <w:t>，满足企业全周期融资抵押需求。简化租赁土地办理工业项目工程规划、施工许可等审批流程。</w:t>
            </w:r>
          </w:p>
        </w:tc>
        <w:tc>
          <w:tcPr>
            <w:tcW w:w="1919" w:type="dxa"/>
            <w:vAlign w:val="center"/>
          </w:tcPr>
          <w:p w14:paraId="7823DB9C">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市自然资源和规划局、市林业局、市港发集团、市城发集团、市经发集团等相关单位</w:t>
            </w:r>
          </w:p>
        </w:tc>
      </w:tr>
      <w:tr w14:paraId="2412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876" w:type="dxa"/>
            <w:vMerge w:val="continue"/>
            <w:vAlign w:val="center"/>
          </w:tcPr>
          <w:p w14:paraId="5B15F285">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4C009A44">
            <w:pPr>
              <w:widowControl/>
              <w:textAlignment w:val="center"/>
              <w:rPr>
                <w:rFonts w:ascii="Times New Roman" w:hAnsi="Times New Roman" w:eastAsia="宋体" w:cs="Times New Roman"/>
                <w:kern w:val="0"/>
                <w:sz w:val="22"/>
                <w:szCs w:val="22"/>
              </w:rPr>
            </w:pPr>
          </w:p>
        </w:tc>
        <w:tc>
          <w:tcPr>
            <w:tcW w:w="10107" w:type="dxa"/>
            <w:vAlign w:val="center"/>
          </w:tcPr>
          <w:p w14:paraId="143A583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自然资源资产组合供应。落实省自然资源厅、省发改委、省财政厅等部门共同印发的《关于进一步推进全省自然资源资产组合供应工作的通知》，实现资源高水平保护与高效率利用有机统一；改变过去单一类型土地、矿产资源出让模式，拓展至</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山水林田湖草</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等多元生态要素系统配置；打通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资源</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资产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资本</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资金</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生态反哺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完整转化路径，推进生态产业化、产业生态化；实现自然资源资产组合供应工作制度化、规范化和常态化运行。</w:t>
            </w:r>
          </w:p>
        </w:tc>
        <w:tc>
          <w:tcPr>
            <w:tcW w:w="1919" w:type="dxa"/>
            <w:vAlign w:val="center"/>
          </w:tcPr>
          <w:p w14:paraId="029D4799">
            <w:pPr>
              <w:widowControl/>
              <w:spacing w:line="280" w:lineRule="exact"/>
              <w:textAlignment w:val="center"/>
              <w:rPr>
                <w:rFonts w:ascii="Times New Roman" w:hAnsi="Times New Roman" w:eastAsia="宋体" w:cs="Times New Roman"/>
                <w:kern w:val="0"/>
                <w:sz w:val="22"/>
                <w:szCs w:val="22"/>
              </w:rPr>
            </w:pPr>
            <w:r>
              <w:rPr>
                <w:rFonts w:ascii="Times New Roman" w:hAnsi="宋体" w:eastAsia="宋体" w:cs="Times New Roman"/>
                <w:spacing w:val="-6"/>
                <w:kern w:val="0"/>
                <w:sz w:val="22"/>
                <w:szCs w:val="22"/>
              </w:rPr>
              <w:t>市自然资源和规划局、市发改委、市财政局、市生态环境局、市住建局、市水利局、市农业农村局、市林业局、市文旅广体局等相关单位</w:t>
            </w:r>
          </w:p>
        </w:tc>
      </w:tr>
      <w:tr w14:paraId="073E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7" w:hRule="atLeast"/>
          <w:jc w:val="center"/>
        </w:trPr>
        <w:tc>
          <w:tcPr>
            <w:tcW w:w="876" w:type="dxa"/>
            <w:vMerge w:val="restart"/>
            <w:vAlign w:val="center"/>
          </w:tcPr>
          <w:p w14:paraId="3C233D5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（三）全方位降本赋能</w:t>
            </w:r>
          </w:p>
        </w:tc>
        <w:tc>
          <w:tcPr>
            <w:tcW w:w="1522" w:type="dxa"/>
            <w:vMerge w:val="restart"/>
            <w:vAlign w:val="center"/>
          </w:tcPr>
          <w:p w14:paraId="2B35E4E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11.</w:t>
            </w:r>
            <w:r>
              <w:rPr>
                <w:rFonts w:ascii="Times New Roman" w:hAnsi="宋体" w:eastAsia="宋体" w:cs="Times New Roman"/>
                <w:kern w:val="0"/>
                <w:sz w:val="22"/>
                <w:szCs w:val="22"/>
              </w:rPr>
              <w:t>强化用工服务</w:t>
            </w:r>
          </w:p>
        </w:tc>
        <w:tc>
          <w:tcPr>
            <w:tcW w:w="10107" w:type="dxa"/>
            <w:vAlign w:val="center"/>
          </w:tcPr>
          <w:p w14:paraId="02C65C1A">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延续实施服务园区企业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帮工计划</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，对企业自主招工、市场化招工、职业院校输送员工、首次入园就业劳动者等依类别给予奖补激励。推进城乡劳动力资源库建设。做好</w:t>
            </w:r>
            <w:r>
              <w:rPr>
                <w:rFonts w:ascii="Times New Roman" w:hAnsi="Times New Roman" w:eastAsia="宋体" w:cs="Times New Roman"/>
                <w:kern w:val="0"/>
                <w:sz w:val="22"/>
                <w:szCs w:val="22"/>
              </w:rPr>
              <w:t>“311”</w:t>
            </w:r>
            <w:r>
              <w:rPr>
                <w:rFonts w:ascii="Times New Roman" w:hAnsi="宋体" w:eastAsia="宋体" w:cs="Times New Roman"/>
                <w:kern w:val="0"/>
                <w:sz w:val="22"/>
                <w:szCs w:val="22"/>
              </w:rPr>
              <w:t>就业服务，服务人数占失业人数比例达</w:t>
            </w:r>
            <w:r>
              <w:rPr>
                <w:rFonts w:ascii="Times New Roman" w:hAnsi="Times New Roman" w:eastAsia="宋体" w:cs="Times New Roman"/>
                <w:kern w:val="0"/>
                <w:sz w:val="22"/>
                <w:szCs w:val="22"/>
              </w:rPr>
              <w:t>95%</w:t>
            </w:r>
            <w:r>
              <w:rPr>
                <w:rFonts w:ascii="Times New Roman" w:hAnsi="宋体" w:eastAsia="宋体" w:cs="Times New Roman"/>
                <w:kern w:val="0"/>
                <w:sz w:val="22"/>
                <w:szCs w:val="22"/>
              </w:rPr>
              <w:t>。为符合条件的小微企业发放创业担保贷款。抓好</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四单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技能培训，</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年完成技能人才培训</w:t>
            </w:r>
            <w:r>
              <w:rPr>
                <w:rFonts w:ascii="Times New Roman" w:hAnsi="Times New Roman" w:eastAsia="宋体" w:cs="Times New Roman"/>
                <w:kern w:val="0"/>
                <w:sz w:val="22"/>
                <w:szCs w:val="22"/>
              </w:rPr>
              <w:t>6.4</w:t>
            </w:r>
            <w:r>
              <w:rPr>
                <w:rFonts w:ascii="Times New Roman" w:hAnsi="宋体" w:eastAsia="宋体" w:cs="Times New Roman"/>
                <w:kern w:val="0"/>
                <w:sz w:val="22"/>
                <w:szCs w:val="22"/>
              </w:rPr>
              <w:t>万人。推行企业技能人才</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自主评价</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政府补贴</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模式，企业自主认定的技能人才依规享受对应补贴，简化补贴申领流程。劳动人事争议案件调解成功率达到</w:t>
            </w:r>
            <w:r>
              <w:rPr>
                <w:rFonts w:ascii="Times New Roman" w:hAnsi="Times New Roman" w:eastAsia="宋体" w:cs="Times New Roman"/>
                <w:kern w:val="0"/>
                <w:sz w:val="22"/>
                <w:szCs w:val="22"/>
              </w:rPr>
              <w:t>65%</w:t>
            </w:r>
            <w:r>
              <w:rPr>
                <w:rFonts w:ascii="Times New Roman" w:hAnsi="宋体" w:eastAsia="宋体" w:cs="Times New Roman"/>
                <w:kern w:val="0"/>
                <w:sz w:val="22"/>
                <w:szCs w:val="22"/>
              </w:rPr>
              <w:t>以上。</w:t>
            </w:r>
          </w:p>
        </w:tc>
        <w:tc>
          <w:tcPr>
            <w:tcW w:w="1919" w:type="dxa"/>
            <w:vAlign w:val="center"/>
          </w:tcPr>
          <w:p w14:paraId="37B89014">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市人社局等相关单位</w:t>
            </w:r>
          </w:p>
        </w:tc>
      </w:tr>
      <w:tr w14:paraId="76B8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876" w:type="dxa"/>
            <w:vMerge w:val="continue"/>
            <w:vAlign w:val="center"/>
          </w:tcPr>
          <w:p w14:paraId="02C92E17">
            <w:pPr>
              <w:widowControl/>
              <w:textAlignment w:val="center"/>
              <w:rPr>
                <w:rFonts w:ascii="Times New Roman" w:hAnsi="Times New Roman" w:eastAsia="宋体" w:cs="Times New Roman"/>
                <w:kern w:val="0"/>
                <w:sz w:val="22"/>
                <w:szCs w:val="22"/>
              </w:rPr>
            </w:pPr>
          </w:p>
        </w:tc>
        <w:tc>
          <w:tcPr>
            <w:tcW w:w="1522" w:type="dxa"/>
            <w:vMerge w:val="restart"/>
            <w:vAlign w:val="center"/>
          </w:tcPr>
          <w:p w14:paraId="2EEE51A7">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12.</w:t>
            </w:r>
            <w:r>
              <w:rPr>
                <w:rFonts w:ascii="Times New Roman" w:hAnsi="宋体" w:eastAsia="宋体" w:cs="Times New Roman"/>
                <w:kern w:val="0"/>
                <w:sz w:val="22"/>
                <w:szCs w:val="22"/>
              </w:rPr>
              <w:t>落实惠企政策</w:t>
            </w:r>
          </w:p>
        </w:tc>
        <w:tc>
          <w:tcPr>
            <w:tcW w:w="10107" w:type="dxa"/>
            <w:vAlign w:val="center"/>
          </w:tcPr>
          <w:p w14:paraId="6C5C0F2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加强惠企政策适用管理，依托政务服务网及省级惠企政策统一发布平台，集中发布各级惠企政策，畅通惠企政策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一网一门一线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兑现渠道，简化主动申报类政策兑现流程，依法依规推进税费减免、稳岗返还等惠企政策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免申即享</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即申即享</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，推行政策兑现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容缺受理</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后置补正</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模式。将</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免申即享</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即申即享</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办件数据导入系统并跟踪评估，两类事项梳理不低于</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个，办件量超过</w:t>
            </w:r>
            <w:r>
              <w:rPr>
                <w:rFonts w:ascii="Times New Roman" w:hAnsi="Times New Roman" w:eastAsia="宋体" w:cs="Times New Roman"/>
                <w:kern w:val="0"/>
                <w:sz w:val="22"/>
                <w:szCs w:val="22"/>
              </w:rPr>
              <w:t>1000</w:t>
            </w:r>
            <w:r>
              <w:rPr>
                <w:rFonts w:ascii="Times New Roman" w:hAnsi="宋体" w:eastAsia="宋体" w:cs="Times New Roman"/>
                <w:kern w:val="0"/>
                <w:sz w:val="22"/>
                <w:szCs w:val="22"/>
              </w:rPr>
              <w:t>件。</w:t>
            </w:r>
          </w:p>
        </w:tc>
        <w:tc>
          <w:tcPr>
            <w:tcW w:w="1919" w:type="dxa"/>
            <w:vAlign w:val="center"/>
          </w:tcPr>
          <w:p w14:paraId="48FB738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市工信局、市数据局（营商环境建设局）、市发改委、市税务局等相关单位</w:t>
            </w:r>
          </w:p>
        </w:tc>
      </w:tr>
      <w:tr w14:paraId="2BA0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6" w:hRule="atLeast"/>
          <w:jc w:val="center"/>
        </w:trPr>
        <w:tc>
          <w:tcPr>
            <w:tcW w:w="876" w:type="dxa"/>
            <w:vMerge w:val="continue"/>
            <w:vAlign w:val="center"/>
          </w:tcPr>
          <w:p w14:paraId="40F3992C">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2F4E32DC">
            <w:pPr>
              <w:widowControl/>
              <w:textAlignment w:val="center"/>
              <w:rPr>
                <w:rFonts w:ascii="Times New Roman" w:hAnsi="Times New Roman" w:eastAsia="宋体" w:cs="Times New Roman"/>
                <w:kern w:val="0"/>
                <w:sz w:val="22"/>
                <w:szCs w:val="22"/>
              </w:rPr>
            </w:pPr>
          </w:p>
        </w:tc>
        <w:tc>
          <w:tcPr>
            <w:tcW w:w="10107" w:type="dxa"/>
            <w:vAlign w:val="center"/>
          </w:tcPr>
          <w:p w14:paraId="2DCDE46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完善涉企资金拨付机制。市本级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先进制造业高地专项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资金在市政府批复后</w:t>
            </w:r>
            <w:r>
              <w:rPr>
                <w:rFonts w:ascii="Times New Roman" w:hAnsi="Times New Roman" w:eastAsia="宋体" w:cs="Times New Roman"/>
                <w:kern w:val="0"/>
                <w:sz w:val="22"/>
                <w:szCs w:val="22"/>
              </w:rPr>
              <w:t>15</w:t>
            </w:r>
            <w:r>
              <w:rPr>
                <w:rFonts w:ascii="Times New Roman" w:hAnsi="宋体" w:eastAsia="宋体" w:cs="Times New Roman"/>
                <w:kern w:val="0"/>
                <w:sz w:val="22"/>
                <w:szCs w:val="22"/>
              </w:rPr>
              <w:t>个工作日内下达；加快构建以旧换新补贴及外贸招商领域资金拨付管理体系，探索引入第三方审核及大数据比对，合理规划专项资金使用方案。完善科技创新高地专项资金体系，推动设立市本级科技创新高地专项资金，出台科技创新高地专项资金管理办法。</w:t>
            </w:r>
          </w:p>
        </w:tc>
        <w:tc>
          <w:tcPr>
            <w:tcW w:w="1919" w:type="dxa"/>
            <w:vAlign w:val="center"/>
          </w:tcPr>
          <w:p w14:paraId="0DCAD964">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市财政局、市商务局等相关单位</w:t>
            </w:r>
          </w:p>
        </w:tc>
      </w:tr>
      <w:tr w14:paraId="0117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876" w:type="dxa"/>
            <w:vMerge w:val="continue"/>
            <w:vAlign w:val="center"/>
          </w:tcPr>
          <w:p w14:paraId="7FB27B92">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2C599CD4">
            <w:pPr>
              <w:widowControl/>
              <w:textAlignment w:val="center"/>
              <w:rPr>
                <w:rFonts w:ascii="Times New Roman" w:hAnsi="Times New Roman" w:eastAsia="宋体" w:cs="Times New Roman"/>
                <w:kern w:val="0"/>
                <w:sz w:val="22"/>
                <w:szCs w:val="22"/>
              </w:rPr>
            </w:pPr>
          </w:p>
        </w:tc>
        <w:tc>
          <w:tcPr>
            <w:tcW w:w="10107" w:type="dxa"/>
            <w:vAlign w:val="center"/>
          </w:tcPr>
          <w:p w14:paraId="2C6BA9D4">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精准落实税费支持政策。深化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政策找人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通过电子税务局等渠道精准推送高新技术、研发费用加计扣除、小型微利企业所得税优惠、个体工商户减半征收个人所得税、增值税留抵退税、增值税小规模纳税人阶段性减免增值税等税费优惠政策，建立事前辅导、事中更正、事后风险全链条税费政策适用服务管理工作机制；推广政策红利账单，引导纳税人准确享受优惠。</w:t>
            </w:r>
          </w:p>
        </w:tc>
        <w:tc>
          <w:tcPr>
            <w:tcW w:w="1919" w:type="dxa"/>
            <w:vAlign w:val="center"/>
          </w:tcPr>
          <w:p w14:paraId="7B7EF358">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市税务局等相关单位</w:t>
            </w:r>
          </w:p>
        </w:tc>
      </w:tr>
      <w:tr w14:paraId="04B9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jc w:val="center"/>
        </w:trPr>
        <w:tc>
          <w:tcPr>
            <w:tcW w:w="876" w:type="dxa"/>
            <w:vMerge w:val="continue"/>
            <w:vAlign w:val="center"/>
          </w:tcPr>
          <w:p w14:paraId="215C7E53">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223AE3AD">
            <w:pPr>
              <w:widowControl/>
              <w:textAlignment w:val="center"/>
              <w:rPr>
                <w:rFonts w:ascii="Times New Roman" w:hAnsi="Times New Roman" w:eastAsia="宋体" w:cs="Times New Roman"/>
                <w:kern w:val="0"/>
                <w:sz w:val="22"/>
                <w:szCs w:val="22"/>
              </w:rPr>
            </w:pPr>
          </w:p>
        </w:tc>
        <w:tc>
          <w:tcPr>
            <w:tcW w:w="10107" w:type="dxa"/>
            <w:vAlign w:val="center"/>
          </w:tcPr>
          <w:p w14:paraId="49680B3B">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构建进口税收优惠政策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直达快享</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长效机制，建立享惠主体清单，通过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一对一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辅导、专门台账等方式，对符合集成电路、重大技术装备、科技创新税收政策条件的企业开展精准服务。</w:t>
            </w:r>
          </w:p>
        </w:tc>
        <w:tc>
          <w:tcPr>
            <w:tcW w:w="1919" w:type="dxa"/>
            <w:vAlign w:val="center"/>
          </w:tcPr>
          <w:p w14:paraId="45759BA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永州海关等相关单位</w:t>
            </w:r>
          </w:p>
        </w:tc>
      </w:tr>
      <w:tr w14:paraId="021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78" w:hRule="atLeast"/>
          <w:jc w:val="center"/>
        </w:trPr>
        <w:tc>
          <w:tcPr>
            <w:tcW w:w="876" w:type="dxa"/>
            <w:vMerge w:val="restart"/>
            <w:vAlign w:val="center"/>
          </w:tcPr>
          <w:p w14:paraId="7800459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（四）切实保障公平竞争</w:t>
            </w:r>
          </w:p>
        </w:tc>
        <w:tc>
          <w:tcPr>
            <w:tcW w:w="1522" w:type="dxa"/>
            <w:vAlign w:val="center"/>
          </w:tcPr>
          <w:p w14:paraId="1B07D81C">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13.</w:t>
            </w:r>
            <w:r>
              <w:rPr>
                <w:rFonts w:ascii="Times New Roman" w:hAnsi="宋体" w:eastAsia="宋体" w:cs="Times New Roman"/>
                <w:kern w:val="0"/>
                <w:sz w:val="22"/>
                <w:szCs w:val="22"/>
              </w:rPr>
              <w:t>规范政府采购</w:t>
            </w:r>
          </w:p>
        </w:tc>
        <w:tc>
          <w:tcPr>
            <w:tcW w:w="10107" w:type="dxa"/>
            <w:vAlign w:val="center"/>
          </w:tcPr>
          <w:p w14:paraId="6BA011F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推进框架协议采购，推动参加批量集中采购或框架协议采购的预算单位占本级预算单位总数的比例不低于</w:t>
            </w:r>
            <w:r>
              <w:rPr>
                <w:rFonts w:ascii="Times New Roman" w:hAnsi="Times New Roman" w:eastAsia="宋体" w:cs="Times New Roman"/>
                <w:kern w:val="0"/>
                <w:sz w:val="22"/>
                <w:szCs w:val="22"/>
              </w:rPr>
              <w:t>60%</w:t>
            </w:r>
            <w:r>
              <w:rPr>
                <w:rFonts w:ascii="Times New Roman" w:hAnsi="宋体" w:eastAsia="宋体" w:cs="Times New Roman"/>
                <w:kern w:val="0"/>
                <w:sz w:val="22"/>
                <w:szCs w:val="22"/>
              </w:rPr>
              <w:t>。规范采购流程，在政府采购网公开政府采购项目信息，确保采购意向、工程招投标项目双备案信息、投诉及行政处罚处理等信息规范公示。依法查处采购人在政府采购活动中存在的问题。加强合同管理，中标（成交）公告发出之日起</w:t>
            </w:r>
            <w:r>
              <w:rPr>
                <w:rFonts w:ascii="Times New Roman" w:hAnsi="Times New Roman" w:eastAsia="宋体" w:cs="Times New Roman"/>
                <w:kern w:val="0"/>
                <w:sz w:val="22"/>
                <w:szCs w:val="22"/>
              </w:rPr>
              <w:t>30</w:t>
            </w:r>
            <w:r>
              <w:rPr>
                <w:rFonts w:ascii="Times New Roman" w:hAnsi="宋体" w:eastAsia="宋体" w:cs="Times New Roman"/>
                <w:kern w:val="0"/>
                <w:sz w:val="22"/>
                <w:szCs w:val="22"/>
              </w:rPr>
              <w:t>天内签订合同，按规定要求备案采购合同，按合同约定及时支付资金。整理汇编政府采购违法违规典型案例，助力规范政府采购市场秩序。</w:t>
            </w:r>
          </w:p>
        </w:tc>
        <w:tc>
          <w:tcPr>
            <w:tcW w:w="1919" w:type="dxa"/>
            <w:vAlign w:val="center"/>
          </w:tcPr>
          <w:p w14:paraId="072C632D">
            <w:pPr>
              <w:widowControl/>
              <w:jc w:val="lef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市财政局、市公共资源交易中心、市税务局、市商务局、市科技局、永州海关等相关单位</w:t>
            </w:r>
          </w:p>
        </w:tc>
      </w:tr>
      <w:tr w14:paraId="33D2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0" w:hRule="atLeast"/>
          <w:jc w:val="center"/>
        </w:trPr>
        <w:tc>
          <w:tcPr>
            <w:tcW w:w="876" w:type="dxa"/>
            <w:vMerge w:val="continue"/>
            <w:vAlign w:val="center"/>
          </w:tcPr>
          <w:p w14:paraId="45A0906D">
            <w:pPr>
              <w:widowControl/>
              <w:textAlignment w:val="center"/>
              <w:rPr>
                <w:rFonts w:ascii="Times New Roman" w:hAnsi="Times New Roman" w:eastAsia="宋体" w:cs="Times New Roman"/>
                <w:kern w:val="0"/>
                <w:sz w:val="22"/>
                <w:szCs w:val="22"/>
              </w:rPr>
            </w:pPr>
          </w:p>
        </w:tc>
        <w:tc>
          <w:tcPr>
            <w:tcW w:w="1522" w:type="dxa"/>
            <w:vMerge w:val="restart"/>
            <w:vAlign w:val="center"/>
          </w:tcPr>
          <w:p w14:paraId="5D62930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14.</w:t>
            </w:r>
            <w:r>
              <w:rPr>
                <w:rFonts w:ascii="Times New Roman" w:hAnsi="宋体" w:eastAsia="宋体" w:cs="Times New Roman"/>
                <w:kern w:val="0"/>
                <w:sz w:val="22"/>
                <w:szCs w:val="22"/>
              </w:rPr>
              <w:t>规范中介服务</w:t>
            </w:r>
          </w:p>
        </w:tc>
        <w:tc>
          <w:tcPr>
            <w:tcW w:w="10107" w:type="dxa"/>
            <w:vAlign w:val="center"/>
          </w:tcPr>
          <w:p w14:paraId="3FF07E12">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用好中介超市平台，梳理中介服务事项不少于</w:t>
            </w:r>
            <w:r>
              <w:rPr>
                <w:rFonts w:ascii="Times New Roman" w:hAnsi="Times New Roman" w:eastAsia="宋体" w:cs="Times New Roman"/>
                <w:kern w:val="0"/>
                <w:sz w:val="22"/>
                <w:szCs w:val="22"/>
              </w:rPr>
              <w:t>70</w:t>
            </w:r>
            <w:r>
              <w:rPr>
                <w:rFonts w:ascii="Times New Roman" w:hAnsi="宋体" w:eastAsia="宋体" w:cs="Times New Roman"/>
                <w:kern w:val="0"/>
                <w:sz w:val="22"/>
                <w:szCs w:val="22"/>
              </w:rPr>
              <w:t>个、对应行政审批事项不少于</w:t>
            </w:r>
            <w:r>
              <w:rPr>
                <w:rFonts w:ascii="Times New Roman" w:hAnsi="Times New Roman" w:eastAsia="宋体" w:cs="Times New Roman"/>
                <w:kern w:val="0"/>
                <w:sz w:val="22"/>
                <w:szCs w:val="22"/>
              </w:rPr>
              <w:t>200</w:t>
            </w:r>
            <w:r>
              <w:rPr>
                <w:rFonts w:ascii="Times New Roman" w:hAnsi="宋体" w:eastAsia="宋体" w:cs="Times New Roman"/>
                <w:kern w:val="0"/>
                <w:sz w:val="22"/>
                <w:szCs w:val="22"/>
              </w:rPr>
              <w:t>个，入驻中介机构不少于</w:t>
            </w:r>
            <w:r>
              <w:rPr>
                <w:rFonts w:ascii="Times New Roman" w:hAnsi="Times New Roman" w:eastAsia="宋体" w:cs="Times New Roman"/>
                <w:kern w:val="0"/>
                <w:sz w:val="22"/>
                <w:szCs w:val="22"/>
              </w:rPr>
              <w:t>50</w:t>
            </w:r>
            <w:r>
              <w:rPr>
                <w:rFonts w:ascii="Times New Roman" w:hAnsi="宋体" w:eastAsia="宋体" w:cs="Times New Roman"/>
                <w:kern w:val="0"/>
                <w:sz w:val="22"/>
                <w:szCs w:val="22"/>
              </w:rPr>
              <w:t>家，成交项目采购数不低于</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个，融合信用数据加强质量评价和信用监管，推行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好差评</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制度；分领域编制中介服务事项清单、服务标准；建立中介机构不良行为记录库，与</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信用湖南</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平台互联互通，实施联合惩戒。</w:t>
            </w:r>
          </w:p>
        </w:tc>
        <w:tc>
          <w:tcPr>
            <w:tcW w:w="1919" w:type="dxa"/>
            <w:vAlign w:val="center"/>
          </w:tcPr>
          <w:p w14:paraId="0A696433">
            <w:pPr>
              <w:widowControl/>
              <w:jc w:val="lef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101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6" w:hRule="atLeast"/>
          <w:jc w:val="center"/>
        </w:trPr>
        <w:tc>
          <w:tcPr>
            <w:tcW w:w="876" w:type="dxa"/>
            <w:vMerge w:val="continue"/>
            <w:vAlign w:val="center"/>
          </w:tcPr>
          <w:p w14:paraId="244DBBB0">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25D34626">
            <w:pPr>
              <w:widowControl/>
              <w:textAlignment w:val="center"/>
              <w:rPr>
                <w:rFonts w:ascii="Times New Roman" w:hAnsi="Times New Roman" w:eastAsia="宋体" w:cs="Times New Roman"/>
                <w:kern w:val="0"/>
                <w:sz w:val="22"/>
                <w:szCs w:val="22"/>
              </w:rPr>
            </w:pPr>
          </w:p>
        </w:tc>
        <w:tc>
          <w:tcPr>
            <w:tcW w:w="10107" w:type="dxa"/>
            <w:vAlign w:val="center"/>
          </w:tcPr>
          <w:p w14:paraId="3D5D2B5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开展中介服务专项整治，将专项整治纳入群众身边不正之风和腐败问题集中整治重点，严查权力寻租、利益输送、徇私牟利等违纪违法行为；严明在职、退休公职人员在中介机构兼职取酬、参股分红、变相牟利的纪律规定，常态化开展中介服务专项审计。</w:t>
            </w:r>
          </w:p>
        </w:tc>
        <w:tc>
          <w:tcPr>
            <w:tcW w:w="1919" w:type="dxa"/>
            <w:vAlign w:val="center"/>
          </w:tcPr>
          <w:p w14:paraId="0B6CC0E6">
            <w:pPr>
              <w:widowControl/>
              <w:jc w:val="lef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市纪委监委、市审计局等相关单位</w:t>
            </w:r>
          </w:p>
        </w:tc>
      </w:tr>
      <w:tr w14:paraId="129C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1" w:hRule="atLeast"/>
          <w:jc w:val="center"/>
        </w:trPr>
        <w:tc>
          <w:tcPr>
            <w:tcW w:w="876" w:type="dxa"/>
            <w:vMerge w:val="continue"/>
            <w:vAlign w:val="center"/>
          </w:tcPr>
          <w:p w14:paraId="7BF3854E">
            <w:pPr>
              <w:widowControl/>
              <w:textAlignment w:val="center"/>
              <w:rPr>
                <w:rFonts w:ascii="Times New Roman" w:hAnsi="Times New Roman" w:eastAsia="宋体" w:cs="Times New Roman"/>
                <w:kern w:val="0"/>
                <w:sz w:val="22"/>
                <w:szCs w:val="22"/>
              </w:rPr>
            </w:pPr>
          </w:p>
        </w:tc>
        <w:tc>
          <w:tcPr>
            <w:tcW w:w="1522" w:type="dxa"/>
            <w:vAlign w:val="center"/>
          </w:tcPr>
          <w:p w14:paraId="5065E17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15.</w:t>
            </w:r>
            <w:r>
              <w:rPr>
                <w:rFonts w:ascii="Times New Roman" w:hAnsi="宋体" w:eastAsia="宋体" w:cs="Times New Roman"/>
                <w:kern w:val="0"/>
                <w:sz w:val="22"/>
                <w:szCs w:val="22"/>
              </w:rPr>
              <w:t>规范公共资源交易</w:t>
            </w:r>
          </w:p>
        </w:tc>
        <w:tc>
          <w:tcPr>
            <w:tcW w:w="10107" w:type="dxa"/>
            <w:vAlign w:val="center"/>
          </w:tcPr>
          <w:p w14:paraId="53C28D1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机器管招投标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改革，落实《湖南省工程建设项目招标投标信用评价管理办法》，关联</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信用服务一张网</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推送市场主体相应信用评价数据；推进框架协议采购，规范多频次小额采购；全力推进采砂权交易系统上线运行，做好项目受理、信息发布、交易组织、保证金管理、价款结算等全流程服务；创新国有资产与自然资源组合交易方式，推进资产组合包通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三资平台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线上交易，探索确权颁证、价值评估、资产组合三步走整合流程。构建完备的人员轨迹监管与预警体系。</w:t>
            </w:r>
          </w:p>
        </w:tc>
        <w:tc>
          <w:tcPr>
            <w:tcW w:w="1919" w:type="dxa"/>
            <w:vAlign w:val="center"/>
          </w:tcPr>
          <w:p w14:paraId="313422C9">
            <w:pPr>
              <w:widowControl/>
              <w:jc w:val="lef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市公共资源交易中心、市财政局、市发改委、市自然资源和规划局、市国资委等相关单位</w:t>
            </w:r>
          </w:p>
        </w:tc>
      </w:tr>
      <w:tr w14:paraId="4249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0" w:hRule="atLeast"/>
          <w:jc w:val="center"/>
        </w:trPr>
        <w:tc>
          <w:tcPr>
            <w:tcW w:w="876" w:type="dxa"/>
            <w:vMerge w:val="restart"/>
            <w:vAlign w:val="center"/>
          </w:tcPr>
          <w:p w14:paraId="03392E2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（五）提升政务服务效能</w:t>
            </w:r>
          </w:p>
        </w:tc>
        <w:tc>
          <w:tcPr>
            <w:tcW w:w="1522" w:type="dxa"/>
            <w:vAlign w:val="center"/>
          </w:tcPr>
          <w:p w14:paraId="15750C65">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16.</w:t>
            </w:r>
            <w:r>
              <w:rPr>
                <w:rFonts w:ascii="Times New Roman" w:hAnsi="宋体" w:eastAsia="宋体" w:cs="Times New Roman"/>
                <w:kern w:val="0"/>
                <w:sz w:val="22"/>
                <w:szCs w:val="22"/>
              </w:rPr>
              <w:t>深化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一网通办</w:t>
            </w:r>
            <w:r>
              <w:rPr>
                <w:rFonts w:ascii="Times New Roman" w:hAnsi="Times New Roman" w:eastAsia="宋体" w:cs="Times New Roman"/>
                <w:kern w:val="0"/>
                <w:sz w:val="22"/>
                <w:szCs w:val="22"/>
              </w:rPr>
              <w:t>”</w:t>
            </w:r>
          </w:p>
        </w:tc>
        <w:tc>
          <w:tcPr>
            <w:tcW w:w="10107" w:type="dxa"/>
            <w:vAlign w:val="center"/>
          </w:tcPr>
          <w:p w14:paraId="7FC3068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全面推进</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年第一批</w:t>
            </w:r>
            <w:r>
              <w:rPr>
                <w:rFonts w:ascii="Times New Roman" w:hAnsi="Times New Roman" w:eastAsia="宋体" w:cs="Times New Roman"/>
                <w:kern w:val="0"/>
                <w:sz w:val="22"/>
                <w:szCs w:val="22"/>
              </w:rPr>
              <w:t>15</w:t>
            </w:r>
            <w:r>
              <w:rPr>
                <w:rFonts w:ascii="Times New Roman" w:hAnsi="宋体" w:eastAsia="宋体" w:cs="Times New Roman"/>
                <w:kern w:val="0"/>
                <w:sz w:val="22"/>
                <w:szCs w:val="22"/>
              </w:rPr>
              <w:t>个</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落实落地，市本级至少拓展</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个特色</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，对新上线事项开展线下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走流程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，全年两批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总办件量突破</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万件；持续攻坚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网办率提升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，网上申办率达到</w:t>
            </w:r>
            <w:r>
              <w:rPr>
                <w:rFonts w:ascii="Times New Roman" w:hAnsi="Times New Roman" w:eastAsia="宋体" w:cs="Times New Roman"/>
                <w:kern w:val="0"/>
                <w:sz w:val="22"/>
                <w:szCs w:val="22"/>
              </w:rPr>
              <w:t>80%</w:t>
            </w:r>
            <w:r>
              <w:rPr>
                <w:rFonts w:ascii="Times New Roman" w:hAnsi="宋体" w:eastAsia="宋体" w:cs="Times New Roman"/>
                <w:kern w:val="0"/>
                <w:sz w:val="22"/>
                <w:szCs w:val="22"/>
              </w:rPr>
              <w:t>以上，电子证照质检通过率</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99%</w:t>
            </w:r>
            <w:r>
              <w:rPr>
                <w:rFonts w:ascii="Times New Roman" w:hAnsi="宋体" w:eastAsia="宋体" w:cs="Times New Roman"/>
                <w:kern w:val="0"/>
                <w:sz w:val="22"/>
                <w:szCs w:val="22"/>
              </w:rPr>
              <w:t>，电子印章应用覆盖率达</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（涉企事项），表单类、证明类材料数字化率</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；推进</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政务服务</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，智能导办机器人问答准确率</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90%</w:t>
            </w:r>
            <w:r>
              <w:rPr>
                <w:rFonts w:ascii="Times New Roman" w:hAnsi="宋体" w:eastAsia="宋体" w:cs="Times New Roman"/>
                <w:kern w:val="0"/>
                <w:sz w:val="22"/>
                <w:szCs w:val="22"/>
              </w:rPr>
              <w:t>，覆盖</w:t>
            </w:r>
            <w:r>
              <w:rPr>
                <w:rFonts w:ascii="Times New Roman" w:hAnsi="Times New Roman" w:eastAsia="宋体" w:cs="Times New Roman"/>
                <w:kern w:val="0"/>
                <w:sz w:val="22"/>
                <w:szCs w:val="22"/>
              </w:rPr>
              <w:t>80%</w:t>
            </w:r>
            <w:r>
              <w:rPr>
                <w:rFonts w:ascii="Times New Roman" w:hAnsi="宋体" w:eastAsia="宋体" w:cs="Times New Roman"/>
                <w:kern w:val="0"/>
                <w:sz w:val="22"/>
                <w:szCs w:val="22"/>
              </w:rPr>
              <w:t>以上高频事项咨询需求，线下大厅咨询量减少</w:t>
            </w:r>
            <w:r>
              <w:rPr>
                <w:rFonts w:ascii="Times New Roman" w:hAnsi="Times New Roman" w:eastAsia="宋体" w:cs="Times New Roman"/>
                <w:kern w:val="0"/>
                <w:sz w:val="22"/>
                <w:szCs w:val="22"/>
              </w:rPr>
              <w:t>30%</w:t>
            </w:r>
            <w:r>
              <w:rPr>
                <w:rFonts w:ascii="Times New Roman" w:hAnsi="宋体" w:eastAsia="宋体" w:cs="Times New Roman"/>
                <w:kern w:val="0"/>
                <w:sz w:val="22"/>
                <w:szCs w:val="22"/>
              </w:rPr>
              <w:t>；</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个高频事项实现</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智审全覆盖，审批材料核验效率提升</w:t>
            </w:r>
            <w:r>
              <w:rPr>
                <w:rFonts w:ascii="Times New Roman" w:hAnsi="Times New Roman" w:eastAsia="宋体" w:cs="Times New Roman"/>
                <w:kern w:val="0"/>
                <w:sz w:val="22"/>
                <w:szCs w:val="22"/>
              </w:rPr>
              <w:t>60%</w:t>
            </w:r>
            <w:r>
              <w:rPr>
                <w:rFonts w:ascii="Times New Roman" w:hAnsi="宋体" w:eastAsia="宋体" w:cs="Times New Roman"/>
                <w:kern w:val="0"/>
                <w:sz w:val="22"/>
                <w:szCs w:val="22"/>
              </w:rPr>
              <w:t>，平均审批时长缩短至</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个工作日内。</w:t>
            </w:r>
          </w:p>
        </w:tc>
        <w:tc>
          <w:tcPr>
            <w:tcW w:w="1919" w:type="dxa"/>
            <w:vAlign w:val="center"/>
          </w:tcPr>
          <w:p w14:paraId="5CC0614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544D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3" w:hRule="atLeast"/>
          <w:jc w:val="center"/>
        </w:trPr>
        <w:tc>
          <w:tcPr>
            <w:tcW w:w="876" w:type="dxa"/>
            <w:vMerge w:val="continue"/>
            <w:vAlign w:val="center"/>
          </w:tcPr>
          <w:p w14:paraId="5C7503F0">
            <w:pPr>
              <w:widowControl/>
              <w:textAlignment w:val="center"/>
              <w:rPr>
                <w:rFonts w:ascii="Times New Roman" w:hAnsi="Times New Roman" w:eastAsia="宋体" w:cs="Times New Roman"/>
                <w:kern w:val="0"/>
                <w:sz w:val="22"/>
                <w:szCs w:val="22"/>
              </w:rPr>
            </w:pPr>
          </w:p>
        </w:tc>
        <w:tc>
          <w:tcPr>
            <w:tcW w:w="1522" w:type="dxa"/>
            <w:vMerge w:val="restart"/>
            <w:vAlign w:val="center"/>
          </w:tcPr>
          <w:p w14:paraId="5BD16BC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17.</w:t>
            </w:r>
            <w:r>
              <w:rPr>
                <w:rFonts w:ascii="Times New Roman" w:hAnsi="宋体" w:eastAsia="宋体" w:cs="Times New Roman"/>
                <w:kern w:val="0"/>
                <w:sz w:val="22"/>
                <w:szCs w:val="22"/>
              </w:rPr>
              <w:t>提升办理建筑许可便利度</w:t>
            </w:r>
          </w:p>
        </w:tc>
        <w:tc>
          <w:tcPr>
            <w:tcW w:w="10107" w:type="dxa"/>
            <w:vAlign w:val="center"/>
          </w:tcPr>
          <w:p w14:paraId="4FBC8938">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深化房屋建筑和市政基础设施工程招投标改革。全面推行房屋建筑和市政基础设施工程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机器管招投标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，构建数字化、模块化电子招标文件范本体系，稳步推进现场与远程分散评标；推行房地产项目分期缴纳土地出让价款办理报建手续。对分期缴纳土地出让价款的房地产开发项目，受让人缴纳</w:t>
            </w:r>
            <w:r>
              <w:rPr>
                <w:rFonts w:ascii="Times New Roman" w:hAnsi="Times New Roman" w:eastAsia="宋体" w:cs="Times New Roman"/>
                <w:kern w:val="0"/>
                <w:sz w:val="22"/>
                <w:szCs w:val="22"/>
              </w:rPr>
              <w:t>50%</w:t>
            </w:r>
            <w:r>
              <w:rPr>
                <w:rFonts w:ascii="Times New Roman" w:hAnsi="宋体" w:eastAsia="宋体" w:cs="Times New Roman"/>
                <w:kern w:val="0"/>
                <w:sz w:val="22"/>
                <w:szCs w:val="22"/>
              </w:rPr>
              <w:t>以上后即可申请办理建设用地规划许可证、建设工程规划许可证、施工许可证等报建手续，付清余款后办理预售许可证和不动产权证。</w:t>
            </w:r>
          </w:p>
        </w:tc>
        <w:tc>
          <w:tcPr>
            <w:tcW w:w="1919" w:type="dxa"/>
            <w:vAlign w:val="center"/>
          </w:tcPr>
          <w:p w14:paraId="36A490C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市住建局、市自然资源和规划局等相关单位</w:t>
            </w:r>
          </w:p>
        </w:tc>
      </w:tr>
      <w:tr w14:paraId="58E5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4" w:hRule="atLeast"/>
          <w:jc w:val="center"/>
        </w:trPr>
        <w:tc>
          <w:tcPr>
            <w:tcW w:w="876" w:type="dxa"/>
            <w:vMerge w:val="continue"/>
            <w:vAlign w:val="center"/>
          </w:tcPr>
          <w:p w14:paraId="6C545D59">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31FF84E8">
            <w:pPr>
              <w:widowControl/>
              <w:textAlignment w:val="center"/>
              <w:rPr>
                <w:rFonts w:ascii="Times New Roman" w:hAnsi="Times New Roman" w:eastAsia="宋体" w:cs="Times New Roman"/>
                <w:kern w:val="0"/>
                <w:sz w:val="22"/>
                <w:szCs w:val="22"/>
              </w:rPr>
            </w:pPr>
          </w:p>
        </w:tc>
        <w:tc>
          <w:tcPr>
            <w:tcW w:w="10107" w:type="dxa"/>
            <w:vAlign w:val="center"/>
          </w:tcPr>
          <w:p w14:paraId="1EF603D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推进建设项目全生命周期</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改革。将消防设计审查、施工许可、质量安全监督、垃圾处置核准、排水许可、人防设计审查、施工图审查、人防质监手续等整合为开工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；深入推进高效办成建设项目联合验收</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改革。将规划核实、土地核验、消防验收或备案、档案验收、人防竣工验收备案等整合为联合验收</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w:t>
            </w:r>
            <w:r>
              <w:rPr>
                <w:rStyle w:val="7"/>
                <w:rFonts w:hint="default" w:ascii="Times New Roman" w:cs="Times New Roman"/>
                <w:color w:val="auto"/>
              </w:rPr>
              <w:t>提高</w:t>
            </w:r>
            <w:r>
              <w:rPr>
                <w:rStyle w:val="7"/>
                <w:rFonts w:hint="default" w:ascii="Times New Roman" w:hAnsi="Times New Roman" w:cs="Times New Roman"/>
                <w:color w:val="auto"/>
              </w:rPr>
              <w:t>“</w:t>
            </w:r>
            <w:r>
              <w:rPr>
                <w:rStyle w:val="7"/>
                <w:rFonts w:hint="default" w:ascii="Times New Roman" w:cs="Times New Roman"/>
                <w:color w:val="auto"/>
              </w:rPr>
              <w:t>建设项目开工一件事</w:t>
            </w:r>
            <w:r>
              <w:rPr>
                <w:rStyle w:val="7"/>
                <w:rFonts w:hint="default" w:ascii="Times New Roman" w:hAnsi="Times New Roman" w:cs="Times New Roman"/>
                <w:color w:val="auto"/>
              </w:rPr>
              <w:t>”</w:t>
            </w:r>
            <w:r>
              <w:rPr>
                <w:rStyle w:val="7"/>
                <w:rFonts w:hint="default" w:ascii="Times New Roman" w:cs="Times New Roman"/>
                <w:color w:val="auto"/>
              </w:rPr>
              <w:t>〔将消防设计审查、施工许可证核发、城市建筑垃圾处置核准、城镇污水排入排水管网许可（临时）等作为一件事办理〕办件比率达到</w:t>
            </w:r>
            <w:r>
              <w:rPr>
                <w:rStyle w:val="7"/>
                <w:rFonts w:hint="default" w:ascii="Times New Roman" w:hAnsi="Times New Roman" w:cs="Times New Roman"/>
                <w:color w:val="auto"/>
              </w:rPr>
              <w:t>30%</w:t>
            </w:r>
            <w:r>
              <w:rPr>
                <w:rStyle w:val="7"/>
                <w:rFonts w:hint="default" w:ascii="Times New Roman" w:cs="Times New Roman"/>
                <w:color w:val="auto"/>
              </w:rPr>
              <w:t>以上。</w:t>
            </w:r>
          </w:p>
        </w:tc>
        <w:tc>
          <w:tcPr>
            <w:tcW w:w="1919" w:type="dxa"/>
            <w:vAlign w:val="center"/>
          </w:tcPr>
          <w:p w14:paraId="6014646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市住建局、市城市管理局、市国动办（人防办）、市自然资源和规划局等相关单位</w:t>
            </w:r>
          </w:p>
        </w:tc>
      </w:tr>
      <w:tr w14:paraId="3A68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31" w:hRule="atLeast"/>
          <w:jc w:val="center"/>
        </w:trPr>
        <w:tc>
          <w:tcPr>
            <w:tcW w:w="876" w:type="dxa"/>
            <w:vMerge w:val="continue"/>
            <w:vAlign w:val="center"/>
          </w:tcPr>
          <w:p w14:paraId="3B0F80E0">
            <w:pPr>
              <w:widowControl/>
              <w:textAlignment w:val="center"/>
              <w:rPr>
                <w:rFonts w:ascii="Times New Roman" w:hAnsi="Times New Roman" w:eastAsia="宋体" w:cs="Times New Roman"/>
                <w:kern w:val="0"/>
                <w:sz w:val="22"/>
                <w:szCs w:val="22"/>
              </w:rPr>
            </w:pPr>
          </w:p>
        </w:tc>
        <w:tc>
          <w:tcPr>
            <w:tcW w:w="1522" w:type="dxa"/>
            <w:vMerge w:val="continue"/>
            <w:vAlign w:val="center"/>
          </w:tcPr>
          <w:p w14:paraId="0C9B8281">
            <w:pPr>
              <w:widowControl/>
              <w:textAlignment w:val="center"/>
              <w:rPr>
                <w:rFonts w:ascii="Times New Roman" w:hAnsi="Times New Roman" w:eastAsia="宋体" w:cs="Times New Roman"/>
                <w:kern w:val="0"/>
                <w:sz w:val="22"/>
                <w:szCs w:val="22"/>
              </w:rPr>
            </w:pPr>
          </w:p>
        </w:tc>
        <w:tc>
          <w:tcPr>
            <w:tcW w:w="10107" w:type="dxa"/>
            <w:vAlign w:val="center"/>
          </w:tcPr>
          <w:p w14:paraId="2997391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全面推行建筑业企业资质审批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电子证照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改革。推行企业资质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电子证照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，实现审批事项线上办理、一网通办、电子签章制发及证书打印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零等待</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，企业办事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零跑动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；规范建筑工程审批。</w:t>
            </w:r>
            <w:r>
              <w:rPr>
                <w:rStyle w:val="7"/>
                <w:rFonts w:hint="default" w:ascii="Times New Roman" w:cs="Times New Roman"/>
                <w:color w:val="auto"/>
              </w:rPr>
              <w:t>受理审批事项数占办理项目数比率不低于</w:t>
            </w:r>
            <w:r>
              <w:rPr>
                <w:rStyle w:val="7"/>
                <w:rFonts w:hint="default" w:ascii="Times New Roman" w:hAnsi="Times New Roman" w:cs="Times New Roman"/>
                <w:color w:val="auto"/>
              </w:rPr>
              <w:t>2.6:1</w:t>
            </w:r>
            <w:r>
              <w:rPr>
                <w:rStyle w:val="7"/>
                <w:rFonts w:hint="default" w:ascii="Times New Roman" w:cs="Times New Roman"/>
                <w:color w:val="auto"/>
              </w:rPr>
              <w:t>，</w:t>
            </w:r>
            <w:r>
              <w:rPr>
                <w:rStyle w:val="8"/>
                <w:rFonts w:hint="default" w:ascii="Times New Roman" w:cs="Times New Roman"/>
                <w:color w:val="auto"/>
              </w:rPr>
              <w:t>杜绝线下审批、极短审批及线下审批成果补录现象。</w:t>
            </w:r>
            <w:r>
              <w:rPr>
                <w:rStyle w:val="7"/>
                <w:rFonts w:hint="default" w:ascii="Times New Roman" w:cs="Times New Roman"/>
                <w:color w:val="auto"/>
              </w:rPr>
              <w:t>单个事项退件和暂停不超过</w:t>
            </w:r>
            <w:r>
              <w:rPr>
                <w:rStyle w:val="7"/>
                <w:rFonts w:hint="default" w:ascii="Times New Roman" w:hAnsi="Times New Roman" w:cs="Times New Roman"/>
                <w:color w:val="auto"/>
              </w:rPr>
              <w:t>3</w:t>
            </w:r>
            <w:r>
              <w:rPr>
                <w:rStyle w:val="7"/>
                <w:rFonts w:hint="default" w:ascii="Times New Roman" w:cs="Times New Roman"/>
                <w:color w:val="auto"/>
              </w:rPr>
              <w:t>次</w:t>
            </w:r>
            <w:r>
              <w:rPr>
                <w:rStyle w:val="8"/>
                <w:rFonts w:hint="default" w:ascii="Times New Roman" w:cs="Times New Roman"/>
                <w:color w:val="auto"/>
              </w:rPr>
              <w:t>，依法查处出借资质、违法发包转包、未批先建等问题，杜绝审批腐败及新增非法违法建设项目。</w:t>
            </w:r>
          </w:p>
        </w:tc>
        <w:tc>
          <w:tcPr>
            <w:tcW w:w="1919" w:type="dxa"/>
            <w:vAlign w:val="center"/>
          </w:tcPr>
          <w:p w14:paraId="1FDC9AE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市住建局、市城市管理局等相关单位</w:t>
            </w:r>
          </w:p>
        </w:tc>
      </w:tr>
      <w:tr w14:paraId="57E0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93" w:hRule="atLeast"/>
          <w:jc w:val="center"/>
        </w:trPr>
        <w:tc>
          <w:tcPr>
            <w:tcW w:w="876" w:type="dxa"/>
            <w:vMerge w:val="restart"/>
            <w:vAlign w:val="center"/>
          </w:tcPr>
          <w:p w14:paraId="0903B1DA">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（五）提升政务服务效能</w:t>
            </w:r>
          </w:p>
        </w:tc>
        <w:tc>
          <w:tcPr>
            <w:tcW w:w="1522" w:type="dxa"/>
            <w:vAlign w:val="center"/>
          </w:tcPr>
          <w:p w14:paraId="695D628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18.</w:t>
            </w:r>
            <w:r>
              <w:rPr>
                <w:rFonts w:ascii="Times New Roman" w:hAnsi="宋体" w:eastAsia="宋体" w:cs="Times New Roman"/>
                <w:kern w:val="0"/>
                <w:sz w:val="22"/>
                <w:szCs w:val="22"/>
              </w:rPr>
              <w:t>提升不动产登记便利度</w:t>
            </w:r>
          </w:p>
        </w:tc>
        <w:tc>
          <w:tcPr>
            <w:tcW w:w="10107" w:type="dxa"/>
            <w:vAlign w:val="center"/>
          </w:tcPr>
          <w:p w14:paraId="4530D0FF">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推进商品房分户登记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极简自主办证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改革，全款购房户办理商品房分户登记资料由</w:t>
            </w:r>
            <w:r>
              <w:rPr>
                <w:rFonts w:ascii="Times New Roman" w:hAnsi="Times New Roman" w:eastAsia="宋体" w:cs="Times New Roman"/>
                <w:kern w:val="0"/>
                <w:sz w:val="22"/>
                <w:szCs w:val="22"/>
              </w:rPr>
              <w:t>8</w:t>
            </w:r>
            <w:r>
              <w:rPr>
                <w:rFonts w:ascii="Times New Roman" w:hAnsi="宋体" w:eastAsia="宋体" w:cs="Times New Roman"/>
                <w:kern w:val="0"/>
                <w:sz w:val="22"/>
                <w:szCs w:val="22"/>
              </w:rPr>
              <w:t>项精简至</w:t>
            </w:r>
            <w:r>
              <w:rPr>
                <w:rFonts w:ascii="Times New Roman" w:hAnsi="Times New Roman" w:eastAsia="宋体" w:cs="Times New Roman"/>
                <w:kern w:val="0"/>
                <w:sz w:val="22"/>
                <w:szCs w:val="22"/>
              </w:rPr>
              <w:t>2</w:t>
            </w:r>
            <w:r>
              <w:rPr>
                <w:rFonts w:ascii="Times New Roman" w:hAnsi="宋体" w:eastAsia="宋体" w:cs="Times New Roman"/>
                <w:kern w:val="0"/>
                <w:sz w:val="22"/>
                <w:szCs w:val="22"/>
              </w:rPr>
              <w:t>项，贷款购房户由</w:t>
            </w:r>
            <w:r>
              <w:rPr>
                <w:rFonts w:ascii="Times New Roman" w:hAnsi="Times New Roman" w:eastAsia="宋体" w:cs="Times New Roman"/>
                <w:kern w:val="0"/>
                <w:sz w:val="22"/>
                <w:szCs w:val="22"/>
              </w:rPr>
              <w:t>12</w:t>
            </w:r>
            <w:r>
              <w:rPr>
                <w:rFonts w:ascii="Times New Roman" w:hAnsi="宋体" w:eastAsia="宋体" w:cs="Times New Roman"/>
                <w:kern w:val="0"/>
                <w:sz w:val="22"/>
                <w:szCs w:val="22"/>
              </w:rPr>
              <w:t>项精简至</w:t>
            </w:r>
            <w:r>
              <w:rPr>
                <w:rFonts w:ascii="Times New Roman" w:hAnsi="Times New Roman" w:eastAsia="宋体" w:cs="Times New Roman"/>
                <w:kern w:val="0"/>
                <w:sz w:val="22"/>
                <w:szCs w:val="22"/>
              </w:rPr>
              <w:t>2</w:t>
            </w:r>
            <w:r>
              <w:rPr>
                <w:rFonts w:ascii="Times New Roman" w:hAnsi="宋体" w:eastAsia="宋体" w:cs="Times New Roman"/>
                <w:kern w:val="0"/>
                <w:sz w:val="22"/>
                <w:szCs w:val="22"/>
              </w:rPr>
              <w:t>项，金融机构审批时间由</w:t>
            </w:r>
            <w:r>
              <w:rPr>
                <w:rFonts w:ascii="Times New Roman" w:hAnsi="Times New Roman" w:eastAsia="宋体" w:cs="Times New Roman"/>
                <w:kern w:val="0"/>
                <w:sz w:val="22"/>
                <w:szCs w:val="22"/>
              </w:rPr>
              <w:t>1-2</w:t>
            </w:r>
            <w:r>
              <w:rPr>
                <w:rFonts w:ascii="Times New Roman" w:hAnsi="宋体" w:eastAsia="宋体" w:cs="Times New Roman"/>
                <w:kern w:val="0"/>
                <w:sz w:val="22"/>
                <w:szCs w:val="22"/>
              </w:rPr>
              <w:t>个月压缩至随到随办，购房户可单方申请办理分证；推进与税务、公安、财政、法院等部门信息共享，支撑教育入学、企业破产核查、公租房申请等</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高效办成一件事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；提升登记服务标准化水平，公示涵盖</w:t>
            </w:r>
            <w:r>
              <w:rPr>
                <w:rFonts w:ascii="Times New Roman" w:hAnsi="Times New Roman" w:eastAsia="宋体" w:cs="Times New Roman"/>
                <w:kern w:val="0"/>
                <w:sz w:val="22"/>
                <w:szCs w:val="22"/>
              </w:rPr>
              <w:t>69</w:t>
            </w:r>
            <w:r>
              <w:rPr>
                <w:rFonts w:ascii="Times New Roman" w:hAnsi="宋体" w:eastAsia="宋体" w:cs="Times New Roman"/>
                <w:kern w:val="0"/>
                <w:sz w:val="22"/>
                <w:szCs w:val="22"/>
              </w:rPr>
              <w:t>项不动产登记类型的办事指南，一般业务办理时限不超过</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个工作日；二手房转移登记落实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一窗受理、并行办理</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，抵押</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预告登记等业务网上办理率不低于</w:t>
            </w:r>
            <w:r>
              <w:rPr>
                <w:rFonts w:ascii="Times New Roman" w:hAnsi="Times New Roman" w:eastAsia="宋体" w:cs="Times New Roman"/>
                <w:kern w:val="0"/>
                <w:sz w:val="22"/>
                <w:szCs w:val="22"/>
              </w:rPr>
              <w:t>50%</w:t>
            </w:r>
            <w:r>
              <w:rPr>
                <w:rFonts w:ascii="Times New Roman" w:hAnsi="宋体" w:eastAsia="宋体" w:cs="Times New Roman"/>
                <w:kern w:val="0"/>
                <w:sz w:val="22"/>
                <w:szCs w:val="22"/>
              </w:rPr>
              <w:t>，二手房转移登记支持线上办理，开展线上查解封业务。</w:t>
            </w:r>
          </w:p>
        </w:tc>
        <w:tc>
          <w:tcPr>
            <w:tcW w:w="1919" w:type="dxa"/>
            <w:vAlign w:val="center"/>
          </w:tcPr>
          <w:p w14:paraId="470685D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市自然资源和规划局、中国人民银行永州市分行、市税务局、市公安局、市财政局、市中级人民法院、市住建局等相关单位</w:t>
            </w:r>
          </w:p>
        </w:tc>
      </w:tr>
      <w:tr w14:paraId="22CB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4" w:hRule="atLeast"/>
          <w:jc w:val="center"/>
        </w:trPr>
        <w:tc>
          <w:tcPr>
            <w:tcW w:w="876" w:type="dxa"/>
            <w:vMerge w:val="continue"/>
            <w:vAlign w:val="center"/>
          </w:tcPr>
          <w:p w14:paraId="7C3D9C7F">
            <w:pPr>
              <w:widowControl/>
              <w:textAlignment w:val="center"/>
              <w:rPr>
                <w:rFonts w:ascii="Times New Roman" w:hAnsi="Times New Roman" w:eastAsia="宋体" w:cs="Times New Roman"/>
                <w:kern w:val="0"/>
                <w:sz w:val="22"/>
                <w:szCs w:val="22"/>
              </w:rPr>
            </w:pPr>
          </w:p>
        </w:tc>
        <w:tc>
          <w:tcPr>
            <w:tcW w:w="1522" w:type="dxa"/>
            <w:vAlign w:val="center"/>
          </w:tcPr>
          <w:p w14:paraId="353FD6E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19.</w:t>
            </w:r>
            <w:r>
              <w:rPr>
                <w:rFonts w:ascii="Times New Roman" w:hAnsi="宋体" w:eastAsia="宋体" w:cs="Times New Roman"/>
                <w:kern w:val="0"/>
                <w:sz w:val="22"/>
                <w:szCs w:val="22"/>
              </w:rPr>
              <w:t>提升办税便利度</w:t>
            </w:r>
          </w:p>
        </w:tc>
        <w:tc>
          <w:tcPr>
            <w:tcW w:w="10107" w:type="dxa"/>
            <w:vAlign w:val="center"/>
          </w:tcPr>
          <w:p w14:paraId="47245E9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围绕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高效办成一件事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，持续推进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便民办税春风行动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，推动自然人综合所得汇算网办率不低于</w:t>
            </w:r>
            <w:r>
              <w:rPr>
                <w:rFonts w:ascii="Times New Roman" w:hAnsi="Times New Roman" w:eastAsia="宋体" w:cs="Times New Roman"/>
                <w:kern w:val="0"/>
                <w:sz w:val="22"/>
                <w:szCs w:val="22"/>
              </w:rPr>
              <w:t>90%</w:t>
            </w:r>
            <w:r>
              <w:rPr>
                <w:rFonts w:ascii="Times New Roman" w:hAnsi="宋体" w:eastAsia="宋体" w:cs="Times New Roman"/>
                <w:kern w:val="0"/>
                <w:sz w:val="22"/>
                <w:szCs w:val="22"/>
              </w:rPr>
              <w:t>，减免退税、误收多缴退抵税及留抵退税准期办结率达</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；拓展电子税务局功能，扩大数字化电子发票覆盖范围，推行分类智能赋额，推广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乐企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服务和资源回收企业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反向开票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；一二类出口企业正常退税平均办理时限压缩至</w:t>
            </w:r>
            <w:r>
              <w:rPr>
                <w:rFonts w:ascii="Times New Roman" w:hAnsi="Times New Roman" w:eastAsia="宋体" w:cs="Times New Roman"/>
                <w:kern w:val="0"/>
                <w:sz w:val="22"/>
                <w:szCs w:val="22"/>
              </w:rPr>
              <w:t>3</w:t>
            </w:r>
            <w:r>
              <w:rPr>
                <w:rFonts w:ascii="Times New Roman" w:hAnsi="宋体" w:eastAsia="宋体" w:cs="Times New Roman"/>
                <w:kern w:val="0"/>
                <w:sz w:val="22"/>
                <w:szCs w:val="22"/>
              </w:rPr>
              <w:t>个工作日内；便利企业跨区迁移，由迁入地提供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一站式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服务。建立破产企业涉税费协作机制，简化注销流程，一般注销流程准期率达</w:t>
            </w:r>
            <w:r>
              <w:rPr>
                <w:rFonts w:ascii="Times New Roman" w:hAnsi="Times New Roman" w:eastAsia="宋体" w:cs="Times New Roman"/>
                <w:kern w:val="0"/>
                <w:sz w:val="22"/>
                <w:szCs w:val="22"/>
              </w:rPr>
              <w:t>97%</w:t>
            </w:r>
            <w:r>
              <w:rPr>
                <w:rFonts w:ascii="Times New Roman" w:hAnsi="宋体" w:eastAsia="宋体" w:cs="Times New Roman"/>
                <w:kern w:val="0"/>
                <w:sz w:val="22"/>
                <w:szCs w:val="22"/>
              </w:rPr>
              <w:t>以上。会同工信、市监、工商联等部门开展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春雨润苗</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中小企业服务月</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等活动，联合开展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一起益企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中小企业服务行动，定期召开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税企面对面</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座谈交流会；推动</w:t>
            </w:r>
            <w:r>
              <w:rPr>
                <w:rFonts w:ascii="Times New Roman" w:hAnsi="Times New Roman" w:eastAsia="宋体" w:cs="Times New Roman"/>
                <w:kern w:val="0"/>
                <w:sz w:val="22"/>
                <w:szCs w:val="22"/>
              </w:rPr>
              <w:t xml:space="preserve"> 12366</w:t>
            </w:r>
            <w:r>
              <w:rPr>
                <w:rFonts w:ascii="Times New Roman" w:hAnsi="宋体" w:eastAsia="宋体" w:cs="Times New Roman"/>
                <w:kern w:val="0"/>
                <w:sz w:val="22"/>
                <w:szCs w:val="22"/>
              </w:rPr>
              <w:t>热线接通率达到</w:t>
            </w:r>
            <w:r>
              <w:rPr>
                <w:rFonts w:ascii="Times New Roman" w:hAnsi="Times New Roman" w:eastAsia="宋体" w:cs="Times New Roman"/>
                <w:kern w:val="0"/>
                <w:sz w:val="22"/>
                <w:szCs w:val="22"/>
              </w:rPr>
              <w:t>95%</w:t>
            </w:r>
            <w:r>
              <w:rPr>
                <w:rFonts w:ascii="Times New Roman" w:hAnsi="宋体" w:eastAsia="宋体" w:cs="Times New Roman"/>
                <w:kern w:val="0"/>
                <w:sz w:val="22"/>
                <w:szCs w:val="22"/>
              </w:rPr>
              <w:t>以上，人工服务平均等候时长不高于</w:t>
            </w:r>
            <w:r>
              <w:rPr>
                <w:rFonts w:ascii="Times New Roman" w:hAnsi="Times New Roman" w:eastAsia="宋体" w:cs="Times New Roman"/>
                <w:kern w:val="0"/>
                <w:sz w:val="22"/>
                <w:szCs w:val="22"/>
              </w:rPr>
              <w:t>3</w:t>
            </w:r>
            <w:r>
              <w:rPr>
                <w:rFonts w:ascii="Times New Roman" w:hAnsi="宋体" w:eastAsia="宋体" w:cs="Times New Roman"/>
                <w:kern w:val="0"/>
                <w:sz w:val="22"/>
                <w:szCs w:val="22"/>
              </w:rPr>
              <w:t>分钟，纳税服务投诉准期办结率达到</w:t>
            </w:r>
            <w:r>
              <w:rPr>
                <w:rFonts w:ascii="Times New Roman" w:hAnsi="Times New Roman" w:eastAsia="宋体" w:cs="Times New Roman"/>
                <w:kern w:val="0"/>
                <w:sz w:val="22"/>
                <w:szCs w:val="22"/>
              </w:rPr>
              <w:t>99%</w:t>
            </w:r>
            <w:r>
              <w:rPr>
                <w:rFonts w:ascii="Times New Roman" w:hAnsi="宋体" w:eastAsia="宋体" w:cs="Times New Roman"/>
                <w:kern w:val="0"/>
                <w:sz w:val="22"/>
                <w:szCs w:val="22"/>
              </w:rPr>
              <w:t>以上，纳税政务服务</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好差评</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好评率达到</w:t>
            </w:r>
            <w:r>
              <w:rPr>
                <w:rFonts w:ascii="Times New Roman" w:hAnsi="Times New Roman" w:eastAsia="宋体" w:cs="Times New Roman"/>
                <w:kern w:val="0"/>
                <w:sz w:val="22"/>
                <w:szCs w:val="22"/>
              </w:rPr>
              <w:t>95%</w:t>
            </w:r>
            <w:r>
              <w:rPr>
                <w:rFonts w:ascii="Times New Roman" w:hAnsi="宋体" w:eastAsia="宋体" w:cs="Times New Roman"/>
                <w:kern w:val="0"/>
                <w:sz w:val="22"/>
                <w:szCs w:val="22"/>
              </w:rPr>
              <w:t>以上；完善跨部门税费争议联合处置机制，推进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枫桥式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税务所建设；抓好涉税专业服务管理办法落地，全面推行信用评价与动态积分管理，推行涉税专业服务信用码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亮码执业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，提高电子税务局代理通道使用率。加强代理记账行业协同监管。</w:t>
            </w:r>
          </w:p>
        </w:tc>
        <w:tc>
          <w:tcPr>
            <w:tcW w:w="1919" w:type="dxa"/>
            <w:vAlign w:val="center"/>
          </w:tcPr>
          <w:p w14:paraId="3589745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市税务局、永州海关、市工信局、市市场监管局、市工商联、市财政局等相关单位</w:t>
            </w:r>
          </w:p>
        </w:tc>
      </w:tr>
      <w:tr w14:paraId="0D4A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876" w:type="dxa"/>
            <w:vMerge w:val="continue"/>
            <w:vAlign w:val="center"/>
          </w:tcPr>
          <w:p w14:paraId="15DF89D6">
            <w:pPr>
              <w:widowControl/>
              <w:textAlignment w:val="center"/>
              <w:rPr>
                <w:rFonts w:ascii="Times New Roman" w:hAnsi="Times New Roman" w:eastAsia="宋体" w:cs="Times New Roman"/>
                <w:kern w:val="0"/>
                <w:sz w:val="22"/>
                <w:szCs w:val="22"/>
              </w:rPr>
            </w:pPr>
          </w:p>
        </w:tc>
        <w:tc>
          <w:tcPr>
            <w:tcW w:w="1522" w:type="dxa"/>
            <w:vAlign w:val="center"/>
          </w:tcPr>
          <w:p w14:paraId="431A353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20.</w:t>
            </w:r>
            <w:r>
              <w:rPr>
                <w:rFonts w:ascii="Times New Roman" w:hAnsi="宋体" w:eastAsia="宋体" w:cs="Times New Roman"/>
                <w:kern w:val="0"/>
                <w:sz w:val="22"/>
                <w:szCs w:val="22"/>
              </w:rPr>
              <w:t>提升用电便利度</w:t>
            </w:r>
          </w:p>
        </w:tc>
        <w:tc>
          <w:tcPr>
            <w:tcW w:w="10107" w:type="dxa"/>
            <w:vAlign w:val="center"/>
          </w:tcPr>
          <w:p w14:paraId="7425E36B">
            <w:pPr>
              <w:widowControl/>
              <w:textAlignment w:val="center"/>
              <w:rPr>
                <w:rFonts w:ascii="Times New Roman" w:hAnsi="Times New Roman" w:eastAsia="宋体" w:cs="Times New Roman"/>
                <w:kern w:val="0"/>
                <w:sz w:val="22"/>
                <w:szCs w:val="22"/>
              </w:rPr>
            </w:pPr>
            <w:r>
              <w:rPr>
                <w:rStyle w:val="7"/>
                <w:rFonts w:hint="default" w:ascii="Times New Roman" w:cs="Times New Roman"/>
                <w:color w:val="auto"/>
              </w:rPr>
              <w:t>办电时限达标率</w:t>
            </w:r>
            <w:r>
              <w:rPr>
                <w:rStyle w:val="7"/>
                <w:rFonts w:hint="default" w:ascii="Times New Roman" w:hAnsi="Times New Roman" w:cs="Times New Roman"/>
                <w:color w:val="auto"/>
              </w:rPr>
              <w:t>100%</w:t>
            </w:r>
            <w:r>
              <w:rPr>
                <w:rStyle w:val="7"/>
                <w:rFonts w:hint="default" w:ascii="Times New Roman" w:cs="Times New Roman"/>
                <w:color w:val="auto"/>
              </w:rPr>
              <w:t>，高压办电环节不高于</w:t>
            </w:r>
            <w:r>
              <w:rPr>
                <w:rStyle w:val="7"/>
                <w:rFonts w:hint="default" w:ascii="Times New Roman" w:hAnsi="Times New Roman" w:cs="Times New Roman"/>
                <w:color w:val="auto"/>
              </w:rPr>
              <w:t>3</w:t>
            </w:r>
            <w:r>
              <w:rPr>
                <w:rStyle w:val="7"/>
                <w:rFonts w:hint="default" w:ascii="Times New Roman" w:cs="Times New Roman"/>
                <w:color w:val="auto"/>
              </w:rPr>
              <w:t>个、低压办电环节不高于</w:t>
            </w:r>
            <w:r>
              <w:rPr>
                <w:rStyle w:val="7"/>
                <w:rFonts w:hint="default" w:ascii="Times New Roman" w:hAnsi="Times New Roman" w:cs="Times New Roman"/>
                <w:color w:val="auto"/>
              </w:rPr>
              <w:t>2</w:t>
            </w:r>
            <w:r>
              <w:rPr>
                <w:rStyle w:val="7"/>
                <w:rFonts w:hint="default" w:ascii="Times New Roman" w:cs="Times New Roman"/>
                <w:color w:val="auto"/>
              </w:rPr>
              <w:t>个，高压申报资料不高于</w:t>
            </w:r>
            <w:r>
              <w:rPr>
                <w:rStyle w:val="7"/>
                <w:rFonts w:hint="default" w:ascii="Times New Roman" w:hAnsi="Times New Roman" w:cs="Times New Roman"/>
                <w:color w:val="auto"/>
              </w:rPr>
              <w:t>3</w:t>
            </w:r>
            <w:r>
              <w:rPr>
                <w:rStyle w:val="7"/>
                <w:rFonts w:hint="default" w:ascii="Times New Roman" w:cs="Times New Roman"/>
                <w:color w:val="auto"/>
              </w:rPr>
              <w:t>份、低压申报资料不高于</w:t>
            </w:r>
            <w:r>
              <w:rPr>
                <w:rStyle w:val="7"/>
                <w:rFonts w:hint="default" w:ascii="Times New Roman" w:hAnsi="Times New Roman" w:cs="Times New Roman"/>
                <w:color w:val="auto"/>
              </w:rPr>
              <w:t>2</w:t>
            </w:r>
            <w:r>
              <w:rPr>
                <w:rStyle w:val="7"/>
                <w:rFonts w:hint="default" w:ascii="Times New Roman" w:cs="Times New Roman"/>
                <w:color w:val="auto"/>
              </w:rPr>
              <w:t>份，落实用电报装</w:t>
            </w:r>
            <w:r>
              <w:rPr>
                <w:rStyle w:val="7"/>
                <w:rFonts w:hint="default" w:ascii="Times New Roman" w:hAnsi="Times New Roman" w:cs="Times New Roman"/>
                <w:color w:val="auto"/>
              </w:rPr>
              <w:t>“</w:t>
            </w:r>
            <w:r>
              <w:rPr>
                <w:rStyle w:val="7"/>
                <w:rFonts w:hint="default" w:ascii="Times New Roman" w:cs="Times New Roman"/>
                <w:color w:val="auto"/>
              </w:rPr>
              <w:t>零投资</w:t>
            </w:r>
            <w:r>
              <w:rPr>
                <w:rStyle w:val="7"/>
                <w:rFonts w:hint="default" w:ascii="Times New Roman" w:hAnsi="Times New Roman" w:cs="Times New Roman"/>
                <w:color w:val="auto"/>
              </w:rPr>
              <w:t>”“</w:t>
            </w:r>
            <w:r>
              <w:rPr>
                <w:rStyle w:val="7"/>
                <w:rFonts w:hint="default" w:ascii="Times New Roman" w:cs="Times New Roman"/>
                <w:color w:val="auto"/>
              </w:rPr>
              <w:t>三零</w:t>
            </w:r>
            <w:r>
              <w:rPr>
                <w:rStyle w:val="7"/>
                <w:rFonts w:hint="default" w:ascii="Times New Roman" w:hAnsi="Times New Roman" w:cs="Times New Roman"/>
                <w:color w:val="auto"/>
              </w:rPr>
              <w:t>”</w:t>
            </w:r>
            <w:r>
              <w:rPr>
                <w:rStyle w:val="7"/>
                <w:rFonts w:hint="default" w:ascii="Times New Roman" w:cs="Times New Roman"/>
                <w:color w:val="auto"/>
              </w:rPr>
              <w:t>服务政策。提高供电可靠性，年度用户平均停电时长不高于</w:t>
            </w:r>
            <w:r>
              <w:rPr>
                <w:rStyle w:val="7"/>
                <w:rFonts w:hint="default" w:ascii="Times New Roman" w:hAnsi="Times New Roman" w:cs="Times New Roman"/>
                <w:color w:val="auto"/>
              </w:rPr>
              <w:t>4.5</w:t>
            </w:r>
            <w:r>
              <w:rPr>
                <w:rStyle w:val="7"/>
                <w:rFonts w:hint="default" w:ascii="Times New Roman" w:cs="Times New Roman"/>
                <w:color w:val="auto"/>
              </w:rPr>
              <w:t>小时，用户平均停电时长同比下降率达到</w:t>
            </w:r>
            <w:r>
              <w:rPr>
                <w:rStyle w:val="7"/>
                <w:rFonts w:hint="default" w:ascii="Times New Roman" w:hAnsi="Times New Roman" w:cs="Times New Roman"/>
                <w:color w:val="auto"/>
              </w:rPr>
              <w:t>20%</w:t>
            </w:r>
            <w:r>
              <w:rPr>
                <w:rStyle w:val="7"/>
                <w:rFonts w:hint="default" w:ascii="Times New Roman" w:cs="Times New Roman"/>
                <w:color w:val="auto"/>
              </w:rPr>
              <w:t>。落实砍青除障工作，保障供电稳定，加强电力设施保护、线缆附挂整治，查处违章作业、野蛮施工、违规用电等行为。</w:t>
            </w:r>
          </w:p>
        </w:tc>
        <w:tc>
          <w:tcPr>
            <w:tcW w:w="1919" w:type="dxa"/>
            <w:vAlign w:val="center"/>
          </w:tcPr>
          <w:p w14:paraId="2E63F83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市工信局、国网永州供电公司等相关单位</w:t>
            </w:r>
          </w:p>
        </w:tc>
      </w:tr>
      <w:tr w14:paraId="330D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9" w:hRule="atLeast"/>
          <w:jc w:val="center"/>
        </w:trPr>
        <w:tc>
          <w:tcPr>
            <w:tcW w:w="876" w:type="dxa"/>
            <w:vMerge w:val="restart"/>
            <w:vAlign w:val="center"/>
          </w:tcPr>
          <w:p w14:paraId="462F2274">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（五）提升政务服务效能</w:t>
            </w:r>
          </w:p>
        </w:tc>
        <w:tc>
          <w:tcPr>
            <w:tcW w:w="1522" w:type="dxa"/>
            <w:vAlign w:val="center"/>
          </w:tcPr>
          <w:p w14:paraId="1CE7585D">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21.</w:t>
            </w:r>
            <w:r>
              <w:rPr>
                <w:rFonts w:ascii="Times New Roman" w:hAnsi="宋体" w:eastAsia="宋体" w:cs="Times New Roman"/>
                <w:kern w:val="0"/>
                <w:sz w:val="22"/>
                <w:szCs w:val="22"/>
              </w:rPr>
              <w:t>提升用水用气便利度</w:t>
            </w:r>
          </w:p>
        </w:tc>
        <w:tc>
          <w:tcPr>
            <w:tcW w:w="10107" w:type="dxa"/>
            <w:vAlign w:val="center"/>
          </w:tcPr>
          <w:p w14:paraId="5F50E958">
            <w:pPr>
              <w:widowControl/>
              <w:textAlignment w:val="center"/>
              <w:rPr>
                <w:rStyle w:val="7"/>
                <w:rFonts w:hint="default" w:ascii="Times New Roman" w:hAnsi="Times New Roman" w:cs="Times New Roman"/>
                <w:color w:val="auto"/>
              </w:rPr>
            </w:pPr>
            <w:r>
              <w:rPr>
                <w:rFonts w:ascii="Times New Roman" w:hAnsi="宋体" w:eastAsia="宋体" w:cs="Times New Roman"/>
                <w:kern w:val="0"/>
                <w:sz w:val="22"/>
                <w:szCs w:val="22"/>
              </w:rPr>
              <w:t>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信用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供水供气</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模式，对无法提供有效房产证明的用户，允许以信用承诺替代物权证明，填报《权属真实性承诺书》即可申请用水用气报装；推动供水供气企业实现用水用气报装全流程线上办理，支持在线签订供水供气合同，装表通水办结时限不超过</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个工作日，用气报装办结时限不超过</w:t>
            </w:r>
            <w:r>
              <w:rPr>
                <w:rFonts w:ascii="Times New Roman" w:hAnsi="Times New Roman" w:eastAsia="宋体" w:cs="Times New Roman"/>
                <w:kern w:val="0"/>
                <w:sz w:val="22"/>
                <w:szCs w:val="22"/>
              </w:rPr>
              <w:t>7</w:t>
            </w:r>
            <w:r>
              <w:rPr>
                <w:rFonts w:ascii="Times New Roman" w:hAnsi="宋体" w:eastAsia="宋体" w:cs="Times New Roman"/>
                <w:kern w:val="0"/>
                <w:sz w:val="22"/>
                <w:szCs w:val="22"/>
              </w:rPr>
              <w:t>个工作日；小型燃气接入工程涉及城管部门行政审批实行承诺告知制。</w:t>
            </w:r>
          </w:p>
        </w:tc>
        <w:tc>
          <w:tcPr>
            <w:tcW w:w="1919" w:type="dxa"/>
            <w:vAlign w:val="center"/>
          </w:tcPr>
          <w:p w14:paraId="5452E8B3">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市城市管理局等相关单位</w:t>
            </w:r>
          </w:p>
        </w:tc>
      </w:tr>
      <w:tr w14:paraId="62A3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2" w:hRule="atLeast"/>
          <w:jc w:val="center"/>
        </w:trPr>
        <w:tc>
          <w:tcPr>
            <w:tcW w:w="876" w:type="dxa"/>
            <w:vMerge w:val="continue"/>
            <w:vAlign w:val="center"/>
          </w:tcPr>
          <w:p w14:paraId="4683A086">
            <w:pPr>
              <w:widowControl/>
              <w:textAlignment w:val="center"/>
              <w:rPr>
                <w:rFonts w:ascii="Times New Roman" w:hAnsi="Times New Roman" w:eastAsia="宋体" w:cs="Times New Roman"/>
                <w:kern w:val="0"/>
                <w:sz w:val="22"/>
                <w:szCs w:val="22"/>
              </w:rPr>
            </w:pPr>
          </w:p>
        </w:tc>
        <w:tc>
          <w:tcPr>
            <w:tcW w:w="1522" w:type="dxa"/>
            <w:vAlign w:val="center"/>
          </w:tcPr>
          <w:p w14:paraId="028E2DD4">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22.</w:t>
            </w:r>
            <w:r>
              <w:rPr>
                <w:rFonts w:ascii="Times New Roman" w:hAnsi="宋体" w:eastAsia="宋体" w:cs="Times New Roman"/>
                <w:kern w:val="0"/>
                <w:sz w:val="22"/>
                <w:szCs w:val="22"/>
              </w:rPr>
              <w:t>提升通关便利度</w:t>
            </w:r>
          </w:p>
        </w:tc>
        <w:tc>
          <w:tcPr>
            <w:tcW w:w="10107" w:type="dxa"/>
            <w:vAlign w:val="center"/>
          </w:tcPr>
          <w:p w14:paraId="7FC8B6C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打造</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供港澳生鲜农食产品拼装运输出口监管模式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（生鲜集拼），创新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全品类混装</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集中申报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监管，打破按品类单独申报壁垒，允许蛋制品、水生动物、水产品、肉类、加工食品与果蔬产品同车拼装，实现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一次组货、一次申报、一车运输</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，降低物流成本；全面提升进出口质效，力争进口通关时间压缩至平均</w:t>
            </w:r>
            <w:r>
              <w:rPr>
                <w:rFonts w:ascii="Times New Roman" w:hAnsi="Times New Roman" w:eastAsia="宋体" w:cs="Times New Roman"/>
                <w:kern w:val="0"/>
                <w:sz w:val="22"/>
                <w:szCs w:val="22"/>
              </w:rPr>
              <w:t>9</w:t>
            </w:r>
            <w:r>
              <w:rPr>
                <w:rFonts w:ascii="Times New Roman" w:hAnsi="宋体" w:eastAsia="宋体" w:cs="Times New Roman"/>
                <w:kern w:val="0"/>
                <w:sz w:val="22"/>
                <w:szCs w:val="22"/>
              </w:rPr>
              <w:t>小时，出口通关时间不超过</w:t>
            </w:r>
            <w:r>
              <w:rPr>
                <w:rFonts w:ascii="Times New Roman" w:hAnsi="Times New Roman" w:eastAsia="宋体" w:cs="Times New Roman"/>
                <w:kern w:val="0"/>
                <w:sz w:val="22"/>
                <w:szCs w:val="22"/>
              </w:rPr>
              <w:t>0.5</w:t>
            </w:r>
            <w:r>
              <w:rPr>
                <w:rFonts w:ascii="Times New Roman" w:hAnsi="宋体" w:eastAsia="宋体" w:cs="Times New Roman"/>
                <w:kern w:val="0"/>
                <w:sz w:val="22"/>
                <w:szCs w:val="22"/>
              </w:rPr>
              <w:t>小时；以智提效健全进出口食品安全监管制度体系，建立健全海关与农业农村、市场监管部门常态化协同监管机制，共享监管信息，打造</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备案</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通关</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流通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闭环溯源体系，推动监管模式从</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事后追溯</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向</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事前预防、事中干预</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转变。</w:t>
            </w:r>
          </w:p>
        </w:tc>
        <w:tc>
          <w:tcPr>
            <w:tcW w:w="1919" w:type="dxa"/>
            <w:vAlign w:val="center"/>
          </w:tcPr>
          <w:p w14:paraId="00B0D70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永州海关等相关单位</w:t>
            </w:r>
          </w:p>
        </w:tc>
      </w:tr>
      <w:tr w14:paraId="4880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6" w:hRule="atLeast"/>
          <w:jc w:val="center"/>
        </w:trPr>
        <w:tc>
          <w:tcPr>
            <w:tcW w:w="876" w:type="dxa"/>
            <w:vMerge w:val="continue"/>
            <w:vAlign w:val="center"/>
          </w:tcPr>
          <w:p w14:paraId="744CFD42">
            <w:pPr>
              <w:widowControl/>
              <w:textAlignment w:val="center"/>
              <w:rPr>
                <w:rFonts w:ascii="Times New Roman" w:hAnsi="Times New Roman" w:eastAsia="宋体" w:cs="Times New Roman"/>
                <w:kern w:val="0"/>
                <w:sz w:val="22"/>
                <w:szCs w:val="22"/>
              </w:rPr>
            </w:pPr>
          </w:p>
        </w:tc>
        <w:tc>
          <w:tcPr>
            <w:tcW w:w="1522" w:type="dxa"/>
            <w:vAlign w:val="center"/>
          </w:tcPr>
          <w:p w14:paraId="199DD23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23.</w:t>
            </w:r>
            <w:r>
              <w:rPr>
                <w:rFonts w:ascii="Times New Roman" w:hAnsi="宋体" w:eastAsia="宋体" w:cs="Times New Roman"/>
                <w:kern w:val="0"/>
                <w:sz w:val="22"/>
                <w:szCs w:val="22"/>
              </w:rPr>
              <w:t>提升对非食品贸易便利度</w:t>
            </w:r>
          </w:p>
        </w:tc>
        <w:tc>
          <w:tcPr>
            <w:tcW w:w="10107" w:type="dxa"/>
            <w:vAlign w:val="center"/>
          </w:tcPr>
          <w:p w14:paraId="5B29C15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聚焦湖南对非深度合作先行区优势，参与</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关助食安</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项目，参与对非培训援助合作，落实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一带一路</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海关食品安全合作机制，加强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丝路食安</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平台与中非</w:t>
            </w:r>
            <w:r>
              <w:rPr>
                <w:rFonts w:ascii="Times New Roman" w:hAnsi="Times New Roman" w:eastAsia="宋体" w:cs="Times New Roman"/>
                <w:kern w:val="0"/>
                <w:sz w:val="22"/>
                <w:szCs w:val="22"/>
              </w:rPr>
              <w:t>SPS</w:t>
            </w:r>
            <w:r>
              <w:rPr>
                <w:rFonts w:ascii="Times New Roman" w:hAnsi="宋体" w:eastAsia="宋体" w:cs="Times New Roman"/>
                <w:kern w:val="0"/>
                <w:sz w:val="22"/>
                <w:szCs w:val="22"/>
              </w:rPr>
              <w:t>合作论坛信息共享。</w:t>
            </w:r>
          </w:p>
        </w:tc>
        <w:tc>
          <w:tcPr>
            <w:tcW w:w="1919" w:type="dxa"/>
            <w:vAlign w:val="center"/>
          </w:tcPr>
          <w:p w14:paraId="57F8C622">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永州海关等相关单位</w:t>
            </w:r>
          </w:p>
        </w:tc>
      </w:tr>
      <w:tr w14:paraId="5C5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3" w:hRule="atLeast"/>
          <w:jc w:val="center"/>
        </w:trPr>
        <w:tc>
          <w:tcPr>
            <w:tcW w:w="876" w:type="dxa"/>
            <w:vAlign w:val="center"/>
          </w:tcPr>
          <w:p w14:paraId="0A5D68F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（六）助力企业发展壮大</w:t>
            </w:r>
          </w:p>
        </w:tc>
        <w:tc>
          <w:tcPr>
            <w:tcW w:w="1522" w:type="dxa"/>
            <w:vAlign w:val="center"/>
          </w:tcPr>
          <w:p w14:paraId="1A4B1AA3">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24.</w:t>
            </w:r>
            <w:r>
              <w:rPr>
                <w:rFonts w:ascii="Times New Roman" w:hAnsi="宋体" w:eastAsia="宋体" w:cs="Times New Roman"/>
                <w:kern w:val="0"/>
                <w:sz w:val="22"/>
                <w:szCs w:val="22"/>
              </w:rPr>
              <w:t>加强科技企业培育</w:t>
            </w:r>
          </w:p>
        </w:tc>
        <w:tc>
          <w:tcPr>
            <w:tcW w:w="10107" w:type="dxa"/>
            <w:vAlign w:val="center"/>
          </w:tcPr>
          <w:p w14:paraId="00FF1BDA">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优化科技创新生态。全面落实打造区域科创高地等奖补政策，高质量编制《永州市</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十五五</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科技创新规划》。重点宣传科技政策，让企业及时享受政策红利。深化科技金融融合。推动知识价值贷款扩面放量，力争备案金额达</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亿元以上。推广高新技术企业认定费用损失补偿保险等科技保险产品，争取更多企业获批科技创新再贷款项目。强化高质量科技供给。落实研发费用加计扣除等普惠政策，全社会研发经费投入增长</w:t>
            </w:r>
            <w:r>
              <w:rPr>
                <w:rFonts w:ascii="Times New Roman" w:hAnsi="Times New Roman" w:eastAsia="宋体" w:cs="Times New Roman"/>
                <w:kern w:val="0"/>
                <w:sz w:val="22"/>
                <w:szCs w:val="22"/>
              </w:rPr>
              <w:t>10%</w:t>
            </w:r>
            <w:r>
              <w:rPr>
                <w:rFonts w:ascii="Times New Roman" w:hAnsi="宋体" w:eastAsia="宋体" w:cs="Times New Roman"/>
                <w:kern w:val="0"/>
                <w:sz w:val="22"/>
                <w:szCs w:val="22"/>
              </w:rPr>
              <w:t>以上。新引进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人才</w:t>
            </w:r>
            <w:r>
              <w:rPr>
                <w:rFonts w:ascii="Times New Roman" w:hAnsi="Times New Roman" w:eastAsia="宋体" w:cs="Times New Roman"/>
                <w:kern w:val="0"/>
                <w:sz w:val="22"/>
                <w:szCs w:val="22"/>
              </w:rPr>
              <w:t>10</w:t>
            </w:r>
            <w:r>
              <w:rPr>
                <w:rFonts w:ascii="Times New Roman" w:hAnsi="宋体" w:eastAsia="宋体" w:cs="Times New Roman"/>
                <w:kern w:val="0"/>
                <w:sz w:val="22"/>
                <w:szCs w:val="22"/>
              </w:rPr>
              <w:t>名，培育芙蓉计划科技人才</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名。探索实施市级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揭榜挂帅</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机制，加快推进市十大科技创新项目，组织实施市本级指导性项目</w:t>
            </w:r>
            <w:r>
              <w:rPr>
                <w:rFonts w:ascii="Times New Roman" w:hAnsi="Times New Roman" w:eastAsia="宋体" w:cs="Times New Roman"/>
                <w:kern w:val="0"/>
                <w:sz w:val="22"/>
                <w:szCs w:val="22"/>
              </w:rPr>
              <w:t>60</w:t>
            </w:r>
            <w:r>
              <w:rPr>
                <w:rFonts w:ascii="Times New Roman" w:hAnsi="宋体" w:eastAsia="宋体" w:cs="Times New Roman"/>
                <w:kern w:val="0"/>
                <w:sz w:val="22"/>
                <w:szCs w:val="22"/>
              </w:rPr>
              <w:t>个以上。壮大创新主体力量。培育壮大科技型企业，科技型中小企业数量达</w:t>
            </w:r>
            <w:r>
              <w:rPr>
                <w:rFonts w:ascii="Times New Roman" w:hAnsi="Times New Roman" w:eastAsia="宋体" w:cs="Times New Roman"/>
                <w:kern w:val="0"/>
                <w:sz w:val="22"/>
                <w:szCs w:val="22"/>
              </w:rPr>
              <w:t>1500</w:t>
            </w:r>
            <w:r>
              <w:rPr>
                <w:rFonts w:ascii="Times New Roman" w:hAnsi="宋体" w:eastAsia="宋体" w:cs="Times New Roman"/>
                <w:kern w:val="0"/>
                <w:sz w:val="22"/>
                <w:szCs w:val="22"/>
              </w:rPr>
              <w:t>家以上，全年新认定高新技术企业</w:t>
            </w:r>
            <w:r>
              <w:rPr>
                <w:rFonts w:ascii="Times New Roman" w:hAnsi="Times New Roman" w:eastAsia="宋体" w:cs="Times New Roman"/>
                <w:kern w:val="0"/>
                <w:sz w:val="22"/>
                <w:szCs w:val="22"/>
              </w:rPr>
              <w:t>160</w:t>
            </w:r>
            <w:r>
              <w:rPr>
                <w:rFonts w:ascii="Times New Roman" w:hAnsi="宋体" w:eastAsia="宋体" w:cs="Times New Roman"/>
                <w:kern w:val="0"/>
                <w:sz w:val="22"/>
                <w:szCs w:val="22"/>
              </w:rPr>
              <w:t>家以上。布局建设创新联合体、概念验证中心及中试基地</w:t>
            </w:r>
            <w:r>
              <w:rPr>
                <w:rFonts w:ascii="Times New Roman" w:hAnsi="Times New Roman" w:eastAsia="宋体" w:cs="Times New Roman"/>
                <w:kern w:val="0"/>
                <w:sz w:val="22"/>
                <w:szCs w:val="22"/>
              </w:rPr>
              <w:t>1</w:t>
            </w:r>
            <w:r>
              <w:rPr>
                <w:rFonts w:ascii="Times New Roman" w:hAnsi="宋体" w:eastAsia="宋体" w:cs="Times New Roman"/>
                <w:kern w:val="0"/>
                <w:sz w:val="22"/>
                <w:szCs w:val="22"/>
              </w:rPr>
              <w:t>家以上。培育科创平台</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家以上。加速科技成果转化。精准挖掘企业关键技术需求，常态化举办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科创沙龙</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等校企对接活动</w:t>
            </w:r>
            <w:r>
              <w:rPr>
                <w:rFonts w:ascii="Times New Roman" w:hAnsi="Times New Roman" w:eastAsia="宋体" w:cs="Times New Roman"/>
                <w:kern w:val="0"/>
                <w:sz w:val="22"/>
                <w:szCs w:val="22"/>
              </w:rPr>
              <w:t>6</w:t>
            </w:r>
            <w:r>
              <w:rPr>
                <w:rFonts w:ascii="Times New Roman" w:hAnsi="宋体" w:eastAsia="宋体" w:cs="Times New Roman"/>
                <w:kern w:val="0"/>
                <w:sz w:val="22"/>
                <w:szCs w:val="22"/>
              </w:rPr>
              <w:t>场以上。推动入库高校科技成果</w:t>
            </w:r>
            <w:r>
              <w:rPr>
                <w:rFonts w:ascii="Times New Roman" w:hAnsi="Times New Roman" w:eastAsia="宋体" w:cs="Times New Roman"/>
                <w:kern w:val="0"/>
                <w:sz w:val="22"/>
                <w:szCs w:val="22"/>
              </w:rPr>
              <w:t>2000</w:t>
            </w:r>
            <w:r>
              <w:rPr>
                <w:rFonts w:ascii="Times New Roman" w:hAnsi="宋体" w:eastAsia="宋体" w:cs="Times New Roman"/>
                <w:kern w:val="0"/>
                <w:sz w:val="22"/>
                <w:szCs w:val="22"/>
              </w:rPr>
              <w:t>项、企业技术需求</w:t>
            </w:r>
            <w:r>
              <w:rPr>
                <w:rFonts w:ascii="Times New Roman" w:hAnsi="Times New Roman" w:eastAsia="宋体" w:cs="Times New Roman"/>
                <w:kern w:val="0"/>
                <w:sz w:val="22"/>
                <w:szCs w:val="22"/>
              </w:rPr>
              <w:t>200</w:t>
            </w:r>
            <w:r>
              <w:rPr>
                <w:rFonts w:ascii="Times New Roman" w:hAnsi="宋体" w:eastAsia="宋体" w:cs="Times New Roman"/>
                <w:kern w:val="0"/>
                <w:sz w:val="22"/>
                <w:szCs w:val="22"/>
              </w:rPr>
              <w:t>项以上。加强技术合同认定登记服务，力争全年技术合同成交额增长</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以上。推动科技型企业知识价值贷款扩面放量，</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年科技型企业知识价值信用贷款备案</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亿元。</w:t>
            </w:r>
          </w:p>
        </w:tc>
        <w:tc>
          <w:tcPr>
            <w:tcW w:w="1919" w:type="dxa"/>
            <w:vAlign w:val="center"/>
          </w:tcPr>
          <w:p w14:paraId="3472C25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市科技局等相关单位</w:t>
            </w:r>
          </w:p>
        </w:tc>
      </w:tr>
      <w:tr w14:paraId="2BA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876" w:type="dxa"/>
            <w:vMerge w:val="restart"/>
            <w:vAlign w:val="center"/>
          </w:tcPr>
          <w:p w14:paraId="2E34D73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（六）助力企业发展壮大</w:t>
            </w:r>
          </w:p>
        </w:tc>
        <w:tc>
          <w:tcPr>
            <w:tcW w:w="1522" w:type="dxa"/>
            <w:vAlign w:val="center"/>
          </w:tcPr>
          <w:p w14:paraId="53A1BA5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25.</w:t>
            </w:r>
            <w:r>
              <w:rPr>
                <w:rFonts w:ascii="Times New Roman" w:hAnsi="宋体" w:eastAsia="宋体" w:cs="Times New Roman"/>
                <w:kern w:val="0"/>
                <w:sz w:val="22"/>
                <w:szCs w:val="22"/>
              </w:rPr>
              <w:t>实施知识产权创造质量提升工程</w:t>
            </w:r>
          </w:p>
        </w:tc>
        <w:tc>
          <w:tcPr>
            <w:tcW w:w="10107" w:type="dxa"/>
            <w:vAlign w:val="center"/>
          </w:tcPr>
          <w:p w14:paraId="5ADE06D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加强高价值发明专利培育，组织高校院所及重点企业围绕电子信息、先进装备制造等产业开展布局，</w:t>
            </w:r>
            <w:r>
              <w:rPr>
                <w:rFonts w:ascii="Times New Roman" w:hAnsi="Times New Roman" w:eastAsia="宋体" w:cs="Times New Roman"/>
                <w:kern w:val="0"/>
                <w:sz w:val="22"/>
                <w:szCs w:val="22"/>
              </w:rPr>
              <w:t>2026</w:t>
            </w:r>
            <w:r>
              <w:rPr>
                <w:rFonts w:ascii="Times New Roman" w:hAnsi="宋体" w:eastAsia="宋体" w:cs="Times New Roman"/>
                <w:kern w:val="0"/>
                <w:sz w:val="22"/>
                <w:szCs w:val="22"/>
              </w:rPr>
              <w:t>年完成培育高价值发明专利</w:t>
            </w:r>
            <w:r>
              <w:rPr>
                <w:rFonts w:ascii="Times New Roman" w:hAnsi="Times New Roman" w:eastAsia="宋体" w:cs="Times New Roman"/>
                <w:kern w:val="0"/>
                <w:sz w:val="22"/>
                <w:szCs w:val="22"/>
              </w:rPr>
              <w:t>65</w:t>
            </w:r>
            <w:r>
              <w:rPr>
                <w:rFonts w:ascii="Times New Roman" w:hAnsi="宋体" w:eastAsia="宋体" w:cs="Times New Roman"/>
                <w:kern w:val="0"/>
                <w:sz w:val="22"/>
                <w:szCs w:val="22"/>
              </w:rPr>
              <w:t>件以上；开展知识产权公共服务供需对接，全年专利转让许可备案不少于</w:t>
            </w:r>
            <w:r>
              <w:rPr>
                <w:rFonts w:ascii="Times New Roman" w:hAnsi="Times New Roman" w:eastAsia="宋体" w:cs="Times New Roman"/>
                <w:kern w:val="0"/>
                <w:sz w:val="22"/>
                <w:szCs w:val="22"/>
              </w:rPr>
              <w:t>1000</w:t>
            </w:r>
            <w:r>
              <w:rPr>
                <w:rFonts w:ascii="Times New Roman" w:hAnsi="宋体" w:eastAsia="宋体" w:cs="Times New Roman"/>
                <w:kern w:val="0"/>
                <w:sz w:val="22"/>
                <w:szCs w:val="22"/>
              </w:rPr>
              <w:t>次，新增专利产品备案不少于</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件，推动不少于</w:t>
            </w:r>
            <w:r>
              <w:rPr>
                <w:rFonts w:ascii="Times New Roman" w:hAnsi="Times New Roman" w:eastAsia="宋体" w:cs="Times New Roman"/>
                <w:kern w:val="0"/>
                <w:sz w:val="22"/>
                <w:szCs w:val="22"/>
              </w:rPr>
              <w:t>15</w:t>
            </w:r>
            <w:r>
              <w:rPr>
                <w:rFonts w:ascii="Times New Roman" w:hAnsi="宋体" w:eastAsia="宋体" w:cs="Times New Roman"/>
                <w:kern w:val="0"/>
                <w:sz w:val="22"/>
                <w:szCs w:val="22"/>
              </w:rPr>
              <w:t>家企业开展专利密集型产品认定，辖区内地理标志使用率不低于</w:t>
            </w:r>
            <w:r>
              <w:rPr>
                <w:rFonts w:ascii="Times New Roman" w:hAnsi="Times New Roman" w:eastAsia="宋体" w:cs="Times New Roman"/>
                <w:kern w:val="0"/>
                <w:sz w:val="22"/>
                <w:szCs w:val="22"/>
              </w:rPr>
              <w:t>70%</w:t>
            </w:r>
            <w:r>
              <w:rPr>
                <w:rFonts w:ascii="Times New Roman" w:hAnsi="宋体" w:eastAsia="宋体" w:cs="Times New Roman"/>
                <w:kern w:val="0"/>
                <w:sz w:val="22"/>
                <w:szCs w:val="22"/>
              </w:rPr>
              <w:t>。</w:t>
            </w:r>
          </w:p>
        </w:tc>
        <w:tc>
          <w:tcPr>
            <w:tcW w:w="1919" w:type="dxa"/>
            <w:vAlign w:val="center"/>
          </w:tcPr>
          <w:p w14:paraId="4FD6EF6B">
            <w:pPr>
              <w:widowControl/>
              <w:spacing w:line="28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市市场监管局、市财政局、市中级人民法院、市科技局等相关单位</w:t>
            </w:r>
          </w:p>
        </w:tc>
      </w:tr>
      <w:tr w14:paraId="72F0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21" w:hRule="atLeast"/>
          <w:jc w:val="center"/>
        </w:trPr>
        <w:tc>
          <w:tcPr>
            <w:tcW w:w="876" w:type="dxa"/>
            <w:vMerge w:val="continue"/>
            <w:vAlign w:val="center"/>
          </w:tcPr>
          <w:p w14:paraId="4A7E1E65">
            <w:pPr>
              <w:widowControl/>
              <w:textAlignment w:val="center"/>
              <w:rPr>
                <w:rFonts w:ascii="Times New Roman" w:hAnsi="Times New Roman" w:eastAsia="宋体" w:cs="Times New Roman"/>
                <w:kern w:val="0"/>
                <w:sz w:val="22"/>
                <w:szCs w:val="22"/>
              </w:rPr>
            </w:pPr>
          </w:p>
        </w:tc>
        <w:tc>
          <w:tcPr>
            <w:tcW w:w="1522" w:type="dxa"/>
            <w:vAlign w:val="center"/>
          </w:tcPr>
          <w:p w14:paraId="00AF719F">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26.</w:t>
            </w:r>
            <w:r>
              <w:rPr>
                <w:rFonts w:ascii="Times New Roman" w:hAnsi="宋体" w:eastAsia="宋体" w:cs="Times New Roman"/>
                <w:kern w:val="0"/>
                <w:sz w:val="22"/>
                <w:szCs w:val="22"/>
              </w:rPr>
              <w:t>构建工业经济</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五量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九重</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全维度监测服务体系，建立企业培育库</w:t>
            </w:r>
          </w:p>
        </w:tc>
        <w:tc>
          <w:tcPr>
            <w:tcW w:w="10107" w:type="dxa"/>
            <w:vAlign w:val="center"/>
          </w:tcPr>
          <w:p w14:paraId="5B1A372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紧扣</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送政策、解难题、优服务</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要求，建立企业培育库，将监测重心转向产业项目进度和企业生产经营实物工作量分析，建立规工企业问题直达归集、分类交办、建档督办、企业评价的全流程闭环管理模式；联动供电、供水、人社等部门，实现生产要素与用工需求的精准对接和快速响应；推行数字化转型评估诊断。以政府采购服务方式对全市</w:t>
            </w:r>
            <w:r>
              <w:rPr>
                <w:rFonts w:ascii="Times New Roman" w:hAnsi="Times New Roman" w:eastAsia="宋体" w:cs="Times New Roman"/>
                <w:kern w:val="0"/>
                <w:sz w:val="22"/>
                <w:szCs w:val="22"/>
              </w:rPr>
              <w:t>239</w:t>
            </w:r>
            <w:r>
              <w:rPr>
                <w:rFonts w:ascii="Times New Roman" w:hAnsi="宋体" w:eastAsia="宋体" w:cs="Times New Roman"/>
                <w:kern w:val="0"/>
                <w:sz w:val="22"/>
                <w:szCs w:val="22"/>
              </w:rPr>
              <w:t>家规工企业开展数字化转型评估诊断，通过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一企一策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指导企业明确转型路径，破解转型难题，推动数字技术与实体经济深度融合。</w:t>
            </w:r>
          </w:p>
        </w:tc>
        <w:tc>
          <w:tcPr>
            <w:tcW w:w="1919" w:type="dxa"/>
            <w:vAlign w:val="center"/>
          </w:tcPr>
          <w:p w14:paraId="134CA5B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市工信局、市城市管理局、市人社局、国网永州供电公司等相关单位</w:t>
            </w:r>
          </w:p>
        </w:tc>
      </w:tr>
      <w:tr w14:paraId="6C82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0" w:hRule="atLeast"/>
          <w:jc w:val="center"/>
        </w:trPr>
        <w:tc>
          <w:tcPr>
            <w:tcW w:w="876" w:type="dxa"/>
            <w:vMerge w:val="restart"/>
            <w:vAlign w:val="center"/>
          </w:tcPr>
          <w:p w14:paraId="1CBA6A9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（七）完善准入、退出机制</w:t>
            </w:r>
          </w:p>
        </w:tc>
        <w:tc>
          <w:tcPr>
            <w:tcW w:w="1522" w:type="dxa"/>
            <w:shd w:val="clear" w:color="auto" w:fill="auto"/>
            <w:vAlign w:val="center"/>
          </w:tcPr>
          <w:p w14:paraId="37FFAB8C">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27.</w:t>
            </w:r>
            <w:r>
              <w:rPr>
                <w:rFonts w:ascii="Times New Roman" w:hAnsi="宋体" w:eastAsia="宋体" w:cs="Times New Roman"/>
                <w:kern w:val="0"/>
                <w:sz w:val="22"/>
                <w:szCs w:val="22"/>
              </w:rPr>
              <w:t>便利便捷市场准入</w:t>
            </w:r>
          </w:p>
        </w:tc>
        <w:tc>
          <w:tcPr>
            <w:tcW w:w="10107" w:type="dxa"/>
            <w:shd w:val="clear" w:color="auto" w:fill="auto"/>
            <w:vAlign w:val="center"/>
          </w:tcPr>
          <w:p w14:paraId="1304D241">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进一步强化企业登记规范化水平，全面落实《市场准入负面清单（</w:t>
            </w:r>
            <w:r>
              <w:rPr>
                <w:rFonts w:ascii="Times New Roman" w:hAnsi="Times New Roman" w:eastAsia="宋体" w:cs="Times New Roman"/>
                <w:kern w:val="0"/>
                <w:sz w:val="22"/>
                <w:szCs w:val="22"/>
              </w:rPr>
              <w:t>2025</w:t>
            </w:r>
            <w:r>
              <w:rPr>
                <w:rFonts w:ascii="Times New Roman" w:hAnsi="宋体" w:eastAsia="宋体" w:cs="Times New Roman"/>
                <w:kern w:val="0"/>
                <w:sz w:val="22"/>
                <w:szCs w:val="22"/>
              </w:rPr>
              <w:t>年版）》，提升登记效率，</w:t>
            </w:r>
            <w:r>
              <w:rPr>
                <w:rStyle w:val="7"/>
                <w:rFonts w:hint="default" w:ascii="Times New Roman" w:cs="Times New Roman"/>
                <w:color w:val="auto"/>
              </w:rPr>
              <w:t>企业设立、注销登记力争</w:t>
            </w:r>
            <w:r>
              <w:rPr>
                <w:rStyle w:val="7"/>
                <w:rFonts w:hint="default" w:ascii="Times New Roman" w:hAnsi="Times New Roman" w:cs="Times New Roman"/>
                <w:color w:val="auto"/>
              </w:rPr>
              <w:t>1</w:t>
            </w:r>
            <w:r>
              <w:rPr>
                <w:rStyle w:val="7"/>
                <w:rFonts w:hint="default" w:ascii="Times New Roman" w:cs="Times New Roman"/>
                <w:color w:val="auto"/>
              </w:rPr>
              <w:t>个工作日办结，最长不超过</w:t>
            </w:r>
            <w:r>
              <w:rPr>
                <w:rStyle w:val="7"/>
                <w:rFonts w:hint="default" w:ascii="Times New Roman" w:hAnsi="Times New Roman" w:cs="Times New Roman"/>
                <w:color w:val="auto"/>
              </w:rPr>
              <w:t>3</w:t>
            </w:r>
            <w:r>
              <w:rPr>
                <w:rStyle w:val="7"/>
                <w:rFonts w:hint="default" w:ascii="Times New Roman" w:cs="Times New Roman"/>
                <w:color w:val="auto"/>
              </w:rPr>
              <w:t>个工作日办结，准时率达到</w:t>
            </w:r>
            <w:r>
              <w:rPr>
                <w:rStyle w:val="7"/>
                <w:rFonts w:hint="default" w:ascii="Times New Roman" w:hAnsi="Times New Roman" w:cs="Times New Roman"/>
                <w:color w:val="auto"/>
              </w:rPr>
              <w:t>100%</w:t>
            </w:r>
            <w:r>
              <w:rPr>
                <w:rStyle w:val="7"/>
                <w:rFonts w:hint="default" w:ascii="Times New Roman" w:cs="Times New Roman"/>
                <w:color w:val="auto"/>
              </w:rPr>
              <w:t>，</w:t>
            </w:r>
            <w:r>
              <w:rPr>
                <w:rStyle w:val="8"/>
                <w:rFonts w:hint="default" w:ascii="Times New Roman" w:cs="Times New Roman"/>
                <w:color w:val="auto"/>
              </w:rPr>
              <w:t>实现企业跨区迁移只向迁入地申请一次。</w:t>
            </w:r>
          </w:p>
        </w:tc>
        <w:tc>
          <w:tcPr>
            <w:tcW w:w="1919" w:type="dxa"/>
            <w:shd w:val="clear" w:color="auto" w:fill="auto"/>
            <w:vAlign w:val="center"/>
          </w:tcPr>
          <w:p w14:paraId="1AF6534F">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市市场监督管理局等相关单位</w:t>
            </w:r>
          </w:p>
        </w:tc>
      </w:tr>
      <w:tr w14:paraId="56CD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24" w:hRule="atLeast"/>
          <w:jc w:val="center"/>
        </w:trPr>
        <w:tc>
          <w:tcPr>
            <w:tcW w:w="876" w:type="dxa"/>
            <w:vMerge w:val="continue"/>
            <w:vAlign w:val="center"/>
          </w:tcPr>
          <w:p w14:paraId="6994B2A0">
            <w:pPr>
              <w:widowControl/>
              <w:textAlignment w:val="center"/>
              <w:rPr>
                <w:rFonts w:ascii="Times New Roman" w:hAnsi="Times New Roman" w:eastAsia="宋体" w:cs="Times New Roman"/>
                <w:kern w:val="0"/>
                <w:sz w:val="22"/>
                <w:szCs w:val="22"/>
              </w:rPr>
            </w:pPr>
          </w:p>
        </w:tc>
        <w:tc>
          <w:tcPr>
            <w:tcW w:w="1522" w:type="dxa"/>
            <w:shd w:val="clear" w:color="auto" w:fill="auto"/>
            <w:vAlign w:val="center"/>
          </w:tcPr>
          <w:p w14:paraId="28661D2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28.</w:t>
            </w:r>
            <w:r>
              <w:rPr>
                <w:rFonts w:ascii="Times New Roman" w:hAnsi="宋体" w:eastAsia="宋体" w:cs="Times New Roman"/>
                <w:kern w:val="0"/>
                <w:sz w:val="22"/>
                <w:szCs w:val="22"/>
              </w:rPr>
              <w:t>提升破产工作质效</w:t>
            </w:r>
          </w:p>
        </w:tc>
        <w:tc>
          <w:tcPr>
            <w:tcW w:w="10107" w:type="dxa"/>
            <w:shd w:val="clear" w:color="auto" w:fill="auto"/>
            <w:vAlign w:val="center"/>
          </w:tcPr>
          <w:p w14:paraId="221B09BF">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建立管理人账户监管审批机制，与破产案件管理人账户开户银行实现银企互联，开放账户审批端口，对账户所有资金流动实施监管审批，降低管理人账户审计成本；深化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执破融合</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机制，对具有拯救价值的企业依法导入重整、和解程序。深化</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府院联动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机制，解决破产处置中涉及的税务、工商、社保等难题；推行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破产重整</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税费事项联动办理；提升破产审判质效，全年破产案件收案数不少于</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件，受理率达到</w:t>
            </w:r>
            <w:r>
              <w:rPr>
                <w:rFonts w:ascii="Times New Roman" w:hAnsi="Times New Roman" w:eastAsia="宋体" w:cs="Times New Roman"/>
                <w:kern w:val="0"/>
                <w:sz w:val="22"/>
                <w:szCs w:val="22"/>
              </w:rPr>
              <w:t>90%</w:t>
            </w:r>
            <w:r>
              <w:rPr>
                <w:rFonts w:ascii="Times New Roman" w:hAnsi="宋体" w:eastAsia="宋体" w:cs="Times New Roman"/>
                <w:kern w:val="0"/>
                <w:sz w:val="22"/>
                <w:szCs w:val="22"/>
              </w:rPr>
              <w:t>，执行移送破产审查数不超过</w:t>
            </w:r>
            <w:r>
              <w:rPr>
                <w:rFonts w:ascii="Times New Roman" w:hAnsi="Times New Roman" w:eastAsia="宋体" w:cs="Times New Roman"/>
                <w:kern w:val="0"/>
                <w:sz w:val="22"/>
                <w:szCs w:val="22"/>
              </w:rPr>
              <w:t>500</w:t>
            </w:r>
            <w:r>
              <w:rPr>
                <w:rFonts w:ascii="Times New Roman" w:hAnsi="宋体" w:eastAsia="宋体" w:cs="Times New Roman"/>
                <w:kern w:val="0"/>
                <w:sz w:val="22"/>
                <w:szCs w:val="22"/>
              </w:rPr>
              <w:t>个，执行移送破产审查裁定受理率不低于</w:t>
            </w:r>
            <w:r>
              <w:rPr>
                <w:rFonts w:ascii="Times New Roman" w:hAnsi="Times New Roman" w:eastAsia="宋体" w:cs="Times New Roman"/>
                <w:kern w:val="0"/>
                <w:sz w:val="22"/>
                <w:szCs w:val="22"/>
              </w:rPr>
              <w:t>50%</w:t>
            </w:r>
            <w:r>
              <w:rPr>
                <w:rFonts w:ascii="Times New Roman" w:hAnsi="宋体" w:eastAsia="宋体" w:cs="Times New Roman"/>
                <w:kern w:val="0"/>
                <w:sz w:val="22"/>
                <w:szCs w:val="22"/>
              </w:rPr>
              <w:t>。加强案件质量、破产队伍建设及市中院对下指导，推进长期未结案件清仓见底。积极向国家、省级层面推介破产审判创新案例。</w:t>
            </w:r>
          </w:p>
        </w:tc>
        <w:tc>
          <w:tcPr>
            <w:tcW w:w="1919" w:type="dxa"/>
            <w:shd w:val="clear" w:color="auto" w:fill="auto"/>
            <w:vAlign w:val="center"/>
          </w:tcPr>
          <w:p w14:paraId="07F028E9">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市中级人民法院、市市场监管局、市税务局、市人社局等相关单位</w:t>
            </w:r>
          </w:p>
        </w:tc>
      </w:tr>
      <w:tr w14:paraId="776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14424" w:type="dxa"/>
            <w:gridSpan w:val="4"/>
            <w:vAlign w:val="center"/>
          </w:tcPr>
          <w:p w14:paraId="40DDDD4F">
            <w:pPr>
              <w:jc w:val="center"/>
              <w:rPr>
                <w:rFonts w:ascii="Times New Roman" w:hAnsi="Times New Roman" w:cs="Times New Roman"/>
              </w:rPr>
            </w:pPr>
            <w:r>
              <w:rPr>
                <w:rFonts w:ascii="Times New Roman" w:hAnsi="黑体" w:eastAsia="黑体" w:cs="Times New Roman"/>
                <w:sz w:val="32"/>
                <w:szCs w:val="32"/>
              </w:rPr>
              <w:t>三、开展全链条赋能产业行动</w:t>
            </w:r>
          </w:p>
        </w:tc>
      </w:tr>
      <w:tr w14:paraId="5D70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3" w:hRule="atLeast"/>
          <w:jc w:val="center"/>
        </w:trPr>
        <w:tc>
          <w:tcPr>
            <w:tcW w:w="876" w:type="dxa"/>
            <w:vAlign w:val="center"/>
          </w:tcPr>
          <w:p w14:paraId="39332AF2">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（八）培育产业链</w:t>
            </w:r>
          </w:p>
        </w:tc>
        <w:tc>
          <w:tcPr>
            <w:tcW w:w="1522" w:type="dxa"/>
            <w:vAlign w:val="center"/>
          </w:tcPr>
          <w:p w14:paraId="73D28D9E">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29.</w:t>
            </w:r>
            <w:r>
              <w:rPr>
                <w:rFonts w:ascii="Times New Roman" w:hAnsi="宋体" w:eastAsia="宋体" w:cs="Times New Roman"/>
                <w:kern w:val="0"/>
                <w:sz w:val="22"/>
                <w:szCs w:val="22"/>
              </w:rPr>
              <w:t>纵深推进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链长到一线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，强化产业链协同，助力价值链提质</w:t>
            </w:r>
          </w:p>
        </w:tc>
        <w:tc>
          <w:tcPr>
            <w:tcW w:w="10107" w:type="dxa"/>
            <w:vAlign w:val="center"/>
          </w:tcPr>
          <w:p w14:paraId="3F57E2B5">
            <w:pPr>
              <w:widowControl/>
              <w:spacing w:line="36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纵深推进</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链长到一线</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活动，新能源、食品加工、智能家居、现代农业、文化旅游、数字产业等六大产业链链长、副链长常态化深入园区企业一线。每季度组织链上企业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面对面</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问需会，建立问题台账。建立潜力企业培育清单，培育一批龙头企业与重大项目。深化产学研用协同融合，搭建企业与高校、科研院所合作桥梁，联合引进培育专业人才。产业链牵头部门定期组织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大手拉小手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对接活动，支持链主企业向上下游开放场景、共享资源。聚焦价值链升级，建立潜力企业培育清单，对接企业就地扩能、迭代升级与规模倍增需求。深化产学研用融合，搭建校企及科研院所合作桥梁，联合引育人才，加速新技术新模式新场景应用，推动科技成果转化，补齐生产性服务业短板。</w:t>
            </w:r>
          </w:p>
        </w:tc>
        <w:tc>
          <w:tcPr>
            <w:tcW w:w="1919" w:type="dxa"/>
            <w:vAlign w:val="center"/>
          </w:tcPr>
          <w:p w14:paraId="59124A32">
            <w:pPr>
              <w:widowControl/>
              <w:spacing w:line="36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市发改委、市农业农村局、市商务局、市文旅广体局、市工信局（按六大千亿产业链分工负责）</w:t>
            </w:r>
          </w:p>
        </w:tc>
      </w:tr>
      <w:tr w14:paraId="5D54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6" w:hRule="atLeast"/>
          <w:jc w:val="center"/>
        </w:trPr>
        <w:tc>
          <w:tcPr>
            <w:tcW w:w="876" w:type="dxa"/>
            <w:vAlign w:val="center"/>
          </w:tcPr>
          <w:p w14:paraId="3CA51E1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（九）推动数字赋能产业链</w:t>
            </w:r>
          </w:p>
        </w:tc>
        <w:tc>
          <w:tcPr>
            <w:tcW w:w="1522" w:type="dxa"/>
            <w:vAlign w:val="center"/>
          </w:tcPr>
          <w:p w14:paraId="4B8B2E91">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30.</w:t>
            </w:r>
            <w:r>
              <w:rPr>
                <w:rFonts w:ascii="Times New Roman" w:hAnsi="宋体" w:eastAsia="宋体" w:cs="Times New Roman"/>
                <w:kern w:val="0"/>
                <w:sz w:val="22"/>
                <w:szCs w:val="22"/>
              </w:rPr>
              <w:t>实施数字赋能产业链工程</w:t>
            </w:r>
          </w:p>
        </w:tc>
        <w:tc>
          <w:tcPr>
            <w:tcW w:w="10107" w:type="dxa"/>
            <w:vAlign w:val="center"/>
          </w:tcPr>
          <w:p w14:paraId="52AE20BE">
            <w:pPr>
              <w:widowControl/>
              <w:spacing w:line="36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全域推广</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赋能涉企服务模式，将省级</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赋能企业开办机制延伸至产业链企业全生命周期服务，统一全市产业链相关涉企事项</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高效办成一件事</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数字化办理标准；培育数字经济服务商，开展中小企业数字化普惠服务；推动</w:t>
            </w:r>
            <w:r>
              <w:rPr>
                <w:rFonts w:hint="eastAsia" w:ascii="Times New Roman" w:hAnsi="宋体" w:eastAsia="宋体" w:cs="Times New Roman"/>
                <w:kern w:val="0"/>
                <w:sz w:val="22"/>
                <w:szCs w:val="22"/>
              </w:rPr>
              <w:t>“</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医疗、</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制造、</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政务、</w:t>
            </w:r>
            <w:r>
              <w:rPr>
                <w:rFonts w:ascii="Times New Roman" w:hAnsi="Times New Roman" w:eastAsia="宋体" w:cs="Times New Roman"/>
                <w:kern w:val="0"/>
                <w:sz w:val="22"/>
                <w:szCs w:val="22"/>
              </w:rPr>
              <w:t>AI+</w:t>
            </w:r>
            <w:r>
              <w:rPr>
                <w:rFonts w:ascii="Times New Roman" w:hAnsi="宋体" w:eastAsia="宋体" w:cs="Times New Roman"/>
                <w:kern w:val="0"/>
                <w:sz w:val="22"/>
                <w:szCs w:val="22"/>
              </w:rPr>
              <w:t>教育</w:t>
            </w:r>
            <w:r>
              <w:rPr>
                <w:rFonts w:hint="eastAsia" w:ascii="Times New Roman" w:hAnsi="宋体" w:eastAsia="宋体" w:cs="Times New Roman"/>
                <w:kern w:val="0"/>
                <w:sz w:val="22"/>
                <w:szCs w:val="22"/>
              </w:rPr>
              <w:t>”</w:t>
            </w:r>
            <w:r>
              <w:rPr>
                <w:rFonts w:ascii="Times New Roman" w:hAnsi="宋体" w:eastAsia="宋体" w:cs="Times New Roman"/>
                <w:kern w:val="0"/>
                <w:sz w:val="22"/>
                <w:szCs w:val="22"/>
              </w:rPr>
              <w:t>等特色场景在永州落地应用；搭建全市统一的产业链数字化服务数据底座，无缝对接省级平台，整合市域内产业链政务服务、要素配置等数据资源，实现全市产业链数据互联互通、共享共用；将产业链企业诉求全面纳入全市营商环境诉求办理平台，实现诉求数字化归集、分类交办、建档督办、闭环管理；升级全市中介超市平台功能，按省级规范强化产业链配套中介服务数字化信用监管和服务质量跟踪评价；推动省级新技术、新模式、新场景在全市产业链领域规模化应用，赋能产业链企业数字化转型提质增效。</w:t>
            </w:r>
          </w:p>
        </w:tc>
        <w:tc>
          <w:tcPr>
            <w:tcW w:w="1919" w:type="dxa"/>
            <w:vAlign w:val="center"/>
          </w:tcPr>
          <w:p w14:paraId="74DA101A">
            <w:pPr>
              <w:widowControl/>
              <w:spacing w:line="36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3AD8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424" w:type="dxa"/>
            <w:gridSpan w:val="4"/>
            <w:vAlign w:val="center"/>
          </w:tcPr>
          <w:p w14:paraId="60B2C366">
            <w:pPr>
              <w:jc w:val="center"/>
              <w:rPr>
                <w:rFonts w:ascii="Times New Roman" w:hAnsi="Times New Roman" w:cs="Times New Roman"/>
              </w:rPr>
            </w:pPr>
            <w:r>
              <w:rPr>
                <w:rFonts w:ascii="Times New Roman" w:hAnsi="黑体" w:eastAsia="黑体" w:cs="Times New Roman"/>
                <w:sz w:val="32"/>
                <w:szCs w:val="32"/>
              </w:rPr>
              <w:t>四、开展全方位权益保护行动</w:t>
            </w:r>
          </w:p>
        </w:tc>
      </w:tr>
      <w:tr w14:paraId="308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5" w:hRule="atLeast"/>
          <w:jc w:val="center"/>
        </w:trPr>
        <w:tc>
          <w:tcPr>
            <w:tcW w:w="876" w:type="dxa"/>
            <w:vAlign w:val="center"/>
          </w:tcPr>
          <w:p w14:paraId="1CE2E4E9">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17"/>
                <w:kern w:val="0"/>
                <w:sz w:val="22"/>
                <w:szCs w:val="22"/>
              </w:rPr>
              <w:t>（十）公正司法</w:t>
            </w:r>
          </w:p>
        </w:tc>
        <w:tc>
          <w:tcPr>
            <w:tcW w:w="1522" w:type="dxa"/>
            <w:shd w:val="clear" w:color="auto" w:fill="auto"/>
            <w:vAlign w:val="center"/>
          </w:tcPr>
          <w:p w14:paraId="20AE9A3A">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31.</w:t>
            </w:r>
            <w:r>
              <w:rPr>
                <w:rFonts w:ascii="Times New Roman" w:hAnsi="宋体" w:eastAsia="宋体" w:cs="Times New Roman"/>
                <w:kern w:val="0"/>
                <w:sz w:val="22"/>
                <w:szCs w:val="22"/>
              </w:rPr>
              <w:t>深化法治护企，加快拖欠积案清零</w:t>
            </w:r>
          </w:p>
        </w:tc>
        <w:tc>
          <w:tcPr>
            <w:tcW w:w="10107" w:type="dxa"/>
            <w:shd w:val="clear" w:color="auto" w:fill="auto"/>
            <w:vAlign w:val="center"/>
          </w:tcPr>
          <w:p w14:paraId="40190C7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畅通企业法治权益反馈机制，全面推行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法治护企直通车</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。持续开展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三高四新</w:t>
            </w:r>
            <w:r>
              <w:rPr>
                <w:rFonts w:hint="eastAsia" w:ascii="Times New Roman" w:hAnsi="Times New Roman" w:eastAsia="宋体" w:cs="Times New Roman"/>
                <w:kern w:val="0"/>
                <w:sz w:val="22"/>
                <w:szCs w:val="22"/>
              </w:rPr>
              <w:t>·</w:t>
            </w:r>
            <w:r>
              <w:rPr>
                <w:rFonts w:ascii="Times New Roman" w:hAnsi="宋体" w:eastAsia="宋体" w:cs="Times New Roman"/>
                <w:kern w:val="0"/>
                <w:sz w:val="22"/>
                <w:szCs w:val="22"/>
              </w:rPr>
              <w:t>法治护航</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三年专项行动，组织开展涉党政机关拖欠企业账款专项执行行动，加强府院联动，创新执行方法手段，推动存量案件三年清零。</w:t>
            </w:r>
          </w:p>
        </w:tc>
        <w:tc>
          <w:tcPr>
            <w:tcW w:w="1919" w:type="dxa"/>
            <w:shd w:val="clear" w:color="auto" w:fill="auto"/>
            <w:vAlign w:val="center"/>
          </w:tcPr>
          <w:p w14:paraId="264333AA">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市委政法委等</w:t>
            </w:r>
            <w:r>
              <w:rPr>
                <w:rFonts w:hint="eastAsia" w:ascii="Times New Roman" w:hAnsi="宋体" w:eastAsia="宋体" w:cs="Times New Roman"/>
                <w:kern w:val="0"/>
                <w:sz w:val="22"/>
                <w:szCs w:val="22"/>
              </w:rPr>
              <w:t>相关</w:t>
            </w:r>
            <w:r>
              <w:rPr>
                <w:rFonts w:ascii="Times New Roman" w:hAnsi="宋体" w:eastAsia="宋体" w:cs="Times New Roman"/>
                <w:kern w:val="0"/>
                <w:sz w:val="22"/>
                <w:szCs w:val="22"/>
              </w:rPr>
              <w:t>单位</w:t>
            </w:r>
          </w:p>
        </w:tc>
      </w:tr>
      <w:tr w14:paraId="616C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9" w:hRule="atLeast"/>
          <w:jc w:val="center"/>
        </w:trPr>
        <w:tc>
          <w:tcPr>
            <w:tcW w:w="876" w:type="dxa"/>
            <w:vMerge w:val="restart"/>
            <w:vAlign w:val="center"/>
          </w:tcPr>
          <w:p w14:paraId="594AF69D">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17"/>
                <w:kern w:val="0"/>
                <w:sz w:val="22"/>
                <w:szCs w:val="22"/>
              </w:rPr>
              <w:t>（十）公正司法</w:t>
            </w:r>
          </w:p>
        </w:tc>
        <w:tc>
          <w:tcPr>
            <w:tcW w:w="1522" w:type="dxa"/>
            <w:shd w:val="clear" w:color="auto" w:fill="auto"/>
            <w:vAlign w:val="center"/>
          </w:tcPr>
          <w:p w14:paraId="67A73104">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32.</w:t>
            </w:r>
            <w:r>
              <w:rPr>
                <w:rFonts w:ascii="Times New Roman" w:hAnsi="宋体" w:eastAsia="宋体" w:cs="Times New Roman"/>
                <w:kern w:val="0"/>
                <w:sz w:val="22"/>
                <w:szCs w:val="22"/>
              </w:rPr>
              <w:t>整治涉企案件执法司法突出问题，加强企业权益保障</w:t>
            </w:r>
          </w:p>
        </w:tc>
        <w:tc>
          <w:tcPr>
            <w:tcW w:w="10107" w:type="dxa"/>
            <w:shd w:val="clear" w:color="auto" w:fill="auto"/>
            <w:vAlign w:val="center"/>
          </w:tcPr>
          <w:p w14:paraId="48104665">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重点监督刑事案件超范围、超权限、超数额、超时限</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查扣冻</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财产等损害企业合法权益的行为，强化对法院民事诉讼财产保全与执行活动的监督，依法监督审判机关违规立案、超标的查封、超范围先予执行、违法采取或解除强制措施等情形。</w:t>
            </w:r>
            <w:r>
              <w:rPr>
                <w:rFonts w:ascii="Times New Roman" w:cs="Times New Roman"/>
                <w:sz w:val="22"/>
                <w:szCs w:val="22"/>
              </w:rPr>
              <w:t>推进知识产权检察综合履职工作，做好</w:t>
            </w:r>
            <w:r>
              <w:rPr>
                <w:rFonts w:ascii="Times New Roman" w:hAnsi="Times New Roman" w:cs="Times New Roman"/>
                <w:sz w:val="22"/>
                <w:szCs w:val="22"/>
              </w:rPr>
              <w:t>“4·26”</w:t>
            </w:r>
            <w:r>
              <w:rPr>
                <w:rFonts w:ascii="Times New Roman" w:cs="Times New Roman"/>
                <w:sz w:val="22"/>
                <w:szCs w:val="22"/>
              </w:rPr>
              <w:t>知识产权宣传周等重要时间节点的宣传工作，创新宣传方式，帮助企业提升知识产权保护意识，营造良好</w:t>
            </w:r>
            <w:r>
              <w:rPr>
                <w:rFonts w:ascii="Times New Roman" w:hAnsi="Times New Roman" w:cs="Times New Roman"/>
                <w:sz w:val="22"/>
                <w:szCs w:val="22"/>
              </w:rPr>
              <w:t>“</w:t>
            </w:r>
            <w:r>
              <w:rPr>
                <w:rFonts w:ascii="Times New Roman" w:cs="Times New Roman"/>
                <w:sz w:val="22"/>
                <w:szCs w:val="22"/>
              </w:rPr>
              <w:t>护企</w:t>
            </w:r>
            <w:r>
              <w:rPr>
                <w:rFonts w:ascii="Times New Roman" w:hAnsi="Times New Roman" w:cs="Times New Roman"/>
                <w:sz w:val="22"/>
                <w:szCs w:val="22"/>
              </w:rPr>
              <w:t>”</w:t>
            </w:r>
            <w:r>
              <w:rPr>
                <w:rFonts w:ascii="Times New Roman" w:cs="Times New Roman"/>
                <w:sz w:val="22"/>
                <w:szCs w:val="22"/>
              </w:rPr>
              <w:t>氛围。</w:t>
            </w:r>
          </w:p>
        </w:tc>
        <w:tc>
          <w:tcPr>
            <w:tcW w:w="1919" w:type="dxa"/>
            <w:shd w:val="clear" w:color="auto" w:fill="auto"/>
            <w:vAlign w:val="center"/>
          </w:tcPr>
          <w:p w14:paraId="7C0B2707">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w:t>
            </w:r>
            <w:r>
              <w:rPr>
                <w:rFonts w:hint="eastAsia" w:ascii="Times New Roman" w:hAnsi="宋体" w:eastAsia="宋体" w:cs="Times New Roman"/>
                <w:kern w:val="0"/>
                <w:sz w:val="22"/>
                <w:szCs w:val="22"/>
              </w:rPr>
              <w:t>人民</w:t>
            </w:r>
            <w:r>
              <w:rPr>
                <w:rFonts w:ascii="Times New Roman" w:hAnsi="宋体" w:eastAsia="宋体" w:cs="Times New Roman"/>
                <w:kern w:val="0"/>
                <w:sz w:val="22"/>
                <w:szCs w:val="22"/>
              </w:rPr>
              <w:t>检察院等相关单位</w:t>
            </w:r>
          </w:p>
        </w:tc>
      </w:tr>
      <w:tr w14:paraId="78F5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876" w:type="dxa"/>
            <w:vMerge w:val="continue"/>
            <w:vAlign w:val="center"/>
          </w:tcPr>
          <w:p w14:paraId="0F6CCDB4">
            <w:pPr>
              <w:widowControl/>
              <w:textAlignment w:val="center"/>
              <w:rPr>
                <w:rFonts w:ascii="Times New Roman" w:hAnsi="Times New Roman" w:eastAsia="宋体" w:cs="Times New Roman"/>
                <w:kern w:val="0"/>
                <w:sz w:val="22"/>
                <w:szCs w:val="22"/>
              </w:rPr>
            </w:pPr>
          </w:p>
        </w:tc>
        <w:tc>
          <w:tcPr>
            <w:tcW w:w="1522" w:type="dxa"/>
            <w:vAlign w:val="center"/>
          </w:tcPr>
          <w:p w14:paraId="3243EBC0">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33.</w:t>
            </w:r>
            <w:r>
              <w:rPr>
                <w:rFonts w:ascii="Times New Roman" w:hAnsi="宋体" w:eastAsia="宋体" w:cs="Times New Roman"/>
                <w:kern w:val="0"/>
                <w:sz w:val="22"/>
                <w:szCs w:val="22"/>
              </w:rPr>
              <w:t>提升民商事纠纷办理质效</w:t>
            </w:r>
          </w:p>
        </w:tc>
        <w:tc>
          <w:tcPr>
            <w:tcW w:w="10107" w:type="dxa"/>
            <w:vAlign w:val="center"/>
          </w:tcPr>
          <w:p w14:paraId="0DEEE9D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建立涉企立案</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容缺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受理机制，当场出具告知书或先行审核通过网上立案，允许企业在规定时限内邮寄、补传或开庭时补交材料，实现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先受理后补正</w:t>
            </w:r>
            <w:r>
              <w:rPr>
                <w:rFonts w:ascii="Times New Roman" w:hAnsi="Times New Roman" w:eastAsia="宋体" w:cs="Times New Roman"/>
                <w:kern w:val="0"/>
                <w:sz w:val="22"/>
                <w:szCs w:val="22"/>
              </w:rPr>
              <w:t>”</w:t>
            </w:r>
            <w:r>
              <w:rPr>
                <w:rFonts w:ascii="Times New Roman" w:hAnsi="宋体" w:eastAsia="宋体" w:cs="Times New Roman"/>
                <w:kern w:val="0"/>
                <w:sz w:val="22"/>
                <w:szCs w:val="22"/>
              </w:rPr>
              <w:t>。</w:t>
            </w:r>
            <w:r>
              <w:rPr>
                <w:rStyle w:val="7"/>
                <w:rFonts w:hint="default" w:ascii="Times New Roman" w:cs="Times New Roman"/>
                <w:color w:val="auto"/>
              </w:rPr>
              <w:t>推动</w:t>
            </w:r>
            <w:r>
              <w:rPr>
                <w:rStyle w:val="7"/>
                <w:rFonts w:hint="default" w:ascii="Times New Roman" w:hAnsi="Times New Roman" w:cs="Times New Roman"/>
                <w:color w:val="auto"/>
              </w:rPr>
              <w:t>2026</w:t>
            </w:r>
            <w:r>
              <w:rPr>
                <w:rStyle w:val="7"/>
                <w:rFonts w:hint="default" w:ascii="Times New Roman" w:cs="Times New Roman"/>
                <w:color w:val="auto"/>
              </w:rPr>
              <w:t>年无涉企案件立案投诉，诉讼费退费率不低于</w:t>
            </w:r>
            <w:r>
              <w:rPr>
                <w:rStyle w:val="7"/>
                <w:rFonts w:hint="default" w:ascii="Times New Roman" w:hAnsi="Times New Roman" w:cs="Times New Roman"/>
                <w:color w:val="auto"/>
              </w:rPr>
              <w:t>80%</w:t>
            </w:r>
            <w:r>
              <w:rPr>
                <w:rFonts w:ascii="Times New Roman" w:hAnsi="宋体" w:eastAsia="宋体" w:cs="Times New Roman"/>
                <w:kern w:val="0"/>
                <w:sz w:val="22"/>
                <w:szCs w:val="22"/>
              </w:rPr>
              <w:t>，案件上诉率不超过</w:t>
            </w:r>
            <w:r>
              <w:rPr>
                <w:rFonts w:ascii="Times New Roman" w:hAnsi="Times New Roman" w:eastAsia="宋体" w:cs="Times New Roman"/>
                <w:kern w:val="0"/>
                <w:sz w:val="22"/>
                <w:szCs w:val="22"/>
              </w:rPr>
              <w:t>60%</w:t>
            </w:r>
            <w:r>
              <w:rPr>
                <w:rFonts w:ascii="Times New Roman" w:hAnsi="宋体" w:eastAsia="宋体" w:cs="Times New Roman"/>
                <w:kern w:val="0"/>
                <w:sz w:val="22"/>
                <w:szCs w:val="22"/>
              </w:rPr>
              <w:t>，审限内结案率不低于</w:t>
            </w:r>
            <w:r>
              <w:rPr>
                <w:rFonts w:ascii="Times New Roman" w:hAnsi="Times New Roman" w:eastAsia="宋体" w:cs="Times New Roman"/>
                <w:kern w:val="0"/>
                <w:sz w:val="22"/>
                <w:szCs w:val="22"/>
              </w:rPr>
              <w:t>90%</w:t>
            </w:r>
            <w:r>
              <w:rPr>
                <w:rFonts w:ascii="Times New Roman" w:hAnsi="宋体" w:eastAsia="宋体" w:cs="Times New Roman"/>
                <w:kern w:val="0"/>
                <w:sz w:val="22"/>
                <w:szCs w:val="22"/>
              </w:rPr>
              <w:t>。</w:t>
            </w:r>
          </w:p>
        </w:tc>
        <w:tc>
          <w:tcPr>
            <w:tcW w:w="1919" w:type="dxa"/>
            <w:vAlign w:val="center"/>
          </w:tcPr>
          <w:p w14:paraId="2593194D">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市中级人民法院等相关单位</w:t>
            </w:r>
          </w:p>
        </w:tc>
      </w:tr>
      <w:tr w14:paraId="6B1A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876" w:type="dxa"/>
            <w:vMerge w:val="continue"/>
            <w:vAlign w:val="center"/>
          </w:tcPr>
          <w:p w14:paraId="624D772A">
            <w:pPr>
              <w:widowControl/>
              <w:textAlignment w:val="center"/>
              <w:rPr>
                <w:rFonts w:ascii="Times New Roman" w:hAnsi="Times New Roman" w:eastAsia="宋体" w:cs="Times New Roman"/>
                <w:kern w:val="0"/>
                <w:sz w:val="22"/>
                <w:szCs w:val="22"/>
              </w:rPr>
            </w:pPr>
          </w:p>
        </w:tc>
        <w:tc>
          <w:tcPr>
            <w:tcW w:w="1522" w:type="dxa"/>
            <w:shd w:val="clear" w:color="auto" w:fill="auto"/>
            <w:vAlign w:val="center"/>
          </w:tcPr>
          <w:p w14:paraId="564FDE9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34.</w:t>
            </w:r>
            <w:r>
              <w:rPr>
                <w:rFonts w:ascii="Times New Roman" w:hAnsi="宋体" w:eastAsia="宋体" w:cs="Times New Roman"/>
                <w:kern w:val="0"/>
                <w:sz w:val="22"/>
                <w:szCs w:val="22"/>
              </w:rPr>
              <w:t>全方位保护知识产权</w:t>
            </w:r>
          </w:p>
        </w:tc>
        <w:tc>
          <w:tcPr>
            <w:tcW w:w="10107" w:type="dxa"/>
            <w:shd w:val="clear" w:color="auto" w:fill="auto"/>
            <w:vAlign w:val="center"/>
          </w:tcPr>
          <w:p w14:paraId="5FB3E0C7">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强化知识产权行政保护，对纳入湖南省重点商标名录的企业开展商标</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体检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，全市知识产权行政保护办案量不少于去年同期，以裁决方式结案的专利侵权纠纷行政裁决案件不少于</w:t>
            </w:r>
            <w:r>
              <w:rPr>
                <w:rFonts w:ascii="Times New Roman" w:hAnsi="Times New Roman" w:eastAsia="宋体" w:cs="Times New Roman"/>
                <w:kern w:val="0"/>
                <w:sz w:val="22"/>
                <w:szCs w:val="22"/>
              </w:rPr>
              <w:t>10</w:t>
            </w:r>
            <w:r>
              <w:rPr>
                <w:rFonts w:ascii="Times New Roman" w:hAnsi="宋体" w:eastAsia="宋体" w:cs="Times New Roman"/>
                <w:kern w:val="0"/>
                <w:sz w:val="22"/>
                <w:szCs w:val="22"/>
              </w:rPr>
              <w:t>件，知识产权纠纷调解成功率不低于</w:t>
            </w:r>
            <w:r>
              <w:rPr>
                <w:rFonts w:ascii="Times New Roman" w:hAnsi="Times New Roman" w:eastAsia="宋体" w:cs="Times New Roman"/>
                <w:kern w:val="0"/>
                <w:sz w:val="22"/>
                <w:szCs w:val="22"/>
              </w:rPr>
              <w:t>85%</w:t>
            </w:r>
            <w:r>
              <w:rPr>
                <w:rFonts w:ascii="Times New Roman" w:hAnsi="宋体" w:eastAsia="宋体" w:cs="Times New Roman"/>
                <w:kern w:val="0"/>
                <w:sz w:val="22"/>
                <w:szCs w:val="22"/>
              </w:rPr>
              <w:t>。</w:t>
            </w:r>
          </w:p>
        </w:tc>
        <w:tc>
          <w:tcPr>
            <w:tcW w:w="1919" w:type="dxa"/>
            <w:shd w:val="clear" w:color="auto" w:fill="auto"/>
            <w:vAlign w:val="center"/>
          </w:tcPr>
          <w:p w14:paraId="07B1DD5E">
            <w:pPr>
              <w:widowControl/>
              <w:spacing w:line="28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市市场监管局、市财政局、市中级人民法院、市科技局等相关单位</w:t>
            </w:r>
          </w:p>
        </w:tc>
      </w:tr>
      <w:tr w14:paraId="131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4" w:hRule="atLeast"/>
          <w:jc w:val="center"/>
        </w:trPr>
        <w:tc>
          <w:tcPr>
            <w:tcW w:w="876" w:type="dxa"/>
            <w:vMerge w:val="restart"/>
            <w:vAlign w:val="center"/>
          </w:tcPr>
          <w:p w14:paraId="070E8141">
            <w:pPr>
              <w:widowControl/>
              <w:textAlignment w:val="center"/>
              <w:rPr>
                <w:rFonts w:ascii="Times New Roman" w:hAnsi="Times New Roman" w:eastAsia="宋体" w:cs="Times New Roman"/>
                <w:kern w:val="0"/>
                <w:sz w:val="22"/>
                <w:szCs w:val="22"/>
              </w:rPr>
            </w:pPr>
            <w:r>
              <w:rPr>
                <w:rFonts w:ascii="Times New Roman" w:hAnsi="宋体" w:eastAsia="宋体" w:cs="Times New Roman"/>
                <w:spacing w:val="-17"/>
                <w:kern w:val="0"/>
                <w:sz w:val="22"/>
                <w:szCs w:val="22"/>
              </w:rPr>
              <w:t>（十一）</w:t>
            </w:r>
            <w:r>
              <w:rPr>
                <w:rFonts w:ascii="Times New Roman" w:hAnsi="宋体" w:eastAsia="宋体" w:cs="Times New Roman"/>
                <w:kern w:val="0"/>
                <w:sz w:val="22"/>
                <w:szCs w:val="22"/>
              </w:rPr>
              <w:t>文明</w:t>
            </w:r>
          </w:p>
          <w:p w14:paraId="296560F9">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执法</w:t>
            </w:r>
          </w:p>
        </w:tc>
        <w:tc>
          <w:tcPr>
            <w:tcW w:w="1522" w:type="dxa"/>
            <w:shd w:val="clear" w:color="auto" w:fill="auto"/>
            <w:vAlign w:val="center"/>
          </w:tcPr>
          <w:p w14:paraId="5BE131EB">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35.</w:t>
            </w:r>
            <w:r>
              <w:rPr>
                <w:rFonts w:ascii="Times New Roman" w:hAnsi="宋体" w:eastAsia="宋体" w:cs="Times New Roman"/>
                <w:kern w:val="0"/>
                <w:sz w:val="22"/>
                <w:szCs w:val="22"/>
              </w:rPr>
              <w:t>持续规范涉企行政执法</w:t>
            </w:r>
          </w:p>
        </w:tc>
        <w:tc>
          <w:tcPr>
            <w:tcW w:w="10107" w:type="dxa"/>
            <w:shd w:val="clear" w:color="auto" w:fill="auto"/>
            <w:vAlign w:val="center"/>
          </w:tcPr>
          <w:p w14:paraId="4806B909">
            <w:pPr>
              <w:widowControl/>
              <w:spacing w:line="300" w:lineRule="exact"/>
              <w:textAlignment w:val="center"/>
              <w:rPr>
                <w:rFonts w:ascii="Times New Roman" w:hAnsi="Times New Roman" w:cs="Times New Roman"/>
                <w:sz w:val="22"/>
                <w:szCs w:val="22"/>
              </w:rPr>
            </w:pPr>
            <w:r>
              <w:rPr>
                <w:rFonts w:ascii="Times New Roman" w:hAnsi="宋体" w:eastAsia="宋体" w:cs="Times New Roman"/>
                <w:kern w:val="0"/>
                <w:sz w:val="22"/>
                <w:szCs w:val="22"/>
              </w:rPr>
              <w:t>深化涉企行政执法专项行动，全面推行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扫码入企、联码督查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，落实跨部门联合检查、入企检查频次限制要求，整治乱收费、乱罚款、乱检查、乱查封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四乱</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行为。</w:t>
            </w:r>
            <w:r>
              <w:rPr>
                <w:rStyle w:val="9"/>
                <w:rFonts w:hint="default" w:ascii="Times New Roman" w:cs="Times New Roman"/>
                <w:color w:val="auto"/>
              </w:rPr>
              <w:t>推动</w:t>
            </w:r>
            <w:r>
              <w:rPr>
                <w:rStyle w:val="9"/>
                <w:rFonts w:hint="default" w:ascii="Times New Roman" w:hAnsi="Times New Roman" w:cs="Times New Roman"/>
                <w:color w:val="auto"/>
              </w:rPr>
              <w:t>“</w:t>
            </w:r>
            <w:r>
              <w:rPr>
                <w:rStyle w:val="9"/>
                <w:rFonts w:hint="default" w:ascii="Times New Roman" w:cs="Times New Roman"/>
                <w:color w:val="auto"/>
              </w:rPr>
              <w:t>扫码入企</w:t>
            </w:r>
            <w:r>
              <w:rPr>
                <w:rStyle w:val="9"/>
                <w:rFonts w:hint="default" w:ascii="Times New Roman" w:hAnsi="Times New Roman" w:cs="Times New Roman"/>
                <w:color w:val="auto"/>
              </w:rPr>
              <w:t>”</w:t>
            </w:r>
            <w:r>
              <w:rPr>
                <w:rStyle w:val="9"/>
                <w:rFonts w:hint="default" w:ascii="Times New Roman" w:cs="Times New Roman"/>
                <w:color w:val="auto"/>
              </w:rPr>
              <w:t>企业评价满意率达</w:t>
            </w:r>
            <w:r>
              <w:rPr>
                <w:rStyle w:val="9"/>
                <w:rFonts w:hint="default" w:ascii="Times New Roman" w:hAnsi="Times New Roman" w:cs="Times New Roman"/>
                <w:color w:val="auto"/>
              </w:rPr>
              <w:t>100%</w:t>
            </w:r>
            <w:r>
              <w:rPr>
                <w:rFonts w:ascii="Times New Roman" w:hAnsi="宋体" w:eastAsia="宋体" w:cs="Times New Roman"/>
                <w:kern w:val="0"/>
                <w:sz w:val="22"/>
                <w:szCs w:val="22"/>
              </w:rPr>
              <w:t>；</w:t>
            </w:r>
            <w:r>
              <w:rPr>
                <w:rStyle w:val="9"/>
                <w:rFonts w:hint="default" w:ascii="Times New Roman" w:cs="Times New Roman"/>
                <w:color w:val="auto"/>
              </w:rPr>
              <w:t>清理和公告行政检查主体、行政处罚裁量权基准制定和公示；做好免罚事项清单、行政执法事项目录、涉企行政检查事项清单制定和公示；做好涉企行政检查计划制定、计划公布、计划实施；健全</w:t>
            </w:r>
            <w:r>
              <w:rPr>
                <w:rStyle w:val="9"/>
                <w:rFonts w:hint="default" w:ascii="Times New Roman" w:hAnsi="Times New Roman" w:cs="Times New Roman"/>
                <w:color w:val="auto"/>
              </w:rPr>
              <w:t>“</w:t>
            </w:r>
            <w:r>
              <w:rPr>
                <w:rStyle w:val="9"/>
                <w:rFonts w:hint="default" w:ascii="Times New Roman" w:cs="Times New Roman"/>
                <w:color w:val="auto"/>
              </w:rPr>
              <w:t>信用</w:t>
            </w:r>
            <w:r>
              <w:rPr>
                <w:rStyle w:val="9"/>
                <w:rFonts w:hint="default" w:ascii="Times New Roman" w:hAnsi="Times New Roman" w:cs="Times New Roman"/>
                <w:color w:val="auto"/>
              </w:rPr>
              <w:t>+</w:t>
            </w:r>
            <w:r>
              <w:rPr>
                <w:rStyle w:val="9"/>
                <w:rFonts w:hint="default" w:ascii="Times New Roman" w:cs="Times New Roman"/>
                <w:color w:val="auto"/>
              </w:rPr>
              <w:t>风险</w:t>
            </w:r>
            <w:r>
              <w:rPr>
                <w:rStyle w:val="9"/>
                <w:rFonts w:hint="default" w:ascii="Times New Roman" w:hAnsi="Times New Roman" w:cs="Times New Roman"/>
                <w:color w:val="auto"/>
              </w:rPr>
              <w:t>”</w:t>
            </w:r>
            <w:r>
              <w:rPr>
                <w:rStyle w:val="9"/>
                <w:rFonts w:hint="default" w:ascii="Times New Roman" w:cs="Times New Roman"/>
                <w:color w:val="auto"/>
              </w:rPr>
              <w:t>分级分类监管体系，最大限度减少现场检查频次；设置行政执法</w:t>
            </w:r>
            <w:r>
              <w:rPr>
                <w:rStyle w:val="9"/>
                <w:rFonts w:hint="default" w:ascii="Times New Roman" w:hAnsi="Times New Roman" w:cs="Times New Roman"/>
                <w:color w:val="auto"/>
              </w:rPr>
              <w:t>“</w:t>
            </w:r>
            <w:r>
              <w:rPr>
                <w:rStyle w:val="9"/>
                <w:rFonts w:hint="default" w:ascii="Times New Roman" w:cs="Times New Roman"/>
                <w:color w:val="auto"/>
              </w:rPr>
              <w:t>观察期</w:t>
            </w:r>
            <w:r>
              <w:rPr>
                <w:rStyle w:val="9"/>
                <w:rFonts w:hint="default" w:ascii="Times New Roman" w:hAnsi="Times New Roman" w:cs="Times New Roman"/>
                <w:color w:val="auto"/>
              </w:rPr>
              <w:t>”</w:t>
            </w:r>
            <w:r>
              <w:rPr>
                <w:rStyle w:val="9"/>
                <w:rFonts w:hint="default" w:ascii="Times New Roman" w:cs="Times New Roman"/>
                <w:color w:val="auto"/>
              </w:rPr>
              <w:t>，优先采用柔性执法方式，引导企业主动整改。</w:t>
            </w:r>
          </w:p>
        </w:tc>
        <w:tc>
          <w:tcPr>
            <w:tcW w:w="1919" w:type="dxa"/>
            <w:shd w:val="clear" w:color="auto" w:fill="auto"/>
            <w:vAlign w:val="center"/>
          </w:tcPr>
          <w:p w14:paraId="67F2884F">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市司法局、市直各行政执法单位</w:t>
            </w:r>
          </w:p>
        </w:tc>
      </w:tr>
      <w:tr w14:paraId="540C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6" w:hRule="atLeast"/>
          <w:jc w:val="center"/>
        </w:trPr>
        <w:tc>
          <w:tcPr>
            <w:tcW w:w="876" w:type="dxa"/>
            <w:vMerge w:val="continue"/>
            <w:vAlign w:val="center"/>
          </w:tcPr>
          <w:p w14:paraId="01509852">
            <w:pPr>
              <w:widowControl/>
              <w:textAlignment w:val="center"/>
              <w:rPr>
                <w:rFonts w:ascii="Times New Roman" w:hAnsi="Times New Roman" w:eastAsia="宋体" w:cs="Times New Roman"/>
                <w:kern w:val="0"/>
                <w:sz w:val="22"/>
                <w:szCs w:val="22"/>
              </w:rPr>
            </w:pPr>
          </w:p>
        </w:tc>
        <w:tc>
          <w:tcPr>
            <w:tcW w:w="1522" w:type="dxa"/>
            <w:vAlign w:val="center"/>
          </w:tcPr>
          <w:p w14:paraId="6D89CC3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36.</w:t>
            </w:r>
            <w:r>
              <w:rPr>
                <w:rFonts w:ascii="Times New Roman" w:hAnsi="宋体" w:eastAsia="宋体" w:cs="Times New Roman"/>
                <w:kern w:val="0"/>
                <w:sz w:val="22"/>
                <w:szCs w:val="22"/>
              </w:rPr>
              <w:t>规范税务领域执法监管</w:t>
            </w:r>
          </w:p>
        </w:tc>
        <w:tc>
          <w:tcPr>
            <w:tcW w:w="10107" w:type="dxa"/>
            <w:vAlign w:val="center"/>
          </w:tcPr>
          <w:p w14:paraId="551C61A9">
            <w:pPr>
              <w:widowControl/>
              <w:spacing w:line="300" w:lineRule="exact"/>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推广应用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湖南营商码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实现</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扫码入企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，同一年度内对同一户纳税人税务检查原则上不超过一次；落实《中南区域税务行政处罚裁量基准》，推行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首违不罚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、证明事项告知承诺制和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说理式</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执法，严查随意执法、选择性执法及</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吃拿卡要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等问题；落实纳税缴费信用评价制度，对不同信用级别的经营主体实施分类服务和管理。完善信用提示提醒机制，实施</w:t>
            </w:r>
            <w:r>
              <w:rPr>
                <w:rFonts w:ascii="Times New Roman" w:hAnsi="Times New Roman" w:eastAsia="宋体" w:cs="Times New Roman"/>
                <w:kern w:val="0"/>
                <w:sz w:val="22"/>
                <w:szCs w:val="22"/>
              </w:rPr>
              <w:t>“</w:t>
            </w:r>
            <w:r>
              <w:rPr>
                <w:rFonts w:ascii="Times New Roman" w:hAnsi="宋体" w:eastAsia="宋体" w:cs="Times New Roman"/>
                <w:kern w:val="0"/>
                <w:sz w:val="22"/>
                <w:szCs w:val="22"/>
              </w:rPr>
              <w:t>纳税信用</w:t>
            </w:r>
            <w:r>
              <w:rPr>
                <w:rFonts w:ascii="Times New Roman" w:hAnsi="Times New Roman" w:eastAsia="宋体" w:cs="Times New Roman"/>
                <w:kern w:val="0"/>
                <w:sz w:val="22"/>
                <w:szCs w:val="22"/>
              </w:rPr>
              <w:t>A</w:t>
            </w:r>
            <w:r>
              <w:rPr>
                <w:rFonts w:ascii="Times New Roman" w:hAnsi="宋体" w:eastAsia="宋体" w:cs="Times New Roman"/>
                <w:kern w:val="0"/>
                <w:sz w:val="22"/>
                <w:szCs w:val="22"/>
              </w:rPr>
              <w:t>级纳税人培育计划</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。建立信用快速修复通道，纳税缴费信用修复办理时限最长</w:t>
            </w:r>
            <w:r>
              <w:rPr>
                <w:rFonts w:ascii="Times New Roman" w:hAnsi="Times New Roman" w:eastAsia="宋体" w:cs="Times New Roman"/>
                <w:kern w:val="0"/>
                <w:sz w:val="22"/>
                <w:szCs w:val="22"/>
              </w:rPr>
              <w:t>7</w:t>
            </w:r>
            <w:r>
              <w:rPr>
                <w:rFonts w:ascii="Times New Roman" w:hAnsi="宋体" w:eastAsia="宋体" w:cs="Times New Roman"/>
                <w:kern w:val="0"/>
                <w:sz w:val="22"/>
                <w:szCs w:val="22"/>
              </w:rPr>
              <w:t>个工作日内。</w:t>
            </w:r>
          </w:p>
        </w:tc>
        <w:tc>
          <w:tcPr>
            <w:tcW w:w="1919" w:type="dxa"/>
            <w:vAlign w:val="center"/>
          </w:tcPr>
          <w:p w14:paraId="773D0E7B">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市税务局等相关单位</w:t>
            </w:r>
          </w:p>
        </w:tc>
      </w:tr>
      <w:tr w14:paraId="6801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9" w:hRule="atLeast"/>
          <w:jc w:val="center"/>
        </w:trPr>
        <w:tc>
          <w:tcPr>
            <w:tcW w:w="876" w:type="dxa"/>
            <w:vMerge w:val="continue"/>
            <w:vAlign w:val="center"/>
          </w:tcPr>
          <w:p w14:paraId="344A3D6C">
            <w:pPr>
              <w:widowControl/>
              <w:textAlignment w:val="center"/>
              <w:rPr>
                <w:rFonts w:ascii="Times New Roman" w:hAnsi="Times New Roman" w:eastAsia="宋体" w:cs="Times New Roman"/>
                <w:kern w:val="0"/>
                <w:sz w:val="22"/>
                <w:szCs w:val="22"/>
              </w:rPr>
            </w:pPr>
          </w:p>
        </w:tc>
        <w:tc>
          <w:tcPr>
            <w:tcW w:w="1522" w:type="dxa"/>
            <w:vAlign w:val="center"/>
          </w:tcPr>
          <w:p w14:paraId="79CE7C49">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37.</w:t>
            </w:r>
            <w:r>
              <w:rPr>
                <w:rFonts w:ascii="Times New Roman" w:hAnsi="宋体" w:eastAsia="宋体" w:cs="Times New Roman"/>
                <w:kern w:val="0"/>
                <w:sz w:val="22"/>
                <w:szCs w:val="22"/>
              </w:rPr>
              <w:t>规范公安领域执法监管</w:t>
            </w:r>
          </w:p>
        </w:tc>
        <w:tc>
          <w:tcPr>
            <w:tcW w:w="10107" w:type="dxa"/>
            <w:vAlign w:val="center"/>
          </w:tcPr>
          <w:p w14:paraId="46E07081">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落实省政府规范涉企行政检查工作要求，推动公安部门协同开展</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扫码入企、联码督查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，将数据统一接入</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湘办通</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。公安机关除采取刑事强制措施等法律法规另有规定之外，其他入企行为均须扫码。</w:t>
            </w:r>
          </w:p>
        </w:tc>
        <w:tc>
          <w:tcPr>
            <w:tcW w:w="1919" w:type="dxa"/>
            <w:vAlign w:val="center"/>
          </w:tcPr>
          <w:p w14:paraId="4526B075">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市公安局等相关单位</w:t>
            </w:r>
          </w:p>
        </w:tc>
      </w:tr>
      <w:tr w14:paraId="0BFE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2" w:hRule="atLeast"/>
          <w:jc w:val="center"/>
        </w:trPr>
        <w:tc>
          <w:tcPr>
            <w:tcW w:w="876" w:type="dxa"/>
            <w:vMerge w:val="restart"/>
            <w:vAlign w:val="center"/>
          </w:tcPr>
          <w:p w14:paraId="6CA8B47B">
            <w:pPr>
              <w:widowControl/>
              <w:textAlignment w:val="center"/>
              <w:rPr>
                <w:rFonts w:ascii="Times New Roman" w:hAnsi="Times New Roman" w:eastAsia="宋体" w:cs="Times New Roman"/>
                <w:spacing w:val="-17"/>
                <w:kern w:val="0"/>
                <w:sz w:val="22"/>
                <w:szCs w:val="22"/>
              </w:rPr>
            </w:pPr>
            <w:r>
              <w:rPr>
                <w:rFonts w:ascii="Times New Roman" w:hAnsi="宋体" w:eastAsia="宋体" w:cs="Times New Roman"/>
                <w:spacing w:val="-17"/>
                <w:kern w:val="0"/>
                <w:sz w:val="22"/>
                <w:szCs w:val="22"/>
              </w:rPr>
              <w:t>（十二）</w:t>
            </w:r>
          </w:p>
          <w:p w14:paraId="35DAF330">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守信</w:t>
            </w:r>
          </w:p>
          <w:p w14:paraId="6ACDADDE">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践诺</w:t>
            </w:r>
          </w:p>
        </w:tc>
        <w:tc>
          <w:tcPr>
            <w:tcW w:w="1522" w:type="dxa"/>
            <w:vAlign w:val="center"/>
          </w:tcPr>
          <w:p w14:paraId="2901C9E6">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38.</w:t>
            </w:r>
            <w:r>
              <w:rPr>
                <w:rFonts w:ascii="Times New Roman" w:hAnsi="宋体" w:eastAsia="宋体" w:cs="Times New Roman"/>
                <w:kern w:val="0"/>
                <w:sz w:val="22"/>
                <w:szCs w:val="22"/>
              </w:rPr>
              <w:t>强化企业信用监管</w:t>
            </w:r>
          </w:p>
        </w:tc>
        <w:tc>
          <w:tcPr>
            <w:tcW w:w="10107" w:type="dxa"/>
            <w:vAlign w:val="center"/>
          </w:tcPr>
          <w:p w14:paraId="64114DAC">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推动行政许可与行政处罚信息双公示合规率</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，迟报率和瞒报率为</w:t>
            </w:r>
            <w:r>
              <w:rPr>
                <w:rFonts w:ascii="Times New Roman" w:hAnsi="Times New Roman" w:eastAsia="宋体" w:cs="Times New Roman"/>
                <w:kern w:val="0"/>
                <w:sz w:val="22"/>
                <w:szCs w:val="22"/>
              </w:rPr>
              <w:t>0</w:t>
            </w:r>
            <w:r>
              <w:rPr>
                <w:rFonts w:ascii="Times New Roman" w:hAnsi="宋体" w:eastAsia="宋体" w:cs="Times New Roman"/>
                <w:kern w:val="0"/>
                <w:sz w:val="22"/>
                <w:szCs w:val="22"/>
              </w:rPr>
              <w:t>；建立企业信用状况综合评价体系和</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企业免检</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机制，引导企业完善合规经营制度，运用信用风险分类实施差异化监管；优化信用修复服务，完善协同联动机制，推动信用修复</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全程网办、零次跑动</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；全市行政执法部门落实</w:t>
            </w:r>
            <w:r>
              <w:rPr>
                <w:rFonts w:ascii="Times New Roman" w:hAnsi="Times New Roman" w:eastAsia="宋体" w:cs="Times New Roman"/>
                <w:kern w:val="0"/>
                <w:sz w:val="22"/>
                <w:szCs w:val="22"/>
              </w:rPr>
              <w:t>“</w:t>
            </w:r>
            <w:r>
              <w:rPr>
                <w:rFonts w:ascii="Times New Roman" w:hAnsi="宋体" w:eastAsia="宋体" w:cs="Times New Roman"/>
                <w:kern w:val="0"/>
                <w:sz w:val="22"/>
                <w:szCs w:val="22"/>
              </w:rPr>
              <w:t>两书同送</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机制，被列入严重失信主体名单或未完成信用修复的企业数量与辖区内企业总数比值控制在</w:t>
            </w:r>
            <w:r>
              <w:rPr>
                <w:rFonts w:ascii="Times New Roman" w:hAnsi="Times New Roman" w:eastAsia="宋体" w:cs="Times New Roman"/>
                <w:kern w:val="0"/>
                <w:sz w:val="22"/>
                <w:szCs w:val="22"/>
              </w:rPr>
              <w:t>5%</w:t>
            </w:r>
            <w:r>
              <w:rPr>
                <w:rFonts w:ascii="Times New Roman" w:hAnsi="宋体" w:eastAsia="宋体" w:cs="Times New Roman"/>
                <w:kern w:val="0"/>
                <w:sz w:val="22"/>
                <w:szCs w:val="22"/>
              </w:rPr>
              <w:t>以下（市监部门除外）；在全市</w:t>
            </w:r>
            <w:r>
              <w:rPr>
                <w:rFonts w:ascii="Times New Roman" w:hAnsi="Times New Roman" w:eastAsia="宋体" w:cs="Times New Roman"/>
                <w:kern w:val="0"/>
                <w:sz w:val="22"/>
                <w:szCs w:val="22"/>
              </w:rPr>
              <w:t>20</w:t>
            </w:r>
            <w:r>
              <w:rPr>
                <w:rFonts w:ascii="Times New Roman" w:hAnsi="宋体" w:eastAsia="宋体" w:cs="Times New Roman"/>
                <w:kern w:val="0"/>
                <w:sz w:val="22"/>
                <w:szCs w:val="22"/>
              </w:rPr>
              <w:t>个重点领域开展信用分级分类监管，推动差异化监管落实。</w:t>
            </w:r>
          </w:p>
        </w:tc>
        <w:tc>
          <w:tcPr>
            <w:tcW w:w="1919" w:type="dxa"/>
            <w:vAlign w:val="center"/>
          </w:tcPr>
          <w:p w14:paraId="6195279D">
            <w:pPr>
              <w:widowControl/>
              <w:textAlignment w:val="center"/>
              <w:rPr>
                <w:rFonts w:ascii="Times New Roman" w:hAnsi="Times New Roman" w:eastAsia="宋体" w:cs="Times New Roman"/>
                <w:kern w:val="0"/>
                <w:sz w:val="22"/>
                <w:szCs w:val="22"/>
              </w:rPr>
            </w:pPr>
            <w:r>
              <w:rPr>
                <w:rFonts w:ascii="Times New Roman" w:hAnsi="宋体" w:eastAsia="宋体" w:cs="Times New Roman"/>
                <w:kern w:val="0"/>
                <w:sz w:val="22"/>
                <w:szCs w:val="22"/>
              </w:rPr>
              <w:t>市数据局（营商环境建设局）等相关单位</w:t>
            </w:r>
          </w:p>
        </w:tc>
      </w:tr>
      <w:tr w14:paraId="666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876" w:type="dxa"/>
            <w:vMerge w:val="continue"/>
            <w:vAlign w:val="center"/>
          </w:tcPr>
          <w:p w14:paraId="5DA1AB1E">
            <w:pPr>
              <w:widowControl/>
              <w:textAlignment w:val="center"/>
              <w:rPr>
                <w:rFonts w:ascii="Times New Roman" w:hAnsi="Times New Roman" w:eastAsia="宋体" w:cs="Times New Roman"/>
                <w:kern w:val="0"/>
                <w:sz w:val="22"/>
                <w:szCs w:val="22"/>
              </w:rPr>
            </w:pPr>
          </w:p>
        </w:tc>
        <w:tc>
          <w:tcPr>
            <w:tcW w:w="1522" w:type="dxa"/>
            <w:shd w:val="clear" w:color="auto" w:fill="auto"/>
            <w:vAlign w:val="center"/>
          </w:tcPr>
          <w:p w14:paraId="7250AC13">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39.</w:t>
            </w:r>
            <w:r>
              <w:rPr>
                <w:rFonts w:ascii="Times New Roman" w:hAnsi="宋体" w:eastAsia="宋体" w:cs="Times New Roman"/>
                <w:kern w:val="0"/>
                <w:sz w:val="22"/>
                <w:szCs w:val="22"/>
              </w:rPr>
              <w:t>开展政务失信专项整治行动</w:t>
            </w:r>
          </w:p>
        </w:tc>
        <w:tc>
          <w:tcPr>
            <w:tcW w:w="10107" w:type="dxa"/>
            <w:shd w:val="clear" w:color="auto" w:fill="auto"/>
            <w:vAlign w:val="center"/>
          </w:tcPr>
          <w:p w14:paraId="40C0385D">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开展政务失信专项整治行动，各县市区党政主要领导分别认领企业反映的政务失信疑难问题不少于</w:t>
            </w:r>
            <w:r>
              <w:rPr>
                <w:rFonts w:ascii="Times New Roman" w:hAnsi="Times New Roman" w:eastAsia="宋体" w:cs="Times New Roman"/>
                <w:kern w:val="0"/>
                <w:sz w:val="22"/>
                <w:szCs w:val="22"/>
              </w:rPr>
              <w:t>3</w:t>
            </w:r>
            <w:r>
              <w:rPr>
                <w:rFonts w:ascii="Times New Roman" w:hAnsi="宋体" w:eastAsia="宋体" w:cs="Times New Roman"/>
                <w:kern w:val="0"/>
                <w:sz w:val="22"/>
                <w:szCs w:val="22"/>
              </w:rPr>
              <w:t>个，限期整改销号。将经核实的机关、事业单位、国有企业拖欠民企账款情况纳入政务失信记录，列为审计督查重点。</w:t>
            </w:r>
          </w:p>
        </w:tc>
        <w:tc>
          <w:tcPr>
            <w:tcW w:w="1919" w:type="dxa"/>
            <w:shd w:val="clear" w:color="auto" w:fill="auto"/>
            <w:vAlign w:val="center"/>
          </w:tcPr>
          <w:p w14:paraId="2AD9289B">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市数据局（营商环境建设局）、市审计局、市财政局等相关单位</w:t>
            </w:r>
          </w:p>
        </w:tc>
      </w:tr>
      <w:tr w14:paraId="1806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6" w:hRule="atLeast"/>
          <w:jc w:val="center"/>
        </w:trPr>
        <w:tc>
          <w:tcPr>
            <w:tcW w:w="876" w:type="dxa"/>
            <w:vMerge w:val="continue"/>
            <w:vAlign w:val="center"/>
          </w:tcPr>
          <w:p w14:paraId="22B90C31">
            <w:pPr>
              <w:widowControl/>
              <w:textAlignment w:val="center"/>
              <w:rPr>
                <w:rFonts w:ascii="Times New Roman" w:hAnsi="Times New Roman" w:eastAsia="宋体" w:cs="Times New Roman"/>
                <w:kern w:val="0"/>
                <w:sz w:val="22"/>
                <w:szCs w:val="22"/>
              </w:rPr>
            </w:pPr>
          </w:p>
        </w:tc>
        <w:tc>
          <w:tcPr>
            <w:tcW w:w="1522" w:type="dxa"/>
            <w:vAlign w:val="center"/>
          </w:tcPr>
          <w:p w14:paraId="27B61768">
            <w:pPr>
              <w:widowControl/>
              <w:textAlignment w:val="center"/>
              <w:rPr>
                <w:rFonts w:ascii="Times New Roman" w:hAnsi="Times New Roman" w:eastAsia="宋体" w:cs="Times New Roman"/>
                <w:kern w:val="0"/>
                <w:sz w:val="22"/>
                <w:szCs w:val="22"/>
              </w:rPr>
            </w:pPr>
            <w:r>
              <w:rPr>
                <w:rFonts w:ascii="Times New Roman" w:hAnsi="Times New Roman" w:eastAsia="宋体" w:cs="Times New Roman"/>
                <w:kern w:val="0"/>
                <w:sz w:val="22"/>
                <w:szCs w:val="22"/>
              </w:rPr>
              <w:t>40.</w:t>
            </w:r>
            <w:r>
              <w:rPr>
                <w:rFonts w:ascii="Times New Roman" w:hAnsi="宋体" w:eastAsia="宋体" w:cs="Times New Roman"/>
                <w:kern w:val="0"/>
                <w:sz w:val="22"/>
                <w:szCs w:val="22"/>
              </w:rPr>
              <w:t>加力清理拖欠企业账款</w:t>
            </w:r>
          </w:p>
        </w:tc>
        <w:tc>
          <w:tcPr>
            <w:tcW w:w="10107" w:type="dxa"/>
            <w:shd w:val="clear" w:color="auto" w:fill="auto"/>
            <w:vAlign w:val="center"/>
          </w:tcPr>
          <w:p w14:paraId="6CF5D3B5">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积极争取国家及省级政策资源支持，用好清欠专项债与金融政策；完善清欠工作机制，按照</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分县市区对口联系</w:t>
            </w:r>
            <w:r>
              <w:rPr>
                <w:rFonts w:ascii="Times New Roman" w:hAnsi="Times New Roman" w:eastAsia="宋体" w:cs="Times New Roman"/>
                <w:kern w:val="0"/>
                <w:sz w:val="22"/>
                <w:szCs w:val="22"/>
              </w:rPr>
              <w:t>”</w:t>
            </w:r>
            <w:r>
              <w:rPr>
                <w:rFonts w:ascii="Times New Roman" w:hAnsi="宋体" w:eastAsia="宋体" w:cs="Times New Roman"/>
                <w:kern w:val="0"/>
                <w:sz w:val="22"/>
                <w:szCs w:val="22"/>
              </w:rPr>
              <w:t>、抽查复核等工作方案，组织相关成员单位做好政策培训、督导检查、抽查复核等工作。督促全市拖欠单位对抽查复核发现的问题及时整改并举一反三，同时对清偿化解资料进行再次全面梳理，提高清偿化解质量；加强</w:t>
            </w:r>
            <w:r>
              <w:rPr>
                <w:rFonts w:ascii="Times New Roman" w:hAnsi="Times New Roman" w:eastAsia="宋体" w:cs="Times New Roman"/>
                <w:kern w:val="0"/>
                <w:sz w:val="22"/>
                <w:szCs w:val="22"/>
              </w:rPr>
              <w:t>“</w:t>
            </w:r>
            <w:r>
              <w:rPr>
                <w:rFonts w:ascii="Times New Roman" w:hAnsi="宋体" w:eastAsia="宋体" w:cs="Times New Roman"/>
                <w:kern w:val="0"/>
                <w:sz w:val="22"/>
                <w:szCs w:val="22"/>
              </w:rPr>
              <w:t>连环清</w:t>
            </w:r>
            <w:r>
              <w:rPr>
                <w:rFonts w:ascii="Times New Roman" w:hAnsi="Times New Roman" w:eastAsia="宋体" w:cs="Times New Roman"/>
                <w:kern w:val="0"/>
                <w:sz w:val="22"/>
                <w:szCs w:val="22"/>
              </w:rPr>
              <w:t>”</w:t>
            </w:r>
            <w:r>
              <w:rPr>
                <w:rFonts w:ascii="Times New Roman" w:hAnsi="宋体" w:eastAsia="宋体" w:cs="Times New Roman"/>
                <w:kern w:val="0"/>
                <w:sz w:val="22"/>
                <w:szCs w:val="22"/>
              </w:rPr>
              <w:t>工作推进力度，确保全年台账内化解率达</w:t>
            </w:r>
            <w:r>
              <w:rPr>
                <w:rFonts w:ascii="Times New Roman" w:hAnsi="Times New Roman" w:eastAsia="宋体" w:cs="Times New Roman"/>
                <w:kern w:val="0"/>
                <w:sz w:val="22"/>
                <w:szCs w:val="22"/>
              </w:rPr>
              <w:t>80%</w:t>
            </w:r>
            <w:r>
              <w:rPr>
                <w:rFonts w:ascii="Times New Roman" w:hAnsi="宋体" w:eastAsia="宋体" w:cs="Times New Roman"/>
                <w:kern w:val="0"/>
                <w:sz w:val="22"/>
                <w:szCs w:val="22"/>
              </w:rPr>
              <w:t>以上。加强对违约拖欠中小企业账款投诉线索的办理，力争全市投诉线索办结率达到</w:t>
            </w:r>
            <w:r>
              <w:rPr>
                <w:rFonts w:ascii="Times New Roman" w:hAnsi="Times New Roman" w:eastAsia="宋体" w:cs="Times New Roman"/>
                <w:kern w:val="0"/>
                <w:sz w:val="22"/>
                <w:szCs w:val="22"/>
              </w:rPr>
              <w:t>100%</w:t>
            </w:r>
            <w:r>
              <w:rPr>
                <w:rFonts w:ascii="Times New Roman" w:hAnsi="宋体" w:eastAsia="宋体" w:cs="Times New Roman"/>
                <w:kern w:val="0"/>
                <w:sz w:val="22"/>
                <w:szCs w:val="22"/>
              </w:rPr>
              <w:t>。</w:t>
            </w:r>
          </w:p>
        </w:tc>
        <w:tc>
          <w:tcPr>
            <w:tcW w:w="1919" w:type="dxa"/>
            <w:shd w:val="clear" w:color="auto" w:fill="auto"/>
            <w:vAlign w:val="center"/>
          </w:tcPr>
          <w:p w14:paraId="4C440DEC">
            <w:pPr>
              <w:widowControl/>
              <w:spacing w:line="300" w:lineRule="exact"/>
              <w:textAlignment w:val="center"/>
              <w:rPr>
                <w:rFonts w:ascii="Times New Roman" w:hAnsi="Times New Roman" w:cs="Times New Roman"/>
                <w:sz w:val="22"/>
                <w:szCs w:val="22"/>
              </w:rPr>
            </w:pPr>
            <w:r>
              <w:rPr>
                <w:rFonts w:ascii="Times New Roman" w:hAnsi="宋体" w:eastAsia="宋体" w:cs="Times New Roman"/>
                <w:kern w:val="0"/>
                <w:sz w:val="22"/>
                <w:szCs w:val="22"/>
              </w:rPr>
              <w:t>市工信局、市政府办、市发改委、市财政局、市审计局、市国资委、永州金融监管分局、中国人民银行永州市分行等相关单位</w:t>
            </w:r>
          </w:p>
        </w:tc>
      </w:tr>
      <w:tr w14:paraId="3F93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876" w:type="dxa"/>
            <w:vMerge w:val="continue"/>
            <w:vAlign w:val="center"/>
          </w:tcPr>
          <w:p w14:paraId="533CDFBD">
            <w:pPr>
              <w:widowControl/>
              <w:textAlignment w:val="center"/>
              <w:rPr>
                <w:rFonts w:ascii="Times New Roman" w:hAnsi="Times New Roman" w:eastAsia="宋体" w:cs="Times New Roman"/>
                <w:kern w:val="0"/>
                <w:sz w:val="22"/>
                <w:szCs w:val="22"/>
              </w:rPr>
            </w:pPr>
          </w:p>
        </w:tc>
        <w:tc>
          <w:tcPr>
            <w:tcW w:w="1522" w:type="dxa"/>
            <w:shd w:val="clear" w:color="auto" w:fill="auto"/>
            <w:vAlign w:val="center"/>
          </w:tcPr>
          <w:p w14:paraId="535B47C3">
            <w:pPr>
              <w:widowControl/>
              <w:textAlignment w:val="center"/>
              <w:rPr>
                <w:rFonts w:ascii="Times New Roman" w:hAnsi="Times New Roman" w:cs="Times New Roman"/>
                <w:sz w:val="22"/>
                <w:szCs w:val="22"/>
              </w:rPr>
            </w:pPr>
            <w:r>
              <w:rPr>
                <w:rFonts w:ascii="Times New Roman" w:hAnsi="Times New Roman" w:eastAsia="宋体" w:cs="Times New Roman"/>
                <w:kern w:val="0"/>
                <w:sz w:val="22"/>
                <w:szCs w:val="22"/>
              </w:rPr>
              <w:t>41.</w:t>
            </w:r>
            <w:r>
              <w:rPr>
                <w:rFonts w:ascii="Times New Roman" w:hAnsi="宋体" w:eastAsia="宋体" w:cs="Times New Roman"/>
                <w:kern w:val="0"/>
                <w:sz w:val="22"/>
                <w:szCs w:val="22"/>
              </w:rPr>
              <w:t>建立拖欠企业账款通报机制</w:t>
            </w:r>
          </w:p>
        </w:tc>
        <w:tc>
          <w:tcPr>
            <w:tcW w:w="10107" w:type="dxa"/>
            <w:shd w:val="clear" w:color="auto" w:fill="auto"/>
            <w:vAlign w:val="center"/>
          </w:tcPr>
          <w:p w14:paraId="2DF91504">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对党政机关、事业单位、国有企业拖欠民营企业账款执行案件实行全周期跟踪督办。联合工信、数据等部门明确通报范围、数据口径及考核指标，形成跨部门协同格局。提高执行质效，力争执行到位率达</w:t>
            </w:r>
            <w:r>
              <w:rPr>
                <w:rFonts w:ascii="Times New Roman" w:hAnsi="Times New Roman" w:eastAsia="宋体" w:cs="Times New Roman"/>
                <w:kern w:val="0"/>
                <w:sz w:val="22"/>
                <w:szCs w:val="22"/>
              </w:rPr>
              <w:t>45%</w:t>
            </w:r>
            <w:r>
              <w:rPr>
                <w:rFonts w:ascii="Times New Roman" w:hAnsi="宋体" w:eastAsia="宋体" w:cs="Times New Roman"/>
                <w:kern w:val="0"/>
                <w:sz w:val="22"/>
                <w:szCs w:val="22"/>
              </w:rPr>
              <w:t>以上、执行完毕率达</w:t>
            </w:r>
            <w:r>
              <w:rPr>
                <w:rFonts w:ascii="Times New Roman" w:hAnsi="Times New Roman" w:eastAsia="宋体" w:cs="Times New Roman"/>
                <w:kern w:val="0"/>
                <w:sz w:val="22"/>
                <w:szCs w:val="22"/>
              </w:rPr>
              <w:t>35%</w:t>
            </w:r>
            <w:r>
              <w:rPr>
                <w:rFonts w:ascii="Times New Roman" w:hAnsi="宋体" w:eastAsia="宋体" w:cs="Times New Roman"/>
                <w:kern w:val="0"/>
                <w:sz w:val="22"/>
                <w:szCs w:val="22"/>
              </w:rPr>
              <w:t>以上、案款按时发放率达</w:t>
            </w:r>
            <w:r>
              <w:rPr>
                <w:rFonts w:ascii="Times New Roman" w:hAnsi="Times New Roman" w:eastAsia="宋体" w:cs="Times New Roman"/>
                <w:kern w:val="0"/>
                <w:sz w:val="22"/>
                <w:szCs w:val="22"/>
              </w:rPr>
              <w:t>99%</w:t>
            </w:r>
            <w:r>
              <w:rPr>
                <w:rFonts w:ascii="Times New Roman" w:hAnsi="宋体" w:eastAsia="宋体" w:cs="Times New Roman"/>
                <w:kern w:val="0"/>
                <w:sz w:val="22"/>
                <w:szCs w:val="22"/>
              </w:rPr>
              <w:t>以上。</w:t>
            </w:r>
          </w:p>
        </w:tc>
        <w:tc>
          <w:tcPr>
            <w:tcW w:w="1919" w:type="dxa"/>
            <w:shd w:val="clear" w:color="auto" w:fill="auto"/>
            <w:vAlign w:val="center"/>
          </w:tcPr>
          <w:p w14:paraId="7EA5CF26">
            <w:pPr>
              <w:widowControl/>
              <w:textAlignment w:val="center"/>
              <w:rPr>
                <w:rFonts w:ascii="Times New Roman" w:hAnsi="Times New Roman" w:cs="Times New Roman"/>
                <w:sz w:val="22"/>
                <w:szCs w:val="22"/>
              </w:rPr>
            </w:pPr>
            <w:r>
              <w:rPr>
                <w:rFonts w:ascii="Times New Roman" w:hAnsi="宋体" w:eastAsia="宋体" w:cs="Times New Roman"/>
                <w:kern w:val="0"/>
                <w:sz w:val="22"/>
                <w:szCs w:val="22"/>
              </w:rPr>
              <w:t>市中级人民法院、市数据局（营商环境建设局）、市工信局等相关单位区</w:t>
            </w:r>
          </w:p>
        </w:tc>
      </w:tr>
    </w:tbl>
    <w:p w14:paraId="335F08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iti SC Light">
    <w:altName w:val="仿宋"/>
    <w:panose1 w:val="00000000000000000000"/>
    <w:charset w:val="00"/>
    <w:family w:val="auto"/>
    <w:pitch w:val="default"/>
    <w:sig w:usb0="00000000" w:usb1="00000000" w:usb2="00000000" w:usb3="00000000" w:csb0="203E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E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jc w:val="center"/>
    </w:pPr>
    <w:rPr>
      <w:rFonts w:ascii="Heiti SC Light" w:hAnsi="Heiti SC Light" w:eastAsia="黑体" w:cs="Times New Roman"/>
      <w:sz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basedOn w:val="6"/>
    <w:qFormat/>
    <w:uiPriority w:val="0"/>
    <w:rPr>
      <w:rFonts w:hint="eastAsia" w:ascii="宋体" w:hAnsi="宋体" w:eastAsia="宋体" w:cs="宋体"/>
      <w:color w:val="FF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行走</cp:lastModifiedBy>
  <dcterms:modified xsi:type="dcterms:W3CDTF">2026-04-03T03:12:05Z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eyJoZGlkIjoiNWJkMDk4MTMzNGNiNmU5OWIyZDkyZTk2ZDNkMzdjZjgiLCJ1c2VySWQiOiI2Mjg1NjMwODYifQ==</vt:lpwstr>
  </property>
  <property fmtid="{D5CDD505-2E9C-101B-9397-08002B2CF9AE}" pid="4" name="ICV">
    <vt:lpwstr>860DB3AB9FBC47E8AC2B41AD2C17B508_12</vt:lpwstr>
  </property>
</Properties>
</file>