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6F4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1-1</w:t>
      </w:r>
    </w:p>
    <w:p w14:paraId="37CA0F04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企业服务年强化大抓项目投资促进攻坚战行动责任清单</w:t>
      </w:r>
    </w:p>
    <w:tbl>
      <w:tblPr>
        <w:tblStyle w:val="6"/>
        <w:tblW w:w="14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099"/>
      </w:tblGrid>
      <w:tr w14:paraId="1281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162" w:type="dxa"/>
            <w:vAlign w:val="center"/>
          </w:tcPr>
          <w:p w14:paraId="06A7A45C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总体</w:t>
            </w:r>
          </w:p>
          <w:p w14:paraId="3EDDAC12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目标</w:t>
            </w:r>
          </w:p>
        </w:tc>
        <w:tc>
          <w:tcPr>
            <w:tcW w:w="13099" w:type="dxa"/>
            <w:vAlign w:val="center"/>
          </w:tcPr>
          <w:p w14:paraId="3CFBA969"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谋划储备项目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cs="Times New Roman"/>
              </w:rPr>
              <w:t>个以上，力争纳入国省规划项目数量超过全省平均水平。争取中央预算内投资、超长期</w:t>
            </w:r>
            <w:r>
              <w:rPr>
                <w:rFonts w:hint="eastAsia" w:ascii="Times New Roman" w:cs="Times New Roman"/>
              </w:rPr>
              <w:t>特别</w:t>
            </w:r>
            <w:r>
              <w:rPr>
                <w:rFonts w:ascii="Times New Roman" w:cs="Times New Roman"/>
              </w:rPr>
              <w:t>国债和用于项目建设的地方政府专项债券资金</w:t>
            </w: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cs="Times New Roman"/>
              </w:rPr>
              <w:t>亿元以上，项目建设和资金支付进度达到国省要求。省市重点项目年度完成投资</w:t>
            </w:r>
            <w:r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cs="Times New Roman"/>
              </w:rPr>
              <w:t>亿元以上。实现固定资产投资增长</w:t>
            </w:r>
            <w:r>
              <w:rPr>
                <w:rFonts w:ascii="Times New Roman" w:hAnsi="Times New Roman" w:cs="Times New Roman"/>
              </w:rPr>
              <w:t>2%</w:t>
            </w:r>
            <w:r>
              <w:rPr>
                <w:rFonts w:ascii="Times New Roman" w:cs="Times New Roman"/>
              </w:rPr>
              <w:t>以上，民间投资和高技投资占比稳中有升。</w:t>
            </w:r>
          </w:p>
        </w:tc>
      </w:tr>
      <w:tr w14:paraId="09A8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162" w:type="dxa"/>
            <w:vAlign w:val="center"/>
          </w:tcPr>
          <w:p w14:paraId="68E3A0E4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工作</w:t>
            </w:r>
          </w:p>
          <w:p w14:paraId="068C5DDE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机制</w:t>
            </w:r>
          </w:p>
        </w:tc>
        <w:tc>
          <w:tcPr>
            <w:tcW w:w="13099" w:type="dxa"/>
            <w:vAlign w:val="center"/>
          </w:tcPr>
          <w:p w14:paraId="39D3BE42"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建立企业服务年强化大抓项目投资行动工作专班，由</w:t>
            </w:r>
            <w:r>
              <w:rPr>
                <w:rFonts w:hint="eastAsia" w:ascii="Times New Roman" w:cs="Times New Roman"/>
              </w:rPr>
              <w:t>联系</w:t>
            </w:r>
            <w:r>
              <w:rPr>
                <w:rFonts w:ascii="Times New Roman" w:cs="Times New Roman"/>
              </w:rPr>
              <w:t>发改工作的市政府副秘书长牵头，市发改委具体负责。工作责任单位包括市政府办、市教育局、市科技局、市工信局、市财政局、市人社局、市自然资源和规划局、市生态环境局、市住建局、市交通运输局、市水利局、市农业农村局、市商务局、市林业局、市市场监督管理局、市统计局、市数据局（营商环境建设局）、市文旅广体局、市卫健委、市民政局、市公安局、市城市管理局等。</w:t>
            </w:r>
          </w:p>
        </w:tc>
      </w:tr>
    </w:tbl>
    <w:p w14:paraId="2B6D15A5">
      <w:pPr>
        <w:spacing w:line="20" w:lineRule="exact"/>
        <w:rPr>
          <w:rFonts w:ascii="Times New Roman" w:hAnsi="Times New Roman" w:eastAsia="黑体" w:cs="Times New Roman"/>
          <w:spacing w:val="-20"/>
        </w:rPr>
      </w:pPr>
    </w:p>
    <w:tbl>
      <w:tblPr>
        <w:tblStyle w:val="6"/>
        <w:tblW w:w="14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8925"/>
        <w:gridCol w:w="3004"/>
      </w:tblGrid>
      <w:tr w14:paraId="6B20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2355" w:type="dxa"/>
            <w:vAlign w:val="center"/>
          </w:tcPr>
          <w:p w14:paraId="67788CFC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重点任务</w:t>
            </w:r>
          </w:p>
        </w:tc>
        <w:tc>
          <w:tcPr>
            <w:tcW w:w="8925" w:type="dxa"/>
            <w:vAlign w:val="center"/>
          </w:tcPr>
          <w:p w14:paraId="3E70DA3D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具体举措</w:t>
            </w:r>
          </w:p>
        </w:tc>
        <w:tc>
          <w:tcPr>
            <w:tcW w:w="3004" w:type="dxa"/>
            <w:vAlign w:val="center"/>
          </w:tcPr>
          <w:p w14:paraId="41310F0D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责任单位</w:t>
            </w:r>
          </w:p>
        </w:tc>
      </w:tr>
      <w:tr w14:paraId="22DB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2355" w:type="dxa"/>
            <w:vAlign w:val="center"/>
          </w:tcPr>
          <w:p w14:paraId="2A540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（一）谋划储备项目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cs="Times New Roman"/>
              </w:rPr>
              <w:t>个以上，力争纳入国省规划项目数量超过全省平均水平。</w:t>
            </w:r>
          </w:p>
        </w:tc>
        <w:tc>
          <w:tcPr>
            <w:tcW w:w="8925" w:type="dxa"/>
            <w:vAlign w:val="center"/>
          </w:tcPr>
          <w:p w14:paraId="76B1DF85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抓谋划储备。围绕中央预算内投资、超长期特别国债、地方政府专项债券和新型政策性金融工具等资金支持方向，加强国省政策清单梳理，结合全市发展需要，在产业发展、数字经济基础设施、交通、水利、教育、卫生、城市更新、设备更新、生态环境等重点领域，谋划一批强基础、补短板、增后劲的重大项目，积极争取更多项目纳入国省规划布局。及时将符合条件的项目录入国家重大建设项目库，争取纳入国家和省级储备库。</w:t>
            </w:r>
          </w:p>
        </w:tc>
        <w:tc>
          <w:tcPr>
            <w:tcW w:w="3004" w:type="dxa"/>
            <w:vAlign w:val="center"/>
          </w:tcPr>
          <w:p w14:paraId="1AD63A54">
            <w:pPr>
              <w:spacing w:line="25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pacing w:val="-6"/>
              </w:rPr>
              <w:t>市发改委、市工信局、市农业农村局、市林业局、市文旅广体局、市商务局、市交通运输局、市水利局、市教育局、市卫健委、市住建局、市城市管理局、市生态环境局、市市场监管局、市数据局（营商环境建设局）等相关单位</w:t>
            </w:r>
            <w:r>
              <w:rPr>
                <w:rFonts w:hint="eastAsia" w:ascii="Times New Roman" w:cs="Times New Roman"/>
                <w:spacing w:val="-6"/>
              </w:rPr>
              <w:t>，各县市区党委、政府，</w:t>
            </w:r>
            <w:r>
              <w:rPr>
                <w:rFonts w:hint="eastAsia" w:ascii="Times New Roman" w:cs="Times New Roman"/>
                <w:bCs/>
                <w:spacing w:val="-6"/>
              </w:rPr>
              <w:t>排</w:t>
            </w:r>
            <w:r>
              <w:rPr>
                <w:rFonts w:ascii="Times New Roman" w:cs="Times New Roman"/>
                <w:bCs/>
                <w:spacing w:val="-6"/>
              </w:rPr>
              <w:t>第一位</w:t>
            </w:r>
            <w:r>
              <w:rPr>
                <w:rFonts w:hint="eastAsia" w:ascii="Times New Roman" w:cs="Times New Roman"/>
                <w:bCs/>
                <w:spacing w:val="-6"/>
              </w:rPr>
              <w:t>的</w:t>
            </w:r>
            <w:r>
              <w:rPr>
                <w:rFonts w:ascii="Times New Roman" w:cs="Times New Roman"/>
                <w:bCs/>
                <w:spacing w:val="-6"/>
              </w:rPr>
              <w:t>为牵头单位</w:t>
            </w:r>
            <w:r>
              <w:rPr>
                <w:rFonts w:hint="eastAsia" w:ascii="Times New Roman" w:cs="Times New Roman"/>
                <w:bCs/>
                <w:spacing w:val="-6"/>
              </w:rPr>
              <w:t>，下同。</w:t>
            </w:r>
            <w:r>
              <w:rPr>
                <w:rFonts w:ascii="Times New Roman" w:cs="Times New Roman"/>
                <w:bCs/>
                <w:spacing w:val="-6"/>
              </w:rPr>
              <w:t>以下</w:t>
            </w:r>
            <w:r>
              <w:rPr>
                <w:rFonts w:hint="eastAsia" w:ascii="Times New Roman" w:cs="Times New Roman"/>
                <w:bCs/>
                <w:spacing w:val="-6"/>
              </w:rPr>
              <w:t>各项</w:t>
            </w:r>
            <w:r>
              <w:rPr>
                <w:rFonts w:ascii="Times New Roman" w:cs="Times New Roman"/>
                <w:bCs/>
                <w:spacing w:val="-6"/>
              </w:rPr>
              <w:t>均需县市区党委和政府</w:t>
            </w:r>
            <w:r>
              <w:rPr>
                <w:rFonts w:hint="eastAsia" w:ascii="Times New Roman" w:cs="Times New Roman"/>
                <w:bCs/>
                <w:spacing w:val="-6"/>
              </w:rPr>
              <w:t>、管理区、永州经开区</w:t>
            </w:r>
            <w:r>
              <w:rPr>
                <w:rFonts w:ascii="Times New Roman" w:cs="Times New Roman"/>
                <w:bCs/>
                <w:spacing w:val="-6"/>
              </w:rPr>
              <w:t>落实，不</w:t>
            </w:r>
            <w:r>
              <w:rPr>
                <w:rFonts w:hint="eastAsia" w:ascii="Times New Roman" w:cs="Times New Roman"/>
                <w:bCs/>
                <w:spacing w:val="-6"/>
              </w:rPr>
              <w:t>再单独列出。</w:t>
            </w:r>
          </w:p>
        </w:tc>
      </w:tr>
      <w:tr w14:paraId="48E1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2355" w:type="dxa"/>
            <w:vAlign w:val="center"/>
          </w:tcPr>
          <w:p w14:paraId="1E1ACA8E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（二）争取中央预算内投资、超长期</w:t>
            </w:r>
            <w:r>
              <w:rPr>
                <w:rFonts w:hint="eastAsia" w:ascii="Times New Roman" w:cs="Times New Roman"/>
              </w:rPr>
              <w:t>特别</w:t>
            </w:r>
            <w:r>
              <w:rPr>
                <w:rFonts w:ascii="Times New Roman" w:cs="Times New Roman"/>
              </w:rPr>
              <w:t>国债和用于项目建设的地方政府专项债券资金</w:t>
            </w: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cs="Times New Roman"/>
              </w:rPr>
              <w:t>亿元以上。</w:t>
            </w:r>
          </w:p>
        </w:tc>
        <w:tc>
          <w:tcPr>
            <w:tcW w:w="8925" w:type="dxa"/>
            <w:vAlign w:val="center"/>
          </w:tcPr>
          <w:p w14:paraId="16F01C77">
            <w:pPr>
              <w:spacing w:line="2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抓资金争取。抢抓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两重</w:t>
            </w:r>
            <w:r>
              <w:rPr>
                <w:rFonts w:ascii="Times New Roman" w:hAnsi="Times New Roman" w:cs="Times New Roman"/>
              </w:rPr>
              <w:t>”“</w:t>
            </w:r>
            <w:r>
              <w:rPr>
                <w:rFonts w:ascii="Times New Roman" w:cs="Times New Roman"/>
              </w:rPr>
              <w:t>两新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等政策机遇，围绕铁路、公路、水利、林业、教育、养老托育、卫生、以工代赈、城市更新和地下管网等细分领域，落实分条线政策指导和培训。进一步加强重大项目论证能力，提高项目科学性，扎实做好项目前期工作，拟发行的专项债券储备项目要全面完成招标程序，中央预算内投资和超长期</w:t>
            </w:r>
            <w:r>
              <w:rPr>
                <w:rFonts w:hint="eastAsia" w:ascii="Times New Roman" w:cs="Times New Roman"/>
              </w:rPr>
              <w:t>特别</w:t>
            </w:r>
            <w:r>
              <w:rPr>
                <w:rFonts w:ascii="Times New Roman" w:cs="Times New Roman"/>
              </w:rPr>
              <w:t>国债项目要实质完成初步设计及概算批复，确保达到国省资金下达发行条件。</w:t>
            </w:r>
          </w:p>
        </w:tc>
        <w:tc>
          <w:tcPr>
            <w:tcW w:w="3004" w:type="dxa"/>
            <w:vAlign w:val="center"/>
          </w:tcPr>
          <w:p w14:paraId="16C6D09F">
            <w:pPr>
              <w:spacing w:line="28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市发改委、市交通运输局、市水利局、市林业局、市教育局、市民政局、市卫健委、市住建局、市城市管理局等相关单位</w:t>
            </w:r>
          </w:p>
        </w:tc>
      </w:tr>
      <w:tr w14:paraId="7C38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55" w:type="dxa"/>
            <w:vMerge w:val="restart"/>
            <w:vAlign w:val="center"/>
          </w:tcPr>
          <w:p w14:paraId="75159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（三）项目建设和资金支付进度达到国省要求。省市重点项目年度完成投资</w:t>
            </w:r>
            <w:r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cs="Times New Roman"/>
              </w:rPr>
              <w:t>亿元以上。</w:t>
            </w:r>
          </w:p>
        </w:tc>
        <w:tc>
          <w:tcPr>
            <w:tcW w:w="8925" w:type="dxa"/>
            <w:vAlign w:val="center"/>
          </w:tcPr>
          <w:p w14:paraId="7381F5B3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抓开工建设。建立前期工作台账，明确涉及的审批事项、责任单位、计划完成时间，安排专人跟踪协调，定期调度工作进展情况，实行销号管理，推动项目尽早开工。全力以赴推进项目建设，压实工作责任，细化施工方案，倒排工期、挂图作战，狠抓项目进度、质量和安全生产，确保按期建成投产。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三类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资金项目，要加快形成更多实物工作量并做好资金支付，避免纳入省级红黄灯预警和惩戒。</w:t>
            </w:r>
          </w:p>
        </w:tc>
        <w:tc>
          <w:tcPr>
            <w:tcW w:w="3004" w:type="dxa"/>
            <w:vAlign w:val="center"/>
          </w:tcPr>
          <w:p w14:paraId="70025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市发改委、市商务局、市财政局等相关单位</w:t>
            </w:r>
          </w:p>
        </w:tc>
      </w:tr>
      <w:tr w14:paraId="5C1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55" w:type="dxa"/>
            <w:vMerge w:val="continue"/>
            <w:vAlign w:val="center"/>
          </w:tcPr>
          <w:p w14:paraId="5FFA5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5" w:type="dxa"/>
            <w:vAlign w:val="center"/>
          </w:tcPr>
          <w:p w14:paraId="066560CA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强化调度推进。围绕项目建设年度目标，实行任务清单、负面清单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两清单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调度管理，每月对省市重点项目、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三类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资金项目、招商引资项目的签约、开工、投资完成、资金支付等情况进行调度，将存在逾期未开工、资金支付率低、进度滞后、开工未入统等情况的项目列入负面清单，适时进行通报，并进行月整改销号，对整改成效不明显、进度缓慢的项目，报请市领导召开会议调度或深入项目现场督导，</w:t>
            </w:r>
            <w:r>
              <w:rPr>
                <w:rFonts w:hint="eastAsia" w:ascii="Times New Roman" w:cs="Times New Roman"/>
              </w:rPr>
              <w:t>推动项目加快建设</w:t>
            </w:r>
            <w:r>
              <w:rPr>
                <w:rFonts w:ascii="Times New Roman" w:cs="Times New Roman"/>
              </w:rPr>
              <w:t>。</w:t>
            </w:r>
          </w:p>
        </w:tc>
        <w:tc>
          <w:tcPr>
            <w:tcW w:w="3004" w:type="dxa"/>
            <w:vAlign w:val="center"/>
          </w:tcPr>
          <w:p w14:paraId="46141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市发改委、市财政局、市商务局等相关单位</w:t>
            </w:r>
          </w:p>
        </w:tc>
      </w:tr>
      <w:tr w14:paraId="0E5A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55" w:type="dxa"/>
            <w:vMerge w:val="continue"/>
            <w:vAlign w:val="center"/>
          </w:tcPr>
          <w:p w14:paraId="2DCCF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5" w:type="dxa"/>
            <w:vAlign w:val="center"/>
          </w:tcPr>
          <w:p w14:paraId="41FB66A6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强化协调服务。持续开展重大项目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送解优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走访帮扶活动，对项目单位反映的资金、用地用林、环评水保、配套设施、施工环境等方面问题及时进行协调办理，紧盯问题办结时限，跟踪调度责任单位办理进度，直至问题办结销号。进一步健全协同、高效、便捷的政务服务帮代办体系，提前介入指导，全程跟踪协办，加快项目审批事项办理，优化项目落地全流程服务。根据项目融资需求，常态化开展政银企投融资对接，健全驻永金融机构服务项目建设评价机制，引导金融机构创新服务支持项目建设。围绕项目建设用地需求，提前研判项目用地的制约因素，进一步提高用地选址精准度，从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征、批、供、用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等环节完善项目用地保障机制。</w:t>
            </w:r>
          </w:p>
        </w:tc>
        <w:tc>
          <w:tcPr>
            <w:tcW w:w="3004" w:type="dxa"/>
            <w:vAlign w:val="center"/>
          </w:tcPr>
          <w:p w14:paraId="5D299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市发改委、市数据局（营商环境建设局）、市政府办、市自然资源和规划局、市林业局、市生态环境局、市水利局、市公安局等相关单位</w:t>
            </w:r>
          </w:p>
        </w:tc>
      </w:tr>
      <w:tr w14:paraId="691B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55" w:type="dxa"/>
            <w:vAlign w:val="center"/>
          </w:tcPr>
          <w:p w14:paraId="513FC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（四）实现固定资产投资增长</w:t>
            </w:r>
            <w:r>
              <w:rPr>
                <w:rFonts w:ascii="Times New Roman" w:hAnsi="Times New Roman" w:cs="Times New Roman"/>
              </w:rPr>
              <w:t>2%</w:t>
            </w:r>
            <w:r>
              <w:rPr>
                <w:rFonts w:ascii="Times New Roman" w:cs="Times New Roman"/>
              </w:rPr>
              <w:t>以上，民间投资和高技投资占比稳中有升。</w:t>
            </w:r>
          </w:p>
        </w:tc>
        <w:tc>
          <w:tcPr>
            <w:tcW w:w="8925" w:type="dxa"/>
            <w:vAlign w:val="center"/>
          </w:tcPr>
          <w:p w14:paraId="097476A0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抓投资入库。重点抓项目入库和投资报数环节，县市区、行业主管部门和统计部门要</w:t>
            </w:r>
            <w:r>
              <w:rPr>
                <w:rFonts w:hint="eastAsia" w:ascii="Times New Roman" w:cs="Times New Roman"/>
              </w:rPr>
              <w:t>加强</w:t>
            </w:r>
            <w:r>
              <w:rPr>
                <w:rFonts w:ascii="Times New Roman" w:cs="Times New Roman"/>
              </w:rPr>
              <w:t>联动，形成工作合力。县市区政府要担负起属地责任，相关市直部门要压实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cs="Times New Roman"/>
              </w:rPr>
              <w:t>管行业必须管投资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cs="Times New Roman"/>
              </w:rPr>
              <w:t>责任，统计部门要加强业务指导和信息反馈。对已开工项目和获得中央资金的建设项目，原则上要全部统计入库</w:t>
            </w:r>
            <w:r>
              <w:rPr>
                <w:rFonts w:hint="eastAsia" w:ascii="Times New Roman" w:cs="Times New Roman"/>
              </w:rPr>
              <w:t>；</w:t>
            </w:r>
            <w:r>
              <w:rPr>
                <w:rFonts w:ascii="Times New Roman" w:cs="Times New Roman"/>
              </w:rPr>
              <w:t>对在库剩余投资较多的在建项目，要在加快建设进度的基础上争取全部解锁报数。对需解锁项目，县市区和相关部门督促指导项目单位加紧做好资料准备，确保相关资料完备，项目应解尽解，投资应报尽报、颗粒归仓。</w:t>
            </w:r>
          </w:p>
        </w:tc>
        <w:tc>
          <w:tcPr>
            <w:tcW w:w="3004" w:type="dxa"/>
            <w:vAlign w:val="center"/>
          </w:tcPr>
          <w:p w14:paraId="0085F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市发改委、市统计局等相关单位</w:t>
            </w:r>
          </w:p>
        </w:tc>
      </w:tr>
    </w:tbl>
    <w:p w14:paraId="52CE32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仿宋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center"/>
    </w:pPr>
    <w:rPr>
      <w:rFonts w:ascii="Heiti SC Light" w:hAnsi="Heiti SC Light" w:eastAsia="黑体" w:cs="Times New Roman"/>
      <w:sz w:val="44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行走</cp:lastModifiedBy>
  <dcterms:modified xsi:type="dcterms:W3CDTF">2026-04-03T03:07:35Z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eyJoZGlkIjoiNWJkMDk4MTMzNGNiNmU5OWIyZDkyZTk2ZDNkMzdjZjgiLCJ1c2VySWQiOiI2Mjg1NjMwODYifQ==</vt:lpwstr>
  </property>
  <property fmtid="{D5CDD505-2E9C-101B-9397-08002B2CF9AE}" pid="4" name="ICV">
    <vt:lpwstr>631DAEBA24194A559503F6BAADB115AF_12</vt:lpwstr>
  </property>
</Properties>
</file>