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DE178">
      <w:pPr>
        <w:ind w:left="0" w:leftChars="0" w:firstLine="0" w:firstLineChars="0"/>
        <w:rPr>
          <w:rFonts w:hint="eastAsia" w:ascii="黑体" w:hAnsi="黑体" w:eastAsia="黑体" w:cs="黑体"/>
          <w:sz w:val="36"/>
          <w:szCs w:val="36"/>
          <w:lang w:val="en-US" w:eastAsia="zh-CN"/>
        </w:rPr>
      </w:pPr>
    </w:p>
    <w:p w14:paraId="1EDF7AC2">
      <w:pPr>
        <w:spacing w:line="240" w:lineRule="auto"/>
        <w:ind w:firstLine="0" w:firstLineChars="0"/>
        <w:jc w:val="both"/>
        <w:rPr>
          <w:rFonts w:hint="eastAsia" w:ascii="黑体" w:hAnsi="黑体" w:eastAsia="黑体" w:cs="黑体"/>
          <w:sz w:val="36"/>
          <w:szCs w:val="36"/>
        </w:rPr>
      </w:pPr>
    </w:p>
    <w:p w14:paraId="0DED8950">
      <w:pPr>
        <w:spacing w:line="880" w:lineRule="exact"/>
        <w:ind w:firstLine="0" w:firstLineChars="0"/>
        <w:jc w:val="center"/>
        <w:rPr>
          <w:rFonts w:hint="eastAsia" w:ascii="方正小标宋简体" w:eastAsia="方正小标宋简体"/>
          <w:sz w:val="62"/>
          <w:szCs w:val="62"/>
        </w:rPr>
      </w:pPr>
    </w:p>
    <w:p w14:paraId="7E7526DC">
      <w:pPr>
        <w:spacing w:line="880" w:lineRule="exact"/>
        <w:ind w:firstLine="0" w:firstLineChars="0"/>
        <w:jc w:val="center"/>
        <w:rPr>
          <w:rFonts w:ascii="方正小标宋简体" w:eastAsia="方正小标宋简体"/>
          <w:sz w:val="62"/>
          <w:szCs w:val="62"/>
        </w:rPr>
      </w:pPr>
      <w:r>
        <w:rPr>
          <w:rFonts w:hint="eastAsia" w:ascii="方正小标宋简体" w:eastAsia="方正小标宋简体"/>
          <w:sz w:val="62"/>
          <w:szCs w:val="62"/>
        </w:rPr>
        <w:t>永州市国民经济和社会发展</w:t>
      </w:r>
    </w:p>
    <w:p w14:paraId="6F60C393">
      <w:pPr>
        <w:spacing w:line="880" w:lineRule="exact"/>
        <w:ind w:firstLine="0" w:firstLineChars="0"/>
        <w:jc w:val="center"/>
        <w:rPr>
          <w:rFonts w:ascii="方正小标宋简体" w:eastAsia="方正小标宋简体"/>
          <w:sz w:val="62"/>
          <w:szCs w:val="62"/>
        </w:rPr>
      </w:pPr>
      <w:r>
        <w:rPr>
          <w:rFonts w:hint="eastAsia" w:ascii="方正小标宋简体" w:eastAsia="方正小标宋简体"/>
          <w:sz w:val="62"/>
          <w:szCs w:val="62"/>
        </w:rPr>
        <w:t>第十五个五年规划纲要</w:t>
      </w:r>
    </w:p>
    <w:p w14:paraId="6E3BCFC4">
      <w:pPr>
        <w:spacing w:before="217" w:beforeLines="50"/>
        <w:ind w:firstLine="0" w:firstLineChars="0"/>
        <w:jc w:val="center"/>
        <w:rPr>
          <w:rFonts w:ascii="楷体_GB2312" w:eastAsia="楷体_GB2312"/>
          <w:sz w:val="48"/>
          <w:szCs w:val="48"/>
        </w:rPr>
      </w:pPr>
      <w:r>
        <w:rPr>
          <w:rFonts w:hint="eastAsia" w:ascii="楷体_GB2312" w:eastAsia="楷体_GB2312"/>
          <w:sz w:val="48"/>
          <w:szCs w:val="48"/>
        </w:rPr>
        <w:t>（草案）</w:t>
      </w:r>
    </w:p>
    <w:p w14:paraId="079E8BAA">
      <w:pPr>
        <w:ind w:firstLine="0" w:firstLineChars="0"/>
        <w:jc w:val="center"/>
      </w:pPr>
    </w:p>
    <w:p w14:paraId="6860BD2A">
      <w:pPr>
        <w:ind w:firstLine="0" w:firstLineChars="0"/>
        <w:jc w:val="center"/>
      </w:pPr>
    </w:p>
    <w:p w14:paraId="2FD18F46">
      <w:pPr>
        <w:ind w:firstLine="0" w:firstLineChars="0"/>
        <w:jc w:val="both"/>
      </w:pPr>
    </w:p>
    <w:p w14:paraId="1572469A">
      <w:pPr>
        <w:ind w:firstLine="0" w:firstLineChars="0"/>
        <w:jc w:val="center"/>
      </w:pPr>
    </w:p>
    <w:p w14:paraId="5C0B3113">
      <w:pPr>
        <w:ind w:firstLine="0" w:firstLineChars="0"/>
        <w:jc w:val="center"/>
      </w:pPr>
    </w:p>
    <w:p w14:paraId="34668968">
      <w:pPr>
        <w:ind w:firstLine="0" w:firstLineChars="0"/>
        <w:jc w:val="center"/>
      </w:pPr>
    </w:p>
    <w:p w14:paraId="5CB23D03">
      <w:pPr>
        <w:ind w:firstLine="0" w:firstLineChars="0"/>
        <w:jc w:val="center"/>
      </w:pPr>
    </w:p>
    <w:p w14:paraId="3CDB7AF3">
      <w:pPr>
        <w:ind w:firstLine="0" w:firstLineChars="0"/>
        <w:jc w:val="center"/>
      </w:pPr>
    </w:p>
    <w:p w14:paraId="130AB5D5">
      <w:pPr>
        <w:pStyle w:val="16"/>
      </w:pPr>
    </w:p>
    <w:p w14:paraId="265E6490">
      <w:pPr>
        <w:pStyle w:val="17"/>
      </w:pPr>
    </w:p>
    <w:p w14:paraId="2FED5B1D"/>
    <w:p w14:paraId="6D0C0FB7">
      <w:pPr>
        <w:pStyle w:val="16"/>
      </w:pPr>
    </w:p>
    <w:p w14:paraId="4B089478">
      <w:pPr>
        <w:ind w:firstLine="0" w:firstLineChars="0"/>
        <w:jc w:val="both"/>
      </w:pPr>
    </w:p>
    <w:p w14:paraId="102736D7">
      <w:pPr>
        <w:ind w:firstLine="0" w:firstLineChars="0"/>
        <w:jc w:val="center"/>
      </w:pPr>
      <w:r>
        <w:rPr>
          <w:rFonts w:hint="eastAsia" w:ascii="黑体" w:hAnsi="黑体" w:eastAsia="黑体" w:cs="黑体"/>
          <w:sz w:val="36"/>
          <w:szCs w:val="36"/>
          <w:lang w:val="en-US" w:eastAsia="zh-CN"/>
        </w:rPr>
        <w:t>2025年3月30</w:t>
      </w:r>
      <w:bookmarkStart w:id="395" w:name="_GoBack"/>
      <w:bookmarkEnd w:id="395"/>
      <w:r>
        <w:rPr>
          <w:rFonts w:hint="eastAsia" w:ascii="黑体" w:hAnsi="黑体" w:eastAsia="黑体" w:cs="黑体"/>
          <w:sz w:val="36"/>
          <w:szCs w:val="36"/>
          <w:lang w:val="en-US" w:eastAsia="zh-CN"/>
        </w:rPr>
        <w:t>日</w:t>
      </w:r>
    </w:p>
    <w:p w14:paraId="119EE390">
      <w:pPr>
        <w:widowControl/>
        <w:spacing w:line="240" w:lineRule="auto"/>
        <w:ind w:firstLine="0" w:firstLineChars="0"/>
        <w:jc w:val="left"/>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361" w:gutter="0"/>
          <w:pgNumType w:fmt="upperRoman" w:start="1"/>
          <w:cols w:space="425" w:num="1"/>
          <w:titlePg/>
          <w:docGrid w:type="lines" w:linePitch="435" w:charSpace="0"/>
        </w:sectPr>
      </w:pPr>
    </w:p>
    <w:p w14:paraId="66AB78EA">
      <w:pPr>
        <w:ind w:firstLine="0" w:firstLineChars="0"/>
        <w:jc w:val="both"/>
      </w:pPr>
    </w:p>
    <w:p w14:paraId="5B4A9C65">
      <w:pPr>
        <w:ind w:firstLine="0" w:firstLineChars="0"/>
      </w:pPr>
    </w:p>
    <w:p w14:paraId="585EC467">
      <w:pPr>
        <w:ind w:firstLine="0" w:firstLineChars="0"/>
        <w:jc w:val="center"/>
      </w:pPr>
    </w:p>
    <w:p w14:paraId="46A18AF8">
      <w:pPr>
        <w:ind w:firstLine="0" w:firstLineChars="0"/>
        <w:jc w:val="center"/>
      </w:pPr>
    </w:p>
    <w:p w14:paraId="3E5D26FB">
      <w:pPr>
        <w:ind w:firstLine="0" w:firstLineChars="0"/>
        <w:jc w:val="center"/>
      </w:pPr>
    </w:p>
    <w:p w14:paraId="16AD51B0">
      <w:pPr>
        <w:ind w:firstLine="0" w:firstLineChars="0"/>
        <w:jc w:val="center"/>
      </w:pPr>
    </w:p>
    <w:p w14:paraId="12239300">
      <w:pPr>
        <w:ind w:firstLine="0" w:firstLineChars="0"/>
        <w:jc w:val="center"/>
      </w:pPr>
    </w:p>
    <w:p w14:paraId="79CB141B">
      <w:pPr>
        <w:pStyle w:val="16"/>
      </w:pPr>
    </w:p>
    <w:p w14:paraId="7ECF36FB">
      <w:pPr>
        <w:pStyle w:val="17"/>
        <w:ind w:left="2560" w:firstLine="640"/>
      </w:pPr>
    </w:p>
    <w:p w14:paraId="6E7D4007">
      <w:pPr>
        <w:ind w:firstLine="640"/>
      </w:pPr>
    </w:p>
    <w:p w14:paraId="560E4EB1">
      <w:pPr>
        <w:pStyle w:val="16"/>
      </w:pPr>
    </w:p>
    <w:p w14:paraId="7DEDC9C4">
      <w:pPr>
        <w:ind w:firstLine="0" w:firstLineChars="0"/>
      </w:pPr>
    </w:p>
    <w:p w14:paraId="266272DE">
      <w:pPr>
        <w:ind w:firstLine="0" w:firstLineChars="0"/>
        <w:jc w:val="center"/>
      </w:pPr>
    </w:p>
    <w:p w14:paraId="29DD827F">
      <w:pPr>
        <w:ind w:firstLine="0" w:firstLineChars="0"/>
        <w:jc w:val="center"/>
        <w:rPr>
          <w:rFonts w:eastAsia="黑体" w:cs="Times New Roman"/>
          <w:sz w:val="44"/>
          <w:szCs w:val="44"/>
        </w:rPr>
      </w:pPr>
    </w:p>
    <w:p w14:paraId="31E3FF6E">
      <w:pPr>
        <w:ind w:firstLine="0" w:firstLineChars="0"/>
        <w:jc w:val="center"/>
      </w:pPr>
    </w:p>
    <w:p w14:paraId="12CAE8C5">
      <w:pPr>
        <w:ind w:firstLine="0" w:firstLineChars="0"/>
        <w:jc w:val="center"/>
      </w:pPr>
    </w:p>
    <w:p w14:paraId="0D507DD3">
      <w:pPr>
        <w:ind w:firstLine="0" w:firstLineChars="0"/>
        <w:jc w:val="center"/>
      </w:pPr>
    </w:p>
    <w:p w14:paraId="63F7BA3A">
      <w:pPr>
        <w:widowControl/>
        <w:spacing w:line="240" w:lineRule="auto"/>
        <w:ind w:firstLine="0" w:firstLineChars="0"/>
        <w:jc w:val="left"/>
        <w:sectPr>
          <w:headerReference r:id="rId13" w:type="first"/>
          <w:footerReference r:id="rId16" w:type="first"/>
          <w:headerReference r:id="rId11" w:type="default"/>
          <w:footerReference r:id="rId14" w:type="default"/>
          <w:headerReference r:id="rId12" w:type="even"/>
          <w:footerReference r:id="rId15" w:type="even"/>
          <w:pgSz w:w="11906" w:h="16838"/>
          <w:pgMar w:top="2098" w:right="1474" w:bottom="1985" w:left="1588" w:header="851" w:footer="1361" w:gutter="0"/>
          <w:pgNumType w:fmt="upperRoman" w:start="1"/>
          <w:cols w:space="425" w:num="1"/>
          <w:titlePg/>
          <w:docGrid w:type="lines" w:linePitch="435" w:charSpace="0"/>
        </w:sectPr>
      </w:pPr>
      <w:r>
        <w:br w:type="page"/>
      </w:r>
    </w:p>
    <w:sdt>
      <w:sdtPr>
        <w:rPr>
          <w:rFonts w:eastAsia="仿宋_GB2312"/>
          <w:kern w:val="2"/>
          <w:sz w:val="32"/>
          <w:szCs w:val="22"/>
          <w:lang w:val="zh-CN"/>
          <w14:ligatures w14:val="standardContextual"/>
        </w:rPr>
        <w:id w:val="920291883"/>
        <w:docPartObj>
          <w:docPartGallery w:val="Table of Contents"/>
          <w:docPartUnique/>
        </w:docPartObj>
      </w:sdtPr>
      <w:sdtEndPr>
        <w:rPr>
          <w:rFonts w:eastAsia="仿宋_GB2312"/>
          <w:b/>
          <w:bCs/>
          <w:kern w:val="2"/>
          <w:sz w:val="32"/>
          <w:szCs w:val="21"/>
          <w:lang w:val="zh-CN"/>
          <w14:ligatures w14:val="standardContextual"/>
        </w:rPr>
      </w:sdtEndPr>
      <w:sdtContent>
        <w:p w14:paraId="31B03437">
          <w:pPr>
            <w:pStyle w:val="69"/>
            <w:spacing w:before="217" w:after="217"/>
            <w:rPr>
              <w:rFonts w:ascii="方正小标宋简体"/>
              <w:szCs w:val="44"/>
            </w:rPr>
          </w:pPr>
          <w:r>
            <w:rPr>
              <w:rFonts w:hint="eastAsia" w:ascii="方正小标宋简体"/>
              <w:szCs w:val="44"/>
              <w:lang w:val="zh-CN"/>
            </w:rPr>
            <w:t>目  录</w:t>
          </w:r>
        </w:p>
        <w:p w14:paraId="7777495E">
          <w:pPr>
            <w:pStyle w:val="22"/>
            <w:tabs>
              <w:tab w:val="right" w:leader="dot" w:pos="8834"/>
            </w:tabs>
            <w:rPr>
              <w:rFonts w:hint="eastAsia" w:asciiTheme="minorHAnsi" w:hAnsiTheme="minorHAnsi" w:eastAsiaTheme="minorEastAsia"/>
              <w:sz w:val="22"/>
              <w:szCs w:val="24"/>
            </w:rPr>
          </w:pPr>
          <w:r>
            <w:fldChar w:fldCharType="begin"/>
          </w:r>
          <w:r>
            <w:instrText xml:space="preserve"> TOC \h \z \t "标题 1,1,标题 2,2,1篇,1,2章,2,章,2" </w:instrText>
          </w:r>
          <w:r>
            <w:fldChar w:fldCharType="separate"/>
          </w:r>
          <w:r>
            <w:fldChar w:fldCharType="begin"/>
          </w:r>
          <w:r>
            <w:instrText xml:space="preserve"> HYPERLINK \l "_Toc232094378" </w:instrText>
          </w:r>
          <w:r>
            <w:fldChar w:fldCharType="separate"/>
          </w:r>
          <w:r>
            <w:rPr>
              <w:rStyle w:val="36"/>
              <w:rFonts w:hint="eastAsia" w:ascii="方正小标宋简体"/>
            </w:rPr>
            <w:t>第一篇</w:t>
          </w:r>
          <w:r>
            <w:rPr>
              <w:rStyle w:val="36"/>
              <w:rFonts w:hint="eastAsia"/>
              <w:spacing w:val="11"/>
            </w:rPr>
            <w:t xml:space="preserve"> 锚定“三高四新”美好蓝图，奋力推</w:t>
          </w:r>
          <w:r>
            <w:rPr>
              <w:rStyle w:val="36"/>
              <w:rFonts w:hint="eastAsia"/>
            </w:rPr>
            <w:t>进中国式现代化永州实践</w:t>
          </w:r>
          <w:r>
            <w:rPr>
              <w:rFonts w:hint="eastAsia"/>
            </w:rPr>
            <w:tab/>
          </w:r>
          <w:r>
            <w:rPr>
              <w:rFonts w:hint="eastAsia"/>
            </w:rPr>
            <w:fldChar w:fldCharType="begin"/>
          </w:r>
          <w:r>
            <w:rPr>
              <w:rFonts w:hint="eastAsia"/>
            </w:rPr>
            <w:instrText xml:space="preserve"> </w:instrText>
          </w:r>
          <w:r>
            <w:instrText xml:space="preserve">PAGEREF _Toc232094378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6467FDB">
          <w:pPr>
            <w:pStyle w:val="25"/>
            <w:ind w:firstLine="640"/>
            <w:rPr>
              <w:rFonts w:hint="eastAsia" w:asciiTheme="minorHAnsi" w:hAnsiTheme="minorHAnsi" w:eastAsiaTheme="minorEastAsia"/>
              <w:sz w:val="22"/>
              <w:szCs w:val="24"/>
            </w:rPr>
          </w:pPr>
          <w:r>
            <w:fldChar w:fldCharType="begin"/>
          </w:r>
          <w:r>
            <w:instrText xml:space="preserve"> HYPERLINK \l "_Toc232094379" </w:instrText>
          </w:r>
          <w:r>
            <w:fldChar w:fldCharType="separate"/>
          </w:r>
          <w:r>
            <w:rPr>
              <w:rStyle w:val="36"/>
              <w:rFonts w:hint="eastAsia"/>
            </w:rPr>
            <w:t>第一章 发展基础</w:t>
          </w:r>
          <w:r>
            <w:rPr>
              <w:rFonts w:hint="eastAsia"/>
            </w:rPr>
            <w:tab/>
          </w:r>
          <w:r>
            <w:rPr>
              <w:rFonts w:hint="eastAsia"/>
            </w:rPr>
            <w:fldChar w:fldCharType="begin"/>
          </w:r>
          <w:r>
            <w:rPr>
              <w:rFonts w:hint="eastAsia"/>
            </w:rPr>
            <w:instrText xml:space="preserve"> </w:instrText>
          </w:r>
          <w:r>
            <w:instrText xml:space="preserve">PAGEREF _Toc232094379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9A3C3E8">
          <w:pPr>
            <w:pStyle w:val="25"/>
            <w:ind w:firstLine="640"/>
            <w:rPr>
              <w:rFonts w:hint="eastAsia" w:asciiTheme="minorHAnsi" w:hAnsiTheme="minorHAnsi" w:eastAsiaTheme="minorEastAsia"/>
              <w:sz w:val="22"/>
              <w:szCs w:val="24"/>
            </w:rPr>
          </w:pPr>
          <w:r>
            <w:fldChar w:fldCharType="begin"/>
          </w:r>
          <w:r>
            <w:instrText xml:space="preserve"> HYPERLINK \l "_Toc232094380" </w:instrText>
          </w:r>
          <w:r>
            <w:fldChar w:fldCharType="separate"/>
          </w:r>
          <w:r>
            <w:rPr>
              <w:rStyle w:val="36"/>
              <w:rFonts w:hint="eastAsia"/>
            </w:rPr>
            <w:t>第二章 发展环境</w:t>
          </w:r>
          <w:r>
            <w:rPr>
              <w:rFonts w:hint="eastAsia"/>
            </w:rPr>
            <w:tab/>
          </w:r>
          <w:r>
            <w:rPr>
              <w:rFonts w:hint="eastAsia"/>
            </w:rPr>
            <w:fldChar w:fldCharType="begin"/>
          </w:r>
          <w:r>
            <w:rPr>
              <w:rFonts w:hint="eastAsia"/>
            </w:rPr>
            <w:instrText xml:space="preserve"> </w:instrText>
          </w:r>
          <w:r>
            <w:instrText xml:space="preserve">PAGEREF _Toc232094380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A9F82D5">
          <w:pPr>
            <w:pStyle w:val="25"/>
            <w:ind w:firstLine="640"/>
            <w:rPr>
              <w:rFonts w:hint="eastAsia" w:asciiTheme="minorHAnsi" w:hAnsiTheme="minorHAnsi" w:eastAsiaTheme="minorEastAsia"/>
              <w:sz w:val="22"/>
              <w:szCs w:val="24"/>
            </w:rPr>
          </w:pPr>
          <w:r>
            <w:fldChar w:fldCharType="begin"/>
          </w:r>
          <w:r>
            <w:instrText xml:space="preserve"> HYPERLINK \l "_Toc232094381" </w:instrText>
          </w:r>
          <w:r>
            <w:fldChar w:fldCharType="separate"/>
          </w:r>
          <w:r>
            <w:rPr>
              <w:rStyle w:val="36"/>
              <w:rFonts w:hint="eastAsia"/>
            </w:rPr>
            <w:t>第三章 指导方针和主要目标</w:t>
          </w:r>
          <w:r>
            <w:rPr>
              <w:rFonts w:hint="eastAsia"/>
            </w:rPr>
            <w:tab/>
          </w:r>
          <w:r>
            <w:rPr>
              <w:rFonts w:hint="eastAsia"/>
            </w:rPr>
            <w:fldChar w:fldCharType="begin"/>
          </w:r>
          <w:r>
            <w:rPr>
              <w:rFonts w:hint="eastAsia"/>
            </w:rPr>
            <w:instrText xml:space="preserve"> </w:instrText>
          </w:r>
          <w:r>
            <w:instrText xml:space="preserve">PAGEREF _Toc232094381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446B0044">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"_Toc232094382" </w:instrText>
          </w:r>
          <w:r>
            <w:fldChar w:fldCharType="separate"/>
          </w:r>
          <w:r>
            <w:rPr>
              <w:rStyle w:val="36"/>
              <w:rFonts w:hint="eastAsia" w:ascii="方正小标宋简体"/>
              <w:spacing w:val="-6"/>
            </w:rPr>
            <w:t>第二篇</w:t>
          </w:r>
          <w:r>
            <w:rPr>
              <w:rStyle w:val="36"/>
              <w:rFonts w:hint="eastAsia"/>
              <w:spacing w:val="-6"/>
            </w:rPr>
            <w:t xml:space="preserve"> 巩固壮大实体经济根基，全力服务全省建设国家重要先进制造业高地</w:t>
          </w:r>
          <w:r>
            <w:rPr>
              <w:rFonts w:hint="eastAsia"/>
            </w:rPr>
            <w:tab/>
          </w:r>
          <w:r>
            <w:rPr>
              <w:rFonts w:hint="eastAsia"/>
            </w:rPr>
            <w:fldChar w:fldCharType="begin"/>
          </w:r>
          <w:r>
            <w:rPr>
              <w:rFonts w:hint="eastAsia"/>
            </w:rPr>
            <w:instrText xml:space="preserve"> </w:instrText>
          </w:r>
          <w:r>
            <w:instrText xml:space="preserve">PAGEREF _Toc232094382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57F61734">
          <w:pPr>
            <w:pStyle w:val="25"/>
            <w:ind w:firstLine="640"/>
            <w:rPr>
              <w:rFonts w:hint="eastAsia" w:asciiTheme="minorHAnsi" w:hAnsiTheme="minorHAnsi" w:eastAsiaTheme="minorEastAsia"/>
              <w:sz w:val="22"/>
              <w:szCs w:val="24"/>
            </w:rPr>
          </w:pPr>
          <w:r>
            <w:fldChar w:fldCharType="begin"/>
          </w:r>
          <w:r>
            <w:instrText xml:space="preserve"> HYPERLINK \l "_Toc232094383" </w:instrText>
          </w:r>
          <w:r>
            <w:fldChar w:fldCharType="separate"/>
          </w:r>
          <w:r>
            <w:rPr>
              <w:rStyle w:val="36"/>
              <w:rFonts w:hint="eastAsia"/>
            </w:rPr>
            <w:t>第四章 推动重点产业倍增</w:t>
          </w:r>
          <w:r>
            <w:rPr>
              <w:rFonts w:hint="eastAsia"/>
            </w:rPr>
            <w:tab/>
          </w:r>
          <w:r>
            <w:rPr>
              <w:rFonts w:hint="eastAsia"/>
            </w:rPr>
            <w:fldChar w:fldCharType="begin"/>
          </w:r>
          <w:r>
            <w:rPr>
              <w:rFonts w:hint="eastAsia"/>
            </w:rPr>
            <w:instrText xml:space="preserve"> </w:instrText>
          </w:r>
          <w:r>
            <w:instrText xml:space="preserve">PAGEREF _Toc232094383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6E51251">
          <w:pPr>
            <w:pStyle w:val="25"/>
            <w:ind w:firstLine="640"/>
            <w:rPr>
              <w:rFonts w:hint="eastAsia" w:asciiTheme="minorHAnsi" w:hAnsiTheme="minorHAnsi" w:eastAsiaTheme="minorEastAsia"/>
              <w:sz w:val="22"/>
              <w:szCs w:val="24"/>
            </w:rPr>
          </w:pPr>
          <w:r>
            <w:fldChar w:fldCharType="begin"/>
          </w:r>
          <w:r>
            <w:instrText xml:space="preserve"> HYPERLINK \l "_Toc232094384" </w:instrText>
          </w:r>
          <w:r>
            <w:fldChar w:fldCharType="separate"/>
          </w:r>
          <w:r>
            <w:rPr>
              <w:rStyle w:val="36"/>
              <w:rFonts w:hint="eastAsia"/>
            </w:rPr>
            <w:t>第五章 推进制造业智能化绿色化融合化</w:t>
          </w:r>
          <w:r>
            <w:rPr>
              <w:rFonts w:hint="eastAsia"/>
            </w:rPr>
            <w:tab/>
          </w:r>
          <w:r>
            <w:rPr>
              <w:rFonts w:hint="eastAsia"/>
            </w:rPr>
            <w:fldChar w:fldCharType="begin"/>
          </w:r>
          <w:r>
            <w:rPr>
              <w:rFonts w:hint="eastAsia"/>
            </w:rPr>
            <w:instrText xml:space="preserve"> </w:instrText>
          </w:r>
          <w:r>
            <w:instrText xml:space="preserve">PAGEREF _Toc232094384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6CFC5A88">
          <w:pPr>
            <w:pStyle w:val="25"/>
            <w:ind w:firstLine="640"/>
            <w:rPr>
              <w:rFonts w:hint="eastAsia" w:asciiTheme="minorHAnsi" w:hAnsiTheme="minorHAnsi" w:eastAsiaTheme="minorEastAsia"/>
              <w:sz w:val="22"/>
              <w:szCs w:val="24"/>
            </w:rPr>
          </w:pPr>
          <w:r>
            <w:fldChar w:fldCharType="begin"/>
          </w:r>
          <w:r>
            <w:instrText xml:space="preserve"> HYPERLINK \l "_Toc232094385" </w:instrText>
          </w:r>
          <w:r>
            <w:fldChar w:fldCharType="separate"/>
          </w:r>
          <w:r>
            <w:rPr>
              <w:rStyle w:val="36"/>
              <w:rFonts w:hint="eastAsia"/>
            </w:rPr>
            <w:t>第六章 促进服务业优质高效发展</w:t>
          </w:r>
          <w:r>
            <w:rPr>
              <w:rFonts w:hint="eastAsia"/>
            </w:rPr>
            <w:tab/>
          </w:r>
          <w:r>
            <w:rPr>
              <w:rFonts w:hint="eastAsia"/>
            </w:rPr>
            <w:fldChar w:fldCharType="begin"/>
          </w:r>
          <w:r>
            <w:rPr>
              <w:rFonts w:hint="eastAsia"/>
            </w:rPr>
            <w:instrText xml:space="preserve"> </w:instrText>
          </w:r>
          <w:r>
            <w:instrText xml:space="preserve">PAGEREF _Toc232094385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2829FA96">
          <w:pPr>
            <w:pStyle w:val="25"/>
            <w:ind w:firstLine="640"/>
            <w:rPr>
              <w:rFonts w:hint="eastAsia" w:asciiTheme="minorHAnsi" w:hAnsiTheme="minorHAnsi" w:eastAsiaTheme="minorEastAsia"/>
              <w:sz w:val="22"/>
              <w:szCs w:val="24"/>
            </w:rPr>
          </w:pPr>
          <w:r>
            <w:fldChar w:fldCharType="begin"/>
          </w:r>
          <w:r>
            <w:instrText xml:space="preserve"> HYPERLINK \l "_Toc232094386" </w:instrText>
          </w:r>
          <w:r>
            <w:fldChar w:fldCharType="separate"/>
          </w:r>
          <w:r>
            <w:rPr>
              <w:rStyle w:val="36"/>
              <w:rFonts w:hint="eastAsia"/>
            </w:rPr>
            <w:t>第七章 着力构建优质产业生态</w:t>
          </w:r>
          <w:r>
            <w:rPr>
              <w:rFonts w:hint="eastAsia"/>
            </w:rPr>
            <w:tab/>
          </w:r>
          <w:r>
            <w:rPr>
              <w:rFonts w:hint="eastAsia"/>
            </w:rPr>
            <w:fldChar w:fldCharType="begin"/>
          </w:r>
          <w:r>
            <w:rPr>
              <w:rFonts w:hint="eastAsia"/>
            </w:rPr>
            <w:instrText xml:space="preserve"> </w:instrText>
          </w:r>
          <w:r>
            <w:instrText xml:space="preserve">PAGEREF _Toc232094386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6D7F049C">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"_Toc232094387" </w:instrText>
          </w:r>
          <w:r>
            <w:fldChar w:fldCharType="separate"/>
          </w:r>
          <w:r>
            <w:rPr>
              <w:rStyle w:val="36"/>
              <w:rFonts w:hint="eastAsia" w:ascii="方正小标宋简体"/>
              <w:spacing w:val="-17"/>
            </w:rPr>
            <w:t>第三篇</w:t>
          </w:r>
          <w:r>
            <w:rPr>
              <w:rStyle w:val="36"/>
              <w:rFonts w:hint="eastAsia"/>
              <w:spacing w:val="-17"/>
            </w:rPr>
            <w:t xml:space="preserve"> 因地制宜发展新质生产力，全力融入全省建设具有核心竞争力的科技创新高地</w:t>
          </w:r>
          <w:r>
            <w:rPr>
              <w:rFonts w:hint="eastAsia"/>
            </w:rPr>
            <w:tab/>
          </w:r>
          <w:r>
            <w:rPr>
              <w:rFonts w:hint="eastAsia"/>
            </w:rPr>
            <w:fldChar w:fldCharType="begin"/>
          </w:r>
          <w:r>
            <w:rPr>
              <w:rFonts w:hint="eastAsia"/>
            </w:rPr>
            <w:instrText xml:space="preserve"> </w:instrText>
          </w:r>
          <w:r>
            <w:instrText xml:space="preserve">PAGEREF _Toc232094387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3CE0D6BF">
          <w:pPr>
            <w:pStyle w:val="25"/>
            <w:ind w:firstLine="640"/>
            <w:rPr>
              <w:rFonts w:hint="eastAsia" w:asciiTheme="minorHAnsi" w:hAnsiTheme="minorHAnsi" w:eastAsiaTheme="minorEastAsia"/>
              <w:sz w:val="22"/>
              <w:szCs w:val="24"/>
            </w:rPr>
          </w:pPr>
          <w:r>
            <w:fldChar w:fldCharType="begin"/>
          </w:r>
          <w:r>
            <w:instrText xml:space="preserve"> HYPERLINK \l "_Toc232094388" </w:instrText>
          </w:r>
          <w:r>
            <w:fldChar w:fldCharType="separate"/>
          </w:r>
          <w:r>
            <w:rPr>
              <w:rStyle w:val="36"/>
              <w:rFonts w:hint="eastAsia"/>
            </w:rPr>
            <w:t>第八章 大力提升科技创新能力</w:t>
          </w:r>
          <w:r>
            <w:rPr>
              <w:rFonts w:hint="eastAsia"/>
            </w:rPr>
            <w:tab/>
          </w:r>
          <w:r>
            <w:rPr>
              <w:rFonts w:hint="eastAsia"/>
            </w:rPr>
            <w:fldChar w:fldCharType="begin"/>
          </w:r>
          <w:r>
            <w:rPr>
              <w:rFonts w:hint="eastAsia"/>
            </w:rPr>
            <w:instrText xml:space="preserve"> </w:instrText>
          </w:r>
          <w:r>
            <w:instrText xml:space="preserve">PAGEREF _Toc232094388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189B43D1">
          <w:pPr>
            <w:pStyle w:val="25"/>
            <w:ind w:firstLine="640"/>
            <w:rPr>
              <w:rFonts w:hint="eastAsia" w:asciiTheme="minorHAnsi" w:hAnsiTheme="minorHAnsi" w:eastAsiaTheme="minorEastAsia"/>
              <w:sz w:val="22"/>
              <w:szCs w:val="24"/>
            </w:rPr>
          </w:pPr>
          <w:r>
            <w:fldChar w:fldCharType="begin"/>
          </w:r>
          <w:r>
            <w:instrText xml:space="preserve"> HYPERLINK \l "_Toc232094389" </w:instrText>
          </w:r>
          <w:r>
            <w:fldChar w:fldCharType="separate"/>
          </w:r>
          <w:r>
            <w:rPr>
              <w:rStyle w:val="36"/>
              <w:rFonts w:hint="eastAsia"/>
            </w:rPr>
            <w:t>第九章 推动科技创新和产业创新深度融合</w:t>
          </w:r>
          <w:r>
            <w:rPr>
              <w:rFonts w:hint="eastAsia"/>
            </w:rPr>
            <w:tab/>
          </w:r>
          <w:r>
            <w:rPr>
              <w:rFonts w:hint="eastAsia"/>
            </w:rPr>
            <w:fldChar w:fldCharType="begin"/>
          </w:r>
          <w:r>
            <w:rPr>
              <w:rFonts w:hint="eastAsia"/>
            </w:rPr>
            <w:instrText xml:space="preserve"> </w:instrText>
          </w:r>
          <w:r>
            <w:instrText xml:space="preserve">PAGEREF _Toc232094389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17856805">
          <w:pPr>
            <w:pStyle w:val="25"/>
            <w:ind w:firstLine="640"/>
            <w:rPr>
              <w:rFonts w:hint="eastAsia" w:asciiTheme="minorHAnsi" w:hAnsiTheme="minorHAnsi" w:eastAsiaTheme="minorEastAsia"/>
              <w:sz w:val="22"/>
              <w:szCs w:val="24"/>
            </w:rPr>
          </w:pPr>
          <w:r>
            <w:fldChar w:fldCharType="begin"/>
          </w:r>
          <w:r>
            <w:instrText xml:space="preserve"> HYPERLINK \l "_Toc232094390" </w:instrText>
          </w:r>
          <w:r>
            <w:fldChar w:fldCharType="separate"/>
          </w:r>
          <w:r>
            <w:rPr>
              <w:rStyle w:val="36"/>
              <w:rFonts w:hint="eastAsia"/>
            </w:rPr>
            <w:t>第十章 推进教育科技人才一体发展</w:t>
          </w:r>
          <w:r>
            <w:rPr>
              <w:rFonts w:hint="eastAsia"/>
            </w:rPr>
            <w:tab/>
          </w:r>
          <w:r>
            <w:rPr>
              <w:rFonts w:hint="eastAsia"/>
            </w:rPr>
            <w:fldChar w:fldCharType="begin"/>
          </w:r>
          <w:r>
            <w:rPr>
              <w:rFonts w:hint="eastAsia"/>
            </w:rPr>
            <w:instrText xml:space="preserve"> </w:instrText>
          </w:r>
          <w:r>
            <w:instrText xml:space="preserve">PAGEREF _Toc232094390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73F4390B">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"_Toc232094391" </w:instrText>
          </w:r>
          <w:r>
            <w:fldChar w:fldCharType="separate"/>
          </w:r>
          <w:r>
            <w:rPr>
              <w:rStyle w:val="36"/>
              <w:rFonts w:hint="eastAsia" w:ascii="方正小标宋简体"/>
              <w:spacing w:val="-11"/>
            </w:rPr>
            <w:t>第四篇</w:t>
          </w:r>
          <w:r>
            <w:rPr>
              <w:rStyle w:val="36"/>
              <w:rFonts w:hint="eastAsia"/>
              <w:spacing w:val="-11"/>
            </w:rPr>
            <w:t xml:space="preserve"> 全面深化改革开放，全力支撑全省建设内陆地区改革开放高地</w:t>
          </w:r>
          <w:r>
            <w:rPr>
              <w:rFonts w:hint="eastAsia"/>
            </w:rPr>
            <w:tab/>
          </w:r>
          <w:r>
            <w:rPr>
              <w:rFonts w:hint="eastAsia"/>
            </w:rPr>
            <w:fldChar w:fldCharType="begin"/>
          </w:r>
          <w:r>
            <w:rPr>
              <w:rFonts w:hint="eastAsia"/>
            </w:rPr>
            <w:instrText xml:space="preserve"> </w:instrText>
          </w:r>
          <w:r>
            <w:instrText xml:space="preserve">PAGEREF _Toc232094391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7B3D41CB">
          <w:pPr>
            <w:pStyle w:val="25"/>
            <w:ind w:firstLine="640"/>
            <w:rPr>
              <w:rFonts w:hint="eastAsia" w:asciiTheme="minorHAnsi" w:hAnsiTheme="minorHAnsi" w:eastAsiaTheme="minorEastAsia"/>
              <w:sz w:val="22"/>
              <w:szCs w:val="24"/>
            </w:rPr>
          </w:pPr>
          <w:r>
            <w:fldChar w:fldCharType="begin"/>
          </w:r>
          <w:r>
            <w:instrText xml:space="preserve"> HYPERLINK \l "_Toc232094392" </w:instrText>
          </w:r>
          <w:r>
            <w:fldChar w:fldCharType="separate"/>
          </w:r>
          <w:r>
            <w:rPr>
              <w:rStyle w:val="36"/>
              <w:rFonts w:hint="eastAsia"/>
            </w:rPr>
            <w:t>第十一章 全面深化改革</w:t>
          </w:r>
          <w:r>
            <w:rPr>
              <w:rFonts w:hint="eastAsia"/>
            </w:rPr>
            <w:tab/>
          </w:r>
          <w:r>
            <w:rPr>
              <w:rFonts w:hint="eastAsia"/>
            </w:rPr>
            <w:fldChar w:fldCharType="begin"/>
          </w:r>
          <w:r>
            <w:rPr>
              <w:rFonts w:hint="eastAsia"/>
            </w:rPr>
            <w:instrText xml:space="preserve"> </w:instrText>
          </w:r>
          <w:r>
            <w:instrText xml:space="preserve">PAGEREF _Toc232094392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7812110A">
          <w:pPr>
            <w:pStyle w:val="25"/>
            <w:ind w:firstLine="640"/>
            <w:rPr>
              <w:rFonts w:hint="eastAsia" w:asciiTheme="minorHAnsi" w:hAnsiTheme="minorHAnsi" w:eastAsiaTheme="minorEastAsia"/>
              <w:sz w:val="22"/>
              <w:szCs w:val="24"/>
            </w:rPr>
          </w:pPr>
          <w:r>
            <w:fldChar w:fldCharType="begin"/>
          </w:r>
          <w:r>
            <w:instrText xml:space="preserve"> HYPERLINK \l "_Toc232094393" </w:instrText>
          </w:r>
          <w:r>
            <w:fldChar w:fldCharType="separate"/>
          </w:r>
          <w:r>
            <w:rPr>
              <w:rStyle w:val="36"/>
              <w:rFonts w:hint="eastAsia"/>
            </w:rPr>
            <w:t>第十二章 扩大高水平对外开放</w:t>
          </w:r>
          <w:r>
            <w:rPr>
              <w:rFonts w:hint="eastAsia"/>
            </w:rPr>
            <w:tab/>
          </w:r>
          <w:r>
            <w:rPr>
              <w:rFonts w:hint="eastAsia"/>
            </w:rPr>
            <w:fldChar w:fldCharType="begin"/>
          </w:r>
          <w:r>
            <w:rPr>
              <w:rFonts w:hint="eastAsia"/>
            </w:rPr>
            <w:instrText xml:space="preserve"> </w:instrText>
          </w:r>
          <w:r>
            <w:instrText xml:space="preserve">PAGEREF _Toc232094393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14:paraId="6824960E">
          <w:pPr>
            <w:pStyle w:val="25"/>
            <w:ind w:firstLine="640"/>
            <w:rPr>
              <w:rFonts w:hint="eastAsia" w:asciiTheme="minorHAnsi" w:hAnsiTheme="minorHAnsi" w:eastAsiaTheme="minorEastAsia"/>
              <w:sz w:val="22"/>
              <w:szCs w:val="24"/>
            </w:rPr>
          </w:pPr>
          <w:r>
            <w:fldChar w:fldCharType="begin"/>
          </w:r>
          <w:r>
            <w:instrText xml:space="preserve"> HYPERLINK \l "_Toc232094394" </w:instrText>
          </w:r>
          <w:r>
            <w:fldChar w:fldCharType="separate"/>
          </w:r>
          <w:r>
            <w:rPr>
              <w:rStyle w:val="36"/>
              <w:rFonts w:hint="eastAsia"/>
            </w:rPr>
            <w:t>第十三章 打造一流营商环境</w:t>
          </w:r>
          <w:r>
            <w:rPr>
              <w:rFonts w:hint="eastAsia"/>
            </w:rPr>
            <w:tab/>
          </w:r>
          <w:r>
            <w:rPr>
              <w:rFonts w:hint="eastAsia"/>
            </w:rPr>
            <w:fldChar w:fldCharType="begin"/>
          </w:r>
          <w:r>
            <w:rPr>
              <w:rFonts w:hint="eastAsia"/>
            </w:rPr>
            <w:instrText xml:space="preserve"> </w:instrText>
          </w:r>
          <w:r>
            <w:instrText xml:space="preserve">PAGEREF _Toc232094394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14:paraId="5E9D86CD">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"_Toc232094395" </w:instrText>
          </w:r>
          <w:r>
            <w:fldChar w:fldCharType="separate"/>
          </w:r>
          <w:r>
            <w:rPr>
              <w:rStyle w:val="36"/>
              <w:rFonts w:hint="eastAsia" w:ascii="方正小标宋简体"/>
              <w:spacing w:val="11"/>
            </w:rPr>
            <w:t>第五篇</w:t>
          </w:r>
          <w:r>
            <w:rPr>
              <w:rStyle w:val="36"/>
              <w:rFonts w:hint="eastAsia"/>
              <w:spacing w:val="11"/>
            </w:rPr>
            <w:t xml:space="preserve"> 实施扩大内需战略，推动经济实现良性循环</w:t>
          </w:r>
          <w:r>
            <w:rPr>
              <w:rFonts w:hint="eastAsia"/>
            </w:rPr>
            <w:tab/>
          </w:r>
          <w:r>
            <w:rPr>
              <w:rFonts w:hint="eastAsia"/>
            </w:rPr>
            <w:fldChar w:fldCharType="begin"/>
          </w:r>
          <w:r>
            <w:rPr>
              <w:rFonts w:hint="eastAsia"/>
            </w:rPr>
            <w:instrText xml:space="preserve"> </w:instrText>
          </w:r>
          <w:r>
            <w:instrText xml:space="preserve">PAGEREF _Toc232094395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5C496001">
          <w:pPr>
            <w:pStyle w:val="25"/>
            <w:ind w:firstLine="640"/>
            <w:rPr>
              <w:rFonts w:hint="eastAsia" w:asciiTheme="minorHAnsi" w:hAnsiTheme="minorHAnsi" w:eastAsiaTheme="minorEastAsia"/>
              <w:sz w:val="22"/>
              <w:szCs w:val="24"/>
            </w:rPr>
          </w:pPr>
          <w:r>
            <w:fldChar w:fldCharType="begin"/>
          </w:r>
          <w:r>
            <w:instrText xml:space="preserve"> HYPERLINK \l "_Toc232094396" </w:instrText>
          </w:r>
          <w:r>
            <w:fldChar w:fldCharType="separate"/>
          </w:r>
          <w:r>
            <w:rPr>
              <w:rStyle w:val="36"/>
              <w:rFonts w:hint="eastAsia"/>
            </w:rPr>
            <w:t>第十四章 促进消费提质升级</w:t>
          </w:r>
          <w:r>
            <w:rPr>
              <w:rFonts w:hint="eastAsia"/>
            </w:rPr>
            <w:tab/>
          </w:r>
          <w:r>
            <w:rPr>
              <w:rFonts w:hint="eastAsia"/>
            </w:rPr>
            <w:fldChar w:fldCharType="begin"/>
          </w:r>
          <w:r>
            <w:rPr>
              <w:rFonts w:hint="eastAsia"/>
            </w:rPr>
            <w:instrText xml:space="preserve"> </w:instrText>
          </w:r>
          <w:r>
            <w:instrText xml:space="preserve">PAGEREF _Toc232094396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05F4F809">
          <w:pPr>
            <w:pStyle w:val="25"/>
            <w:ind w:firstLine="640"/>
            <w:rPr>
              <w:rFonts w:hint="eastAsia" w:asciiTheme="minorHAnsi" w:hAnsiTheme="minorHAnsi" w:eastAsiaTheme="minorEastAsia"/>
              <w:sz w:val="22"/>
              <w:szCs w:val="24"/>
            </w:rPr>
          </w:pPr>
          <w:r>
            <w:fldChar w:fldCharType="begin"/>
          </w:r>
          <w:r>
            <w:instrText xml:space="preserve"> HYPERLINK \l "_Toc232094397" </w:instrText>
          </w:r>
          <w:r>
            <w:fldChar w:fldCharType="separate"/>
          </w:r>
          <w:r>
            <w:rPr>
              <w:rStyle w:val="36"/>
              <w:rFonts w:hint="eastAsia"/>
            </w:rPr>
            <w:t>第十五章 积极扩大有效投资</w:t>
          </w:r>
          <w:r>
            <w:rPr>
              <w:rFonts w:hint="eastAsia"/>
            </w:rPr>
            <w:tab/>
          </w:r>
          <w:r>
            <w:rPr>
              <w:rFonts w:hint="eastAsia"/>
            </w:rPr>
            <w:fldChar w:fldCharType="begin"/>
          </w:r>
          <w:r>
            <w:rPr>
              <w:rFonts w:hint="eastAsia"/>
            </w:rPr>
            <w:instrText xml:space="preserve"> </w:instrText>
          </w:r>
          <w:r>
            <w:instrText xml:space="preserve">PAGEREF _Toc232094397 \h</w:instrText>
          </w:r>
          <w:r>
            <w:rPr>
              <w:rFonts w:hint="eastAsia"/>
            </w:rPr>
            <w:instrText xml:space="preserve"> </w:instrText>
          </w:r>
          <w:r>
            <w:rPr>
              <w:rFonts w:hint="eastAsia"/>
            </w:rPr>
            <w:fldChar w:fldCharType="separate"/>
          </w:r>
          <w:r>
            <w:t>55</w:t>
          </w:r>
          <w:r>
            <w:rPr>
              <w:rFonts w:hint="eastAsia"/>
            </w:rPr>
            <w:fldChar w:fldCharType="end"/>
          </w:r>
          <w:r>
            <w:rPr>
              <w:rFonts w:hint="eastAsia"/>
            </w:rPr>
            <w:fldChar w:fldCharType="end"/>
          </w:r>
        </w:p>
        <w:p w14:paraId="21DC1370">
          <w:pPr>
            <w:pStyle w:val="25"/>
            <w:ind w:firstLine="640"/>
            <w:rPr>
              <w:rFonts w:hint="eastAsia" w:asciiTheme="minorHAnsi" w:hAnsiTheme="minorHAnsi" w:eastAsiaTheme="minorEastAsia"/>
              <w:sz w:val="22"/>
              <w:szCs w:val="24"/>
            </w:rPr>
          </w:pPr>
          <w:r>
            <w:fldChar w:fldCharType="begin"/>
          </w:r>
          <w:r>
            <w:instrText xml:space="preserve"> HYPERLINK \l "_Toc232094398" </w:instrText>
          </w:r>
          <w:r>
            <w:fldChar w:fldCharType="separate"/>
          </w:r>
          <w:r>
            <w:rPr>
              <w:rStyle w:val="36"/>
              <w:rFonts w:hint="eastAsia"/>
            </w:rPr>
            <w:t>第十六章 积极融入全国统一大市场建设</w:t>
          </w:r>
          <w:r>
            <w:rPr>
              <w:rFonts w:hint="eastAsia"/>
            </w:rPr>
            <w:tab/>
          </w:r>
          <w:r>
            <w:rPr>
              <w:rFonts w:hint="eastAsia"/>
            </w:rPr>
            <w:fldChar w:fldCharType="begin"/>
          </w:r>
          <w:r>
            <w:rPr>
              <w:rFonts w:hint="eastAsia"/>
            </w:rPr>
            <w:instrText xml:space="preserve"> </w:instrText>
          </w:r>
          <w:r>
            <w:instrText xml:space="preserve">PAGEREF _Toc232094398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12E282F0">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"_Toc232094399" </w:instrText>
          </w:r>
          <w:r>
            <w:fldChar w:fldCharType="separate"/>
          </w:r>
          <w:r>
            <w:rPr>
              <w:rStyle w:val="36"/>
              <w:rFonts w:hint="eastAsia" w:ascii="方正小标宋简体"/>
            </w:rPr>
            <w:t>第六篇</w:t>
          </w:r>
          <w:r>
            <w:rPr>
              <w:rStyle w:val="36"/>
              <w:rFonts w:hint="eastAsia"/>
            </w:rPr>
            <w:t xml:space="preserve"> 深化区域协调聚势赋能，打造湘粤桂省际区域发展新引擎</w:t>
          </w:r>
          <w:r>
            <w:rPr>
              <w:rFonts w:hint="eastAsia"/>
            </w:rPr>
            <w:tab/>
          </w:r>
          <w:r>
            <w:rPr>
              <w:rFonts w:hint="eastAsia"/>
            </w:rPr>
            <w:fldChar w:fldCharType="begin"/>
          </w:r>
          <w:r>
            <w:rPr>
              <w:rFonts w:hint="eastAsia"/>
            </w:rPr>
            <w:instrText xml:space="preserve"> </w:instrText>
          </w:r>
          <w:r>
            <w:instrText xml:space="preserve">PAGEREF _Toc232094399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16C5DD19">
          <w:pPr>
            <w:pStyle w:val="25"/>
            <w:ind w:firstLine="640"/>
            <w:rPr>
              <w:rFonts w:hint="eastAsia" w:asciiTheme="minorHAnsi" w:hAnsiTheme="minorHAnsi" w:eastAsiaTheme="minorEastAsia"/>
              <w:sz w:val="22"/>
              <w:szCs w:val="24"/>
            </w:rPr>
          </w:pPr>
          <w:r>
            <w:fldChar w:fldCharType="begin"/>
          </w:r>
          <w:r>
            <w:instrText xml:space="preserve"> HYPERLINK \l "_Toc232094400" </w:instrText>
          </w:r>
          <w:r>
            <w:fldChar w:fldCharType="separate"/>
          </w:r>
          <w:r>
            <w:rPr>
              <w:rStyle w:val="36"/>
              <w:rFonts w:hint="eastAsia"/>
            </w:rPr>
            <w:t>第十七章 融入国家区域重大战略</w:t>
          </w:r>
          <w:r>
            <w:rPr>
              <w:rFonts w:hint="eastAsia"/>
            </w:rPr>
            <w:tab/>
          </w:r>
          <w:r>
            <w:rPr>
              <w:rFonts w:hint="eastAsia"/>
            </w:rPr>
            <w:fldChar w:fldCharType="begin"/>
          </w:r>
          <w:r>
            <w:rPr>
              <w:rFonts w:hint="eastAsia"/>
            </w:rPr>
            <w:instrText xml:space="preserve"> </w:instrText>
          </w:r>
          <w:r>
            <w:instrText xml:space="preserve">PAGEREF _Toc232094400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3FBFCC7E">
          <w:pPr>
            <w:pStyle w:val="25"/>
            <w:ind w:firstLine="640"/>
            <w:rPr>
              <w:rFonts w:hint="eastAsia" w:asciiTheme="minorHAnsi" w:hAnsiTheme="minorHAnsi" w:eastAsiaTheme="minorEastAsia"/>
              <w:sz w:val="22"/>
              <w:szCs w:val="24"/>
            </w:rPr>
          </w:pPr>
          <w:r>
            <w:fldChar w:fldCharType="begin"/>
          </w:r>
          <w:r>
            <w:instrText xml:space="preserve"> HYPERLINK \l "_Toc232094401" </w:instrText>
          </w:r>
          <w:r>
            <w:fldChar w:fldCharType="separate"/>
          </w:r>
          <w:r>
            <w:rPr>
              <w:rStyle w:val="36"/>
              <w:rFonts w:hint="eastAsia"/>
            </w:rPr>
            <w:t>第十八章 统筹优化全市区域布局</w:t>
          </w:r>
          <w:r>
            <w:rPr>
              <w:rFonts w:hint="eastAsia"/>
            </w:rPr>
            <w:tab/>
          </w:r>
          <w:r>
            <w:rPr>
              <w:rFonts w:hint="eastAsia"/>
            </w:rPr>
            <w:fldChar w:fldCharType="begin"/>
          </w:r>
          <w:r>
            <w:rPr>
              <w:rFonts w:hint="eastAsia"/>
            </w:rPr>
            <w:instrText xml:space="preserve"> </w:instrText>
          </w:r>
          <w:r>
            <w:instrText xml:space="preserve">PAGEREF _Toc232094401 \h</w:instrText>
          </w:r>
          <w:r>
            <w:rPr>
              <w:rFonts w:hint="eastAsia"/>
            </w:rPr>
            <w:instrText xml:space="preserve"> </w:instrText>
          </w:r>
          <w:r>
            <w:rPr>
              <w:rFonts w:hint="eastAsia"/>
            </w:rPr>
            <w:fldChar w:fldCharType="separate"/>
          </w:r>
          <w:r>
            <w:t>63</w:t>
          </w:r>
          <w:r>
            <w:rPr>
              <w:rFonts w:hint="eastAsia"/>
            </w:rPr>
            <w:fldChar w:fldCharType="end"/>
          </w:r>
          <w:r>
            <w:rPr>
              <w:rFonts w:hint="eastAsia"/>
            </w:rPr>
            <w:fldChar w:fldCharType="end"/>
          </w:r>
        </w:p>
        <w:p w14:paraId="3C14D165">
          <w:pPr>
            <w:pStyle w:val="25"/>
            <w:ind w:firstLine="640"/>
            <w:rPr>
              <w:rFonts w:hint="eastAsia" w:asciiTheme="minorHAnsi" w:hAnsiTheme="minorHAnsi" w:eastAsiaTheme="minorEastAsia"/>
              <w:sz w:val="22"/>
              <w:szCs w:val="24"/>
            </w:rPr>
          </w:pPr>
          <w:r>
            <w:fldChar w:fldCharType="begin"/>
          </w:r>
          <w:r>
            <w:instrText xml:space="preserve"> HYPERLINK \l "_Toc232094402" </w:instrText>
          </w:r>
          <w:r>
            <w:fldChar w:fldCharType="separate"/>
          </w:r>
          <w:r>
            <w:rPr>
              <w:rStyle w:val="36"/>
              <w:rFonts w:hint="eastAsia"/>
            </w:rPr>
            <w:t>第十九章 推动国土空间优化发展</w:t>
          </w:r>
          <w:r>
            <w:rPr>
              <w:rFonts w:hint="eastAsia"/>
            </w:rPr>
            <w:tab/>
          </w:r>
          <w:r>
            <w:rPr>
              <w:rFonts w:hint="eastAsia"/>
            </w:rPr>
            <w:fldChar w:fldCharType="begin"/>
          </w:r>
          <w:r>
            <w:rPr>
              <w:rFonts w:hint="eastAsia"/>
            </w:rPr>
            <w:instrText xml:space="preserve"> </w:instrText>
          </w:r>
          <w:r>
            <w:instrText xml:space="preserve">PAGEREF _Toc232094402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05B1DE72">
          <w:pPr>
            <w:pStyle w:val="25"/>
            <w:ind w:firstLine="640"/>
            <w:rPr>
              <w:rFonts w:hint="eastAsia" w:asciiTheme="minorHAnsi" w:hAnsiTheme="minorHAnsi" w:eastAsiaTheme="minorEastAsia"/>
              <w:sz w:val="22"/>
              <w:szCs w:val="24"/>
            </w:rPr>
          </w:pPr>
          <w:r>
            <w:fldChar w:fldCharType="begin"/>
          </w:r>
          <w:r>
            <w:instrText xml:space="preserve"> HYPERLINK \l "_Toc232094403" </w:instrText>
          </w:r>
          <w:r>
            <w:fldChar w:fldCharType="separate"/>
          </w:r>
          <w:r>
            <w:rPr>
              <w:rStyle w:val="36"/>
              <w:rFonts w:hint="eastAsia"/>
            </w:rPr>
            <w:t>第二十章 构建现代化基础设施体系</w:t>
          </w:r>
          <w:r>
            <w:rPr>
              <w:rFonts w:hint="eastAsia"/>
            </w:rPr>
            <w:tab/>
          </w:r>
          <w:r>
            <w:rPr>
              <w:rFonts w:hint="eastAsia"/>
            </w:rPr>
            <w:fldChar w:fldCharType="begin"/>
          </w:r>
          <w:r>
            <w:rPr>
              <w:rFonts w:hint="eastAsia"/>
            </w:rPr>
            <w:instrText xml:space="preserve"> </w:instrText>
          </w:r>
          <w:r>
            <w:instrText xml:space="preserve">PAGEREF _Toc232094403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13AF6B39">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"_Toc232094404" </w:instrText>
          </w:r>
          <w:r>
            <w:fldChar w:fldCharType="separate"/>
          </w:r>
          <w:r>
            <w:rPr>
              <w:rStyle w:val="36"/>
              <w:rFonts w:hint="eastAsia" w:ascii="方正小标宋简体"/>
              <w:spacing w:val="11"/>
            </w:rPr>
            <w:t>第七篇</w:t>
          </w:r>
          <w:r>
            <w:rPr>
              <w:rStyle w:val="36"/>
              <w:rFonts w:hint="eastAsia"/>
              <w:spacing w:val="11"/>
            </w:rPr>
            <w:t xml:space="preserve"> 推进以人为本的新型城镇化，绘就人民城市新图景</w:t>
          </w:r>
          <w:r>
            <w:rPr>
              <w:rFonts w:hint="eastAsia"/>
            </w:rPr>
            <w:tab/>
          </w:r>
          <w:r>
            <w:rPr>
              <w:rFonts w:hint="eastAsia"/>
            </w:rPr>
            <w:fldChar w:fldCharType="begin"/>
          </w:r>
          <w:r>
            <w:rPr>
              <w:rFonts w:hint="eastAsia"/>
            </w:rPr>
            <w:instrText xml:space="preserve"> </w:instrText>
          </w:r>
          <w:r>
            <w:instrText xml:space="preserve">PAGEREF _Toc232094404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4BB118D6">
          <w:pPr>
            <w:pStyle w:val="25"/>
            <w:ind w:firstLine="640"/>
            <w:rPr>
              <w:rFonts w:hint="eastAsia" w:asciiTheme="minorHAnsi" w:hAnsiTheme="minorHAnsi" w:eastAsiaTheme="minorEastAsia"/>
              <w:sz w:val="22"/>
              <w:szCs w:val="24"/>
            </w:rPr>
          </w:pPr>
          <w:r>
            <w:fldChar w:fldCharType="begin"/>
          </w:r>
          <w:r>
            <w:instrText xml:space="preserve"> HYPERLINK \l "_Toc232094405" </w:instrText>
          </w:r>
          <w:r>
            <w:fldChar w:fldCharType="separate"/>
          </w:r>
          <w:r>
            <w:rPr>
              <w:rStyle w:val="36"/>
              <w:rFonts w:hint="eastAsia"/>
            </w:rPr>
            <w:t>第二十一章 提升农业转移人口市民化质量</w:t>
          </w:r>
          <w:r>
            <w:rPr>
              <w:rFonts w:hint="eastAsia"/>
            </w:rPr>
            <w:tab/>
          </w:r>
          <w:r>
            <w:rPr>
              <w:rFonts w:hint="eastAsia"/>
            </w:rPr>
            <w:fldChar w:fldCharType="begin"/>
          </w:r>
          <w:r>
            <w:rPr>
              <w:rFonts w:hint="eastAsia"/>
            </w:rPr>
            <w:instrText xml:space="preserve"> </w:instrText>
          </w:r>
          <w:r>
            <w:instrText xml:space="preserve">PAGEREF _Toc232094405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6412AD3F">
          <w:pPr>
            <w:pStyle w:val="25"/>
            <w:ind w:firstLine="640"/>
            <w:rPr>
              <w:rFonts w:hint="eastAsia" w:asciiTheme="minorHAnsi" w:hAnsiTheme="minorHAnsi" w:eastAsiaTheme="minorEastAsia"/>
              <w:sz w:val="22"/>
              <w:szCs w:val="24"/>
            </w:rPr>
          </w:pPr>
          <w:r>
            <w:fldChar w:fldCharType="begin"/>
          </w:r>
          <w:r>
            <w:instrText xml:space="preserve"> HYPERLINK \l "_Toc232094406" </w:instrText>
          </w:r>
          <w:r>
            <w:fldChar w:fldCharType="separate"/>
          </w:r>
          <w:r>
            <w:rPr>
              <w:rStyle w:val="36"/>
              <w:rFonts w:hint="eastAsia"/>
            </w:rPr>
            <w:t>第二十二章 增强县城综合承载能力</w:t>
          </w:r>
          <w:r>
            <w:rPr>
              <w:rFonts w:hint="eastAsia"/>
            </w:rPr>
            <w:tab/>
          </w:r>
          <w:r>
            <w:rPr>
              <w:rFonts w:hint="eastAsia"/>
            </w:rPr>
            <w:fldChar w:fldCharType="begin"/>
          </w:r>
          <w:r>
            <w:rPr>
              <w:rFonts w:hint="eastAsia"/>
            </w:rPr>
            <w:instrText xml:space="preserve"> </w:instrText>
          </w:r>
          <w:r>
            <w:instrText xml:space="preserve">PAGEREF _Toc232094406 \h</w:instrText>
          </w:r>
          <w:r>
            <w:rPr>
              <w:rFonts w:hint="eastAsia"/>
            </w:rPr>
            <w:instrText xml:space="preserve"> </w:instrText>
          </w:r>
          <w:r>
            <w:rPr>
              <w:rFonts w:hint="eastAsia"/>
            </w:rPr>
            <w:fldChar w:fldCharType="separate"/>
          </w:r>
          <w:r>
            <w:t>80</w:t>
          </w:r>
          <w:r>
            <w:rPr>
              <w:rFonts w:hint="eastAsia"/>
            </w:rPr>
            <w:fldChar w:fldCharType="end"/>
          </w:r>
          <w:r>
            <w:rPr>
              <w:rFonts w:hint="eastAsia"/>
            </w:rPr>
            <w:fldChar w:fldCharType="end"/>
          </w:r>
        </w:p>
        <w:p w14:paraId="3B8D2C1E">
          <w:pPr>
            <w:pStyle w:val="25"/>
            <w:ind w:firstLine="640"/>
            <w:rPr>
              <w:rFonts w:hint="eastAsia" w:asciiTheme="minorHAnsi" w:hAnsiTheme="minorHAnsi" w:eastAsiaTheme="minorEastAsia"/>
              <w:sz w:val="22"/>
              <w:szCs w:val="24"/>
            </w:rPr>
          </w:pPr>
          <w:r>
            <w:fldChar w:fldCharType="begin"/>
          </w:r>
          <w:r>
            <w:instrText xml:space="preserve"> HYPERLINK \l "_Toc232094407" </w:instrText>
          </w:r>
          <w:r>
            <w:fldChar w:fldCharType="separate"/>
          </w:r>
          <w:r>
            <w:rPr>
              <w:rStyle w:val="36"/>
              <w:rFonts w:hint="eastAsia"/>
            </w:rPr>
            <w:t>第二十三章 大力推进城市更新</w:t>
          </w:r>
          <w:r>
            <w:rPr>
              <w:rFonts w:hint="eastAsia"/>
            </w:rPr>
            <w:tab/>
          </w:r>
          <w:r>
            <w:rPr>
              <w:rFonts w:hint="eastAsia"/>
            </w:rPr>
            <w:fldChar w:fldCharType="begin"/>
          </w:r>
          <w:r>
            <w:rPr>
              <w:rFonts w:hint="eastAsia"/>
            </w:rPr>
            <w:instrText xml:space="preserve"> </w:instrText>
          </w:r>
          <w:r>
            <w:instrText xml:space="preserve">PAGEREF _Toc232094407 \h</w:instrText>
          </w:r>
          <w:r>
            <w:rPr>
              <w:rFonts w:hint="eastAsia"/>
            </w:rPr>
            <w:instrText xml:space="preserve"> </w:instrText>
          </w:r>
          <w:r>
            <w:rPr>
              <w:rFonts w:hint="eastAsia"/>
            </w:rPr>
            <w:fldChar w:fldCharType="separate"/>
          </w:r>
          <w:r>
            <w:t>81</w:t>
          </w:r>
          <w:r>
            <w:rPr>
              <w:rFonts w:hint="eastAsia"/>
            </w:rPr>
            <w:fldChar w:fldCharType="end"/>
          </w:r>
          <w:r>
            <w:rPr>
              <w:rFonts w:hint="eastAsia"/>
            </w:rPr>
            <w:fldChar w:fldCharType="end"/>
          </w:r>
        </w:p>
        <w:p w14:paraId="31E259C2">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"_Toc232094408" </w:instrText>
          </w:r>
          <w:r>
            <w:fldChar w:fldCharType="separate"/>
          </w:r>
          <w:r>
            <w:rPr>
              <w:rStyle w:val="36"/>
              <w:rFonts w:hint="eastAsia" w:ascii="方正小标宋简体"/>
            </w:rPr>
            <w:t>第八篇</w:t>
          </w:r>
          <w:r>
            <w:rPr>
              <w:rStyle w:val="36"/>
              <w:rFonts w:hint="eastAsia"/>
              <w:spacing w:val="11"/>
            </w:rPr>
            <w:t xml:space="preserve"> 坚持农业农村优先发展，推进乡村全</w:t>
          </w:r>
          <w:r>
            <w:rPr>
              <w:rStyle w:val="36"/>
              <w:rFonts w:hint="eastAsia"/>
            </w:rPr>
            <w:t>面振兴</w:t>
          </w:r>
          <w:r>
            <w:rPr>
              <w:rFonts w:hint="eastAsia"/>
            </w:rPr>
            <w:tab/>
          </w:r>
          <w:r>
            <w:rPr>
              <w:rFonts w:hint="eastAsia"/>
            </w:rPr>
            <w:fldChar w:fldCharType="begin"/>
          </w:r>
          <w:r>
            <w:rPr>
              <w:rFonts w:hint="eastAsia"/>
            </w:rPr>
            <w:instrText xml:space="preserve"> </w:instrText>
          </w:r>
          <w:r>
            <w:instrText xml:space="preserve">PAGEREF _Toc232094408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39A3FAB">
          <w:pPr>
            <w:pStyle w:val="25"/>
            <w:ind w:firstLine="640"/>
            <w:rPr>
              <w:rFonts w:hint="eastAsia" w:asciiTheme="minorHAnsi" w:hAnsiTheme="minorHAnsi" w:eastAsiaTheme="minorEastAsia"/>
              <w:sz w:val="22"/>
              <w:szCs w:val="24"/>
            </w:rPr>
          </w:pPr>
          <w:r>
            <w:fldChar w:fldCharType="begin"/>
          </w:r>
          <w:r>
            <w:instrText xml:space="preserve"> HYPERLINK \l "_Toc232094409" </w:instrText>
          </w:r>
          <w:r>
            <w:fldChar w:fldCharType="separate"/>
          </w:r>
          <w:r>
            <w:rPr>
              <w:rStyle w:val="36"/>
              <w:rFonts w:hint="eastAsia"/>
            </w:rPr>
            <w:t>第二十四章 提高农业综合生产能力</w:t>
          </w:r>
          <w:r>
            <w:rPr>
              <w:rFonts w:hint="eastAsia"/>
            </w:rPr>
            <w:tab/>
          </w:r>
          <w:r>
            <w:rPr>
              <w:rFonts w:hint="eastAsia"/>
            </w:rPr>
            <w:fldChar w:fldCharType="begin"/>
          </w:r>
          <w:r>
            <w:rPr>
              <w:rFonts w:hint="eastAsia"/>
            </w:rPr>
            <w:instrText xml:space="preserve"> </w:instrText>
          </w:r>
          <w:r>
            <w:instrText xml:space="preserve">PAGEREF _Toc232094409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F8954F1">
          <w:pPr>
            <w:pStyle w:val="25"/>
            <w:ind w:firstLine="640"/>
            <w:rPr>
              <w:rFonts w:hint="eastAsia" w:asciiTheme="minorHAnsi" w:hAnsiTheme="minorHAnsi" w:eastAsiaTheme="minorEastAsia"/>
              <w:sz w:val="22"/>
              <w:szCs w:val="24"/>
            </w:rPr>
          </w:pPr>
          <w:r>
            <w:fldChar w:fldCharType="begin"/>
          </w:r>
          <w:r>
            <w:instrText xml:space="preserve"> HYPERLINK \l "_Toc232094410" </w:instrText>
          </w:r>
          <w:r>
            <w:fldChar w:fldCharType="separate"/>
          </w:r>
          <w:r>
            <w:rPr>
              <w:rStyle w:val="36"/>
              <w:rFonts w:hint="eastAsia"/>
            </w:rPr>
            <w:t>第二十五章 建设宜居宜业“和美湘村”</w:t>
          </w:r>
          <w:r>
            <w:rPr>
              <w:rFonts w:hint="eastAsia"/>
            </w:rPr>
            <w:tab/>
          </w:r>
          <w:r>
            <w:rPr>
              <w:rFonts w:hint="eastAsia"/>
            </w:rPr>
            <w:fldChar w:fldCharType="begin"/>
          </w:r>
          <w:r>
            <w:rPr>
              <w:rFonts w:hint="eastAsia"/>
            </w:rPr>
            <w:instrText xml:space="preserve"> </w:instrText>
          </w:r>
          <w:r>
            <w:instrText xml:space="preserve">PAGEREF _Toc232094410 \h</w:instrText>
          </w:r>
          <w:r>
            <w:rPr>
              <w:rFonts w:hint="eastAsia"/>
            </w:rPr>
            <w:instrText xml:space="preserve"> </w:instrText>
          </w:r>
          <w:r>
            <w:rPr>
              <w:rFonts w:hint="eastAsia"/>
            </w:rPr>
            <w:fldChar w:fldCharType="separate"/>
          </w:r>
          <w:r>
            <w:t>89</w:t>
          </w:r>
          <w:r>
            <w:rPr>
              <w:rFonts w:hint="eastAsia"/>
            </w:rPr>
            <w:fldChar w:fldCharType="end"/>
          </w:r>
          <w:r>
            <w:rPr>
              <w:rFonts w:hint="eastAsia"/>
            </w:rPr>
            <w:fldChar w:fldCharType="end"/>
          </w:r>
        </w:p>
        <w:p w14:paraId="328C88E1">
          <w:pPr>
            <w:pStyle w:val="25"/>
            <w:ind w:firstLine="640"/>
            <w:rPr>
              <w:rFonts w:hint="eastAsia" w:asciiTheme="minorHAnsi" w:hAnsiTheme="minorHAnsi" w:eastAsiaTheme="minorEastAsia"/>
              <w:sz w:val="22"/>
              <w:szCs w:val="24"/>
            </w:rPr>
          </w:pPr>
          <w:r>
            <w:fldChar w:fldCharType="begin"/>
          </w:r>
          <w:r>
            <w:instrText xml:space="preserve"> HYPERLINK \l "_Toc232094411" </w:instrText>
          </w:r>
          <w:r>
            <w:fldChar w:fldCharType="separate"/>
          </w:r>
          <w:r>
            <w:rPr>
              <w:rStyle w:val="36"/>
              <w:rFonts w:hint="eastAsia"/>
            </w:rPr>
            <w:t>第二十六章 提高强农惠农富农政策效能</w:t>
          </w:r>
          <w:r>
            <w:rPr>
              <w:rFonts w:hint="eastAsia"/>
            </w:rPr>
            <w:tab/>
          </w:r>
          <w:r>
            <w:rPr>
              <w:rFonts w:hint="eastAsia"/>
            </w:rPr>
            <w:fldChar w:fldCharType="begin"/>
          </w:r>
          <w:r>
            <w:rPr>
              <w:rFonts w:hint="eastAsia"/>
            </w:rPr>
            <w:instrText xml:space="preserve"> </w:instrText>
          </w:r>
          <w:r>
            <w:instrText xml:space="preserve">PAGEREF _Toc232094411 \h</w:instrText>
          </w:r>
          <w:r>
            <w:rPr>
              <w:rFonts w:hint="eastAsia"/>
            </w:rPr>
            <w:instrText xml:space="preserve"> </w:instrText>
          </w:r>
          <w:r>
            <w:rPr>
              <w:rFonts w:hint="eastAsia"/>
            </w:rPr>
            <w:fldChar w:fldCharType="separate"/>
          </w:r>
          <w:r>
            <w:t>92</w:t>
          </w:r>
          <w:r>
            <w:rPr>
              <w:rFonts w:hint="eastAsia"/>
            </w:rPr>
            <w:fldChar w:fldCharType="end"/>
          </w:r>
          <w:r>
            <w:rPr>
              <w:rFonts w:hint="eastAsia"/>
            </w:rPr>
            <w:fldChar w:fldCharType="end"/>
          </w:r>
        </w:p>
        <w:p w14:paraId="546BE5B8">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"_Toc232094412" </w:instrText>
          </w:r>
          <w:r>
            <w:fldChar w:fldCharType="separate"/>
          </w:r>
          <w:r>
            <w:rPr>
              <w:rStyle w:val="36"/>
              <w:rFonts w:hint="eastAsia" w:ascii="方正小标宋简体"/>
              <w:spacing w:val="-6"/>
            </w:rPr>
            <w:t>第九篇</w:t>
          </w:r>
          <w:r>
            <w:rPr>
              <w:rStyle w:val="36"/>
              <w:rFonts w:hint="eastAsia"/>
              <w:spacing w:val="-6"/>
            </w:rPr>
            <w:t xml:space="preserve"> 积极提升文化软实力，建设高水平文化旅游名城</w:t>
          </w:r>
          <w:r>
            <w:rPr>
              <w:rFonts w:hint="eastAsia"/>
            </w:rPr>
            <w:tab/>
          </w:r>
          <w:r>
            <w:rPr>
              <w:rFonts w:hint="eastAsia"/>
            </w:rPr>
            <w:fldChar w:fldCharType="begin"/>
          </w:r>
          <w:r>
            <w:rPr>
              <w:rFonts w:hint="eastAsia"/>
            </w:rPr>
            <w:instrText xml:space="preserve"> </w:instrText>
          </w:r>
          <w:r>
            <w:instrText xml:space="preserve">PAGEREF _Toc232094412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4A58B6B5">
          <w:pPr>
            <w:pStyle w:val="25"/>
            <w:ind w:firstLine="640"/>
            <w:rPr>
              <w:rFonts w:hint="eastAsia" w:asciiTheme="minorHAnsi" w:hAnsiTheme="minorHAnsi" w:eastAsiaTheme="minorEastAsia"/>
              <w:sz w:val="22"/>
              <w:szCs w:val="24"/>
            </w:rPr>
          </w:pPr>
          <w:r>
            <w:fldChar w:fldCharType="begin"/>
          </w:r>
          <w:r>
            <w:instrText xml:space="preserve"> HYPERLINK \l "_Toc232094413" </w:instrText>
          </w:r>
          <w:r>
            <w:fldChar w:fldCharType="separate"/>
          </w:r>
          <w:r>
            <w:rPr>
              <w:rStyle w:val="36"/>
              <w:rFonts w:hint="eastAsia"/>
            </w:rPr>
            <w:t>第二十七章 着力打造城市文明典范</w:t>
          </w:r>
          <w:r>
            <w:rPr>
              <w:rFonts w:hint="eastAsia"/>
            </w:rPr>
            <w:tab/>
          </w:r>
          <w:r>
            <w:rPr>
              <w:rFonts w:hint="eastAsia"/>
            </w:rPr>
            <w:fldChar w:fldCharType="begin"/>
          </w:r>
          <w:r>
            <w:rPr>
              <w:rFonts w:hint="eastAsia"/>
            </w:rPr>
            <w:instrText xml:space="preserve"> </w:instrText>
          </w:r>
          <w:r>
            <w:instrText xml:space="preserve">PAGEREF _Toc232094413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4866290D">
          <w:pPr>
            <w:pStyle w:val="25"/>
            <w:ind w:firstLine="640"/>
            <w:rPr>
              <w:rFonts w:hint="eastAsia" w:asciiTheme="minorHAnsi" w:hAnsiTheme="minorHAnsi" w:eastAsiaTheme="minorEastAsia"/>
              <w:sz w:val="22"/>
              <w:szCs w:val="24"/>
            </w:rPr>
          </w:pPr>
          <w:r>
            <w:fldChar w:fldCharType="begin"/>
          </w:r>
          <w:r>
            <w:instrText xml:space="preserve"> HYPERLINK \l "_Toc232094414" </w:instrText>
          </w:r>
          <w:r>
            <w:fldChar w:fldCharType="separate"/>
          </w:r>
          <w:r>
            <w:rPr>
              <w:rStyle w:val="36"/>
              <w:rFonts w:hint="eastAsia"/>
            </w:rPr>
            <w:t>第二十八章 全力答好两道“融合命题”永州答卷</w:t>
          </w:r>
          <w:r>
            <w:rPr>
              <w:rFonts w:hint="eastAsia"/>
            </w:rPr>
            <w:tab/>
          </w:r>
          <w:r>
            <w:rPr>
              <w:rFonts w:hint="eastAsia"/>
            </w:rPr>
            <w:fldChar w:fldCharType="begin"/>
          </w:r>
          <w:r>
            <w:rPr>
              <w:rFonts w:hint="eastAsia"/>
            </w:rPr>
            <w:instrText xml:space="preserve"> </w:instrText>
          </w:r>
          <w:r>
            <w:instrText xml:space="preserve">PAGEREF _Toc232094414 \h</w:instrText>
          </w:r>
          <w:r>
            <w:rPr>
              <w:rFonts w:hint="eastAsia"/>
            </w:rPr>
            <w:instrText xml:space="preserve"> </w:instrText>
          </w:r>
          <w:r>
            <w:rPr>
              <w:rFonts w:hint="eastAsia"/>
            </w:rPr>
            <w:fldChar w:fldCharType="separate"/>
          </w:r>
          <w:r>
            <w:t>96</w:t>
          </w:r>
          <w:r>
            <w:rPr>
              <w:rFonts w:hint="eastAsia"/>
            </w:rPr>
            <w:fldChar w:fldCharType="end"/>
          </w:r>
          <w:r>
            <w:rPr>
              <w:rFonts w:hint="eastAsia"/>
            </w:rPr>
            <w:fldChar w:fldCharType="end"/>
          </w:r>
        </w:p>
        <w:p w14:paraId="1241B5C3">
          <w:pPr>
            <w:pStyle w:val="25"/>
            <w:ind w:firstLine="640"/>
            <w:rPr>
              <w:rFonts w:hint="eastAsia" w:asciiTheme="minorHAnsi" w:hAnsiTheme="minorHAnsi" w:eastAsiaTheme="minorEastAsia"/>
              <w:sz w:val="22"/>
              <w:szCs w:val="24"/>
            </w:rPr>
          </w:pPr>
          <w:r>
            <w:fldChar w:fldCharType="begin"/>
          </w:r>
          <w:r>
            <w:instrText xml:space="preserve"> HYPERLINK \l "_Toc232094415" </w:instrText>
          </w:r>
          <w:r>
            <w:fldChar w:fldCharType="separate"/>
          </w:r>
          <w:r>
            <w:rPr>
              <w:rStyle w:val="36"/>
              <w:rFonts w:hint="eastAsia"/>
            </w:rPr>
            <w:t>第二十九章 推进公共文化事业发展</w:t>
          </w:r>
          <w:r>
            <w:rPr>
              <w:rFonts w:hint="eastAsia"/>
            </w:rPr>
            <w:tab/>
          </w:r>
          <w:r>
            <w:rPr>
              <w:rFonts w:hint="eastAsia"/>
            </w:rPr>
            <w:fldChar w:fldCharType="begin"/>
          </w:r>
          <w:r>
            <w:rPr>
              <w:rFonts w:hint="eastAsia"/>
            </w:rPr>
            <w:instrText xml:space="preserve"> </w:instrText>
          </w:r>
          <w:r>
            <w:instrText xml:space="preserve">PAGEREF _Toc232094415 \h</w:instrText>
          </w:r>
          <w:r>
            <w:rPr>
              <w:rFonts w:hint="eastAsia"/>
            </w:rPr>
            <w:instrText xml:space="preserve"> </w:instrText>
          </w:r>
          <w:r>
            <w:rPr>
              <w:rFonts w:hint="eastAsia"/>
            </w:rPr>
            <w:fldChar w:fldCharType="separate"/>
          </w:r>
          <w:r>
            <w:t>99</w:t>
          </w:r>
          <w:r>
            <w:rPr>
              <w:rFonts w:hint="eastAsia"/>
            </w:rPr>
            <w:fldChar w:fldCharType="end"/>
          </w:r>
          <w:r>
            <w:rPr>
              <w:rFonts w:hint="eastAsia"/>
            </w:rPr>
            <w:fldChar w:fldCharType="end"/>
          </w:r>
        </w:p>
        <w:p w14:paraId="7DE6ABBD">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"_Toc232094416" </w:instrText>
          </w:r>
          <w:r>
            <w:fldChar w:fldCharType="separate"/>
          </w:r>
          <w:r>
            <w:rPr>
              <w:rStyle w:val="36"/>
              <w:rFonts w:hint="eastAsia" w:ascii="方正小标宋简体"/>
              <w:spacing w:val="-6"/>
            </w:rPr>
            <w:t>第十篇</w:t>
          </w:r>
          <w:r>
            <w:rPr>
              <w:rStyle w:val="36"/>
              <w:rFonts w:hint="eastAsia"/>
              <w:spacing w:val="-6"/>
            </w:rPr>
            <w:t xml:space="preserve"> 聚焦群众急难愁盼，不断增进民生福祉</w:t>
          </w:r>
          <w:r>
            <w:rPr>
              <w:rFonts w:hint="eastAsia"/>
            </w:rPr>
            <w:tab/>
          </w:r>
          <w:r>
            <w:rPr>
              <w:rFonts w:hint="eastAsia"/>
            </w:rPr>
            <w:fldChar w:fldCharType="begin"/>
          </w:r>
          <w:r>
            <w:rPr>
              <w:rFonts w:hint="eastAsia"/>
            </w:rPr>
            <w:instrText xml:space="preserve"> </w:instrText>
          </w:r>
          <w:r>
            <w:instrText xml:space="preserve">PAGEREF _Toc232094416 \h</w:instrText>
          </w:r>
          <w:r>
            <w:rPr>
              <w:rFonts w:hint="eastAsia"/>
            </w:rPr>
            <w:instrText xml:space="preserve"> </w:instrText>
          </w:r>
          <w:r>
            <w:rPr>
              <w:rFonts w:hint="eastAsia"/>
            </w:rPr>
            <w:fldChar w:fldCharType="separate"/>
          </w:r>
          <w:r>
            <w:t>102</w:t>
          </w:r>
          <w:r>
            <w:rPr>
              <w:rFonts w:hint="eastAsia"/>
            </w:rPr>
            <w:fldChar w:fldCharType="end"/>
          </w:r>
          <w:r>
            <w:rPr>
              <w:rFonts w:hint="eastAsia"/>
            </w:rPr>
            <w:fldChar w:fldCharType="end"/>
          </w:r>
        </w:p>
        <w:p w14:paraId="155770D1">
          <w:pPr>
            <w:pStyle w:val="25"/>
            <w:ind w:firstLine="640"/>
            <w:rPr>
              <w:rFonts w:hint="eastAsia" w:asciiTheme="minorHAnsi" w:hAnsiTheme="minorHAnsi" w:eastAsiaTheme="minorEastAsia"/>
              <w:sz w:val="22"/>
              <w:szCs w:val="24"/>
            </w:rPr>
          </w:pPr>
          <w:r>
            <w:fldChar w:fldCharType="begin"/>
          </w:r>
          <w:r>
            <w:instrText xml:space="preserve"> HYPERLINK \l "_Toc232094417" </w:instrText>
          </w:r>
          <w:r>
            <w:fldChar w:fldCharType="separate"/>
          </w:r>
          <w:r>
            <w:rPr>
              <w:rStyle w:val="36"/>
              <w:rFonts w:hint="eastAsia"/>
            </w:rPr>
            <w:t>第三十章 促进高质量充分就业</w:t>
          </w:r>
          <w:r>
            <w:rPr>
              <w:rFonts w:hint="eastAsia"/>
            </w:rPr>
            <w:tab/>
          </w:r>
          <w:r>
            <w:rPr>
              <w:rFonts w:hint="eastAsia"/>
            </w:rPr>
            <w:fldChar w:fldCharType="begin"/>
          </w:r>
          <w:r>
            <w:rPr>
              <w:rFonts w:hint="eastAsia"/>
            </w:rPr>
            <w:instrText xml:space="preserve"> </w:instrText>
          </w:r>
          <w:r>
            <w:instrText xml:space="preserve">PAGEREF _Toc232094417 \h</w:instrText>
          </w:r>
          <w:r>
            <w:rPr>
              <w:rFonts w:hint="eastAsia"/>
            </w:rPr>
            <w:instrText xml:space="preserve"> </w:instrText>
          </w:r>
          <w:r>
            <w:rPr>
              <w:rFonts w:hint="eastAsia"/>
            </w:rPr>
            <w:fldChar w:fldCharType="separate"/>
          </w:r>
          <w:r>
            <w:t>102</w:t>
          </w:r>
          <w:r>
            <w:rPr>
              <w:rFonts w:hint="eastAsia"/>
            </w:rPr>
            <w:fldChar w:fldCharType="end"/>
          </w:r>
          <w:r>
            <w:rPr>
              <w:rFonts w:hint="eastAsia"/>
            </w:rPr>
            <w:fldChar w:fldCharType="end"/>
          </w:r>
        </w:p>
        <w:p w14:paraId="568FBED7">
          <w:pPr>
            <w:pStyle w:val="25"/>
            <w:ind w:firstLine="640"/>
            <w:rPr>
              <w:rFonts w:hint="eastAsia" w:asciiTheme="minorHAnsi" w:hAnsiTheme="minorHAnsi" w:eastAsiaTheme="minorEastAsia"/>
              <w:sz w:val="22"/>
              <w:szCs w:val="24"/>
            </w:rPr>
          </w:pPr>
          <w:r>
            <w:fldChar w:fldCharType="begin"/>
          </w:r>
          <w:r>
            <w:instrText xml:space="preserve"> HYPERLINK \l "_Toc232094418" </w:instrText>
          </w:r>
          <w:r>
            <w:fldChar w:fldCharType="separate"/>
          </w:r>
          <w:r>
            <w:rPr>
              <w:rStyle w:val="36"/>
              <w:rFonts w:hint="eastAsia"/>
              <w:lang w:val="en"/>
            </w:rPr>
            <w:t>第三十一章</w:t>
          </w:r>
          <w:r>
            <w:rPr>
              <w:rStyle w:val="36"/>
              <w:rFonts w:hint="eastAsia"/>
            </w:rPr>
            <w:t xml:space="preserve"> 推动教育优质均衡发展</w:t>
          </w:r>
          <w:r>
            <w:rPr>
              <w:rFonts w:hint="eastAsia"/>
            </w:rPr>
            <w:tab/>
          </w:r>
          <w:r>
            <w:rPr>
              <w:rFonts w:hint="eastAsia"/>
            </w:rPr>
            <w:fldChar w:fldCharType="begin"/>
          </w:r>
          <w:r>
            <w:rPr>
              <w:rFonts w:hint="eastAsia"/>
            </w:rPr>
            <w:instrText xml:space="preserve"> </w:instrText>
          </w:r>
          <w:r>
            <w:instrText xml:space="preserve">PAGEREF _Toc232094418 \h</w:instrText>
          </w:r>
          <w:r>
            <w:rPr>
              <w:rFonts w:hint="eastAsia"/>
            </w:rPr>
            <w:instrText xml:space="preserve"> </w:instrText>
          </w:r>
          <w:r>
            <w:rPr>
              <w:rFonts w:hint="eastAsia"/>
            </w:rPr>
            <w:fldChar w:fldCharType="separate"/>
          </w:r>
          <w:r>
            <w:t>104</w:t>
          </w:r>
          <w:r>
            <w:rPr>
              <w:rFonts w:hint="eastAsia"/>
            </w:rPr>
            <w:fldChar w:fldCharType="end"/>
          </w:r>
          <w:r>
            <w:rPr>
              <w:rFonts w:hint="eastAsia"/>
            </w:rPr>
            <w:fldChar w:fldCharType="end"/>
          </w:r>
        </w:p>
        <w:p w14:paraId="639931CB">
          <w:pPr>
            <w:pStyle w:val="25"/>
            <w:ind w:firstLine="640"/>
            <w:rPr>
              <w:rFonts w:hint="eastAsia" w:asciiTheme="minorHAnsi" w:hAnsiTheme="minorHAnsi" w:eastAsiaTheme="minorEastAsia"/>
              <w:sz w:val="22"/>
              <w:szCs w:val="24"/>
            </w:rPr>
          </w:pPr>
          <w:r>
            <w:fldChar w:fldCharType="begin"/>
          </w:r>
          <w:r>
            <w:instrText xml:space="preserve"> HYPERLINK \l "_Toc232094419" </w:instrText>
          </w:r>
          <w:r>
            <w:fldChar w:fldCharType="separate"/>
          </w:r>
          <w:r>
            <w:rPr>
              <w:rStyle w:val="36"/>
              <w:rFonts w:hint="eastAsia"/>
            </w:rPr>
            <w:t>第三十二章 深入推进健康永州建设</w:t>
          </w:r>
          <w:r>
            <w:rPr>
              <w:rFonts w:hint="eastAsia"/>
            </w:rPr>
            <w:tab/>
          </w:r>
          <w:r>
            <w:rPr>
              <w:rFonts w:hint="eastAsia"/>
            </w:rPr>
            <w:fldChar w:fldCharType="begin"/>
          </w:r>
          <w:r>
            <w:rPr>
              <w:rFonts w:hint="eastAsia"/>
            </w:rPr>
            <w:instrText xml:space="preserve"> </w:instrText>
          </w:r>
          <w:r>
            <w:instrText xml:space="preserve">PAGEREF _Toc232094419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071823F9">
          <w:pPr>
            <w:pStyle w:val="25"/>
            <w:ind w:firstLine="640"/>
            <w:rPr>
              <w:rFonts w:hint="eastAsia" w:asciiTheme="minorHAnsi" w:hAnsiTheme="minorHAnsi" w:eastAsiaTheme="minorEastAsia"/>
              <w:sz w:val="22"/>
              <w:szCs w:val="24"/>
            </w:rPr>
          </w:pPr>
          <w:r>
            <w:fldChar w:fldCharType="begin"/>
          </w:r>
          <w:r>
            <w:instrText xml:space="preserve"> HYPERLINK \l "_Toc232094420" </w:instrText>
          </w:r>
          <w:r>
            <w:fldChar w:fldCharType="separate"/>
          </w:r>
          <w:r>
            <w:rPr>
              <w:rStyle w:val="36"/>
              <w:rFonts w:hint="eastAsia"/>
            </w:rPr>
            <w:t>第三十三章 健全基本公共服务体系</w:t>
          </w:r>
          <w:r>
            <w:rPr>
              <w:rFonts w:hint="eastAsia"/>
            </w:rPr>
            <w:tab/>
          </w:r>
          <w:r>
            <w:rPr>
              <w:rFonts w:hint="eastAsia"/>
            </w:rPr>
            <w:fldChar w:fldCharType="begin"/>
          </w:r>
          <w:r>
            <w:rPr>
              <w:rFonts w:hint="eastAsia"/>
            </w:rPr>
            <w:instrText xml:space="preserve"> </w:instrText>
          </w:r>
          <w:r>
            <w:instrText xml:space="preserve">PAGEREF _Toc232094420 \h</w:instrText>
          </w:r>
          <w:r>
            <w:rPr>
              <w:rFonts w:hint="eastAsia"/>
            </w:rPr>
            <w:instrText xml:space="preserve"> </w:instrText>
          </w:r>
          <w:r>
            <w:rPr>
              <w:rFonts w:hint="eastAsia"/>
            </w:rPr>
            <w:fldChar w:fldCharType="separate"/>
          </w:r>
          <w:r>
            <w:t>112</w:t>
          </w:r>
          <w:r>
            <w:rPr>
              <w:rFonts w:hint="eastAsia"/>
            </w:rPr>
            <w:fldChar w:fldCharType="end"/>
          </w:r>
          <w:r>
            <w:rPr>
              <w:rFonts w:hint="eastAsia"/>
            </w:rPr>
            <w:fldChar w:fldCharType="end"/>
          </w:r>
        </w:p>
        <w:p w14:paraId="4428B829">
          <w:pPr>
            <w:pStyle w:val="25"/>
            <w:ind w:firstLine="640"/>
            <w:rPr>
              <w:rFonts w:hint="eastAsia" w:asciiTheme="minorHAnsi" w:hAnsiTheme="minorHAnsi" w:eastAsiaTheme="minorEastAsia"/>
              <w:sz w:val="22"/>
              <w:szCs w:val="24"/>
            </w:rPr>
          </w:pPr>
          <w:r>
            <w:fldChar w:fldCharType="begin"/>
          </w:r>
          <w:r>
            <w:instrText xml:space="preserve"> HYPERLINK \l "_Toc232094421" </w:instrText>
          </w:r>
          <w:r>
            <w:fldChar w:fldCharType="separate"/>
          </w:r>
          <w:r>
            <w:rPr>
              <w:rStyle w:val="36"/>
              <w:rFonts w:hint="eastAsia"/>
            </w:rPr>
            <w:t>第三十四章 健全多层次社会保障体系</w:t>
          </w:r>
          <w:r>
            <w:rPr>
              <w:rFonts w:hint="eastAsia"/>
            </w:rPr>
            <w:tab/>
          </w:r>
          <w:r>
            <w:rPr>
              <w:rFonts w:hint="eastAsia"/>
            </w:rPr>
            <w:fldChar w:fldCharType="begin"/>
          </w:r>
          <w:r>
            <w:rPr>
              <w:rFonts w:hint="eastAsia"/>
            </w:rPr>
            <w:instrText xml:space="preserve"> </w:instrText>
          </w:r>
          <w:r>
            <w:instrText xml:space="preserve">PAGEREF _Toc232094421 \h</w:instrText>
          </w:r>
          <w:r>
            <w:rPr>
              <w:rFonts w:hint="eastAsia"/>
            </w:rPr>
            <w:instrText xml:space="preserve"> </w:instrText>
          </w:r>
          <w:r>
            <w:rPr>
              <w:rFonts w:hint="eastAsia"/>
            </w:rPr>
            <w:fldChar w:fldCharType="separate"/>
          </w:r>
          <w:r>
            <w:t>114</w:t>
          </w:r>
          <w:r>
            <w:rPr>
              <w:rFonts w:hint="eastAsia"/>
            </w:rPr>
            <w:fldChar w:fldCharType="end"/>
          </w:r>
          <w:r>
            <w:rPr>
              <w:rFonts w:hint="eastAsia"/>
            </w:rPr>
            <w:fldChar w:fldCharType="end"/>
          </w:r>
        </w:p>
        <w:p w14:paraId="692DD947">
          <w:pPr>
            <w:pStyle w:val="25"/>
            <w:ind w:firstLine="640"/>
            <w:rPr>
              <w:rFonts w:hint="eastAsia" w:asciiTheme="minorHAnsi" w:hAnsiTheme="minorHAnsi" w:eastAsiaTheme="minorEastAsia"/>
              <w:sz w:val="22"/>
              <w:szCs w:val="24"/>
            </w:rPr>
          </w:pPr>
          <w:r>
            <w:fldChar w:fldCharType="begin"/>
          </w:r>
          <w:r>
            <w:instrText xml:space="preserve"> HYPERLINK \l "_Toc232094422" </w:instrText>
          </w:r>
          <w:r>
            <w:fldChar w:fldCharType="separate"/>
          </w:r>
          <w:r>
            <w:rPr>
              <w:rStyle w:val="36"/>
              <w:rFonts w:hint="eastAsia"/>
            </w:rPr>
            <w:t>第三十五章 推动人口高质量发展</w:t>
          </w:r>
          <w:r>
            <w:rPr>
              <w:rFonts w:hint="eastAsia"/>
            </w:rPr>
            <w:tab/>
          </w:r>
          <w:r>
            <w:rPr>
              <w:rFonts w:hint="eastAsia"/>
            </w:rPr>
            <w:fldChar w:fldCharType="begin"/>
          </w:r>
          <w:r>
            <w:rPr>
              <w:rFonts w:hint="eastAsia"/>
            </w:rPr>
            <w:instrText xml:space="preserve"> </w:instrText>
          </w:r>
          <w:r>
            <w:instrText xml:space="preserve">PAGEREF _Toc232094422 \h</w:instrText>
          </w:r>
          <w:r>
            <w:rPr>
              <w:rFonts w:hint="eastAsia"/>
            </w:rPr>
            <w:instrText xml:space="preserve"> </w:instrText>
          </w:r>
          <w:r>
            <w:rPr>
              <w:rFonts w:hint="eastAsia"/>
            </w:rPr>
            <w:fldChar w:fldCharType="separate"/>
          </w:r>
          <w:r>
            <w:t>116</w:t>
          </w:r>
          <w:r>
            <w:rPr>
              <w:rFonts w:hint="eastAsia"/>
            </w:rPr>
            <w:fldChar w:fldCharType="end"/>
          </w:r>
          <w:r>
            <w:rPr>
              <w:rFonts w:hint="eastAsia"/>
            </w:rPr>
            <w:fldChar w:fldCharType="end"/>
          </w:r>
        </w:p>
        <w:p w14:paraId="1EF57793">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"_Toc232094423" </w:instrText>
          </w:r>
          <w:r>
            <w:fldChar w:fldCharType="separate"/>
          </w:r>
          <w:r>
            <w:rPr>
              <w:rStyle w:val="36"/>
              <w:rFonts w:hint="eastAsia" w:ascii="方正小标宋简体"/>
            </w:rPr>
            <w:t>第十一篇</w:t>
          </w:r>
          <w:r>
            <w:rPr>
              <w:rStyle w:val="36"/>
              <w:rFonts w:hint="eastAsia"/>
            </w:rPr>
            <w:t xml:space="preserve"> 以碳达峰碳中和为牵引，加快建设人与自然和谐共生的美丽永州</w:t>
          </w:r>
          <w:r>
            <w:rPr>
              <w:rFonts w:hint="eastAsia"/>
            </w:rPr>
            <w:tab/>
          </w:r>
          <w:r>
            <w:rPr>
              <w:rFonts w:hint="eastAsia"/>
            </w:rPr>
            <w:fldChar w:fldCharType="begin"/>
          </w:r>
          <w:r>
            <w:rPr>
              <w:rFonts w:hint="eastAsia"/>
            </w:rPr>
            <w:instrText xml:space="preserve"> </w:instrText>
          </w:r>
          <w:r>
            <w:instrText xml:space="preserve">PAGEREF _Toc232094423 \h</w:instrText>
          </w:r>
          <w:r>
            <w:rPr>
              <w:rFonts w:hint="eastAsia"/>
            </w:rPr>
            <w:instrText xml:space="preserve"> </w:instrText>
          </w:r>
          <w:r>
            <w:rPr>
              <w:rFonts w:hint="eastAsia"/>
            </w:rPr>
            <w:fldChar w:fldCharType="separate"/>
          </w:r>
          <w:r>
            <w:t>119</w:t>
          </w:r>
          <w:r>
            <w:rPr>
              <w:rFonts w:hint="eastAsia"/>
            </w:rPr>
            <w:fldChar w:fldCharType="end"/>
          </w:r>
          <w:r>
            <w:rPr>
              <w:rFonts w:hint="eastAsia"/>
            </w:rPr>
            <w:fldChar w:fldCharType="end"/>
          </w:r>
        </w:p>
        <w:p w14:paraId="49F902C4">
          <w:pPr>
            <w:pStyle w:val="25"/>
            <w:ind w:firstLine="640"/>
            <w:rPr>
              <w:rFonts w:hint="eastAsia" w:asciiTheme="minorHAnsi" w:hAnsiTheme="minorHAnsi" w:eastAsiaTheme="minorEastAsia"/>
              <w:sz w:val="22"/>
              <w:szCs w:val="24"/>
            </w:rPr>
          </w:pPr>
          <w:r>
            <w:fldChar w:fldCharType="begin"/>
          </w:r>
          <w:r>
            <w:instrText xml:space="preserve"> HYPERLINK \l "_Toc232094424" </w:instrText>
          </w:r>
          <w:r>
            <w:fldChar w:fldCharType="separate"/>
          </w:r>
          <w:r>
            <w:rPr>
              <w:rStyle w:val="36"/>
              <w:rFonts w:hint="eastAsia"/>
            </w:rPr>
            <w:t>第三十六章 促进生态环境品质提升</w:t>
          </w:r>
          <w:r>
            <w:rPr>
              <w:rFonts w:hint="eastAsia"/>
            </w:rPr>
            <w:tab/>
          </w:r>
          <w:r>
            <w:rPr>
              <w:rFonts w:hint="eastAsia"/>
            </w:rPr>
            <w:fldChar w:fldCharType="begin"/>
          </w:r>
          <w:r>
            <w:rPr>
              <w:rFonts w:hint="eastAsia"/>
            </w:rPr>
            <w:instrText xml:space="preserve"> </w:instrText>
          </w:r>
          <w:r>
            <w:instrText xml:space="preserve">PAGEREF _Toc232094424 \h</w:instrText>
          </w:r>
          <w:r>
            <w:rPr>
              <w:rFonts w:hint="eastAsia"/>
            </w:rPr>
            <w:instrText xml:space="preserve"> </w:instrText>
          </w:r>
          <w:r>
            <w:rPr>
              <w:rFonts w:hint="eastAsia"/>
            </w:rPr>
            <w:fldChar w:fldCharType="separate"/>
          </w:r>
          <w:r>
            <w:t>119</w:t>
          </w:r>
          <w:r>
            <w:rPr>
              <w:rFonts w:hint="eastAsia"/>
            </w:rPr>
            <w:fldChar w:fldCharType="end"/>
          </w:r>
          <w:r>
            <w:rPr>
              <w:rFonts w:hint="eastAsia"/>
            </w:rPr>
            <w:fldChar w:fldCharType="end"/>
          </w:r>
        </w:p>
        <w:p w14:paraId="70EBF42A">
          <w:pPr>
            <w:pStyle w:val="25"/>
            <w:ind w:firstLine="640"/>
            <w:rPr>
              <w:rFonts w:hint="eastAsia" w:asciiTheme="minorHAnsi" w:hAnsiTheme="minorHAnsi" w:eastAsiaTheme="minorEastAsia"/>
              <w:sz w:val="22"/>
              <w:szCs w:val="24"/>
            </w:rPr>
          </w:pPr>
          <w:r>
            <w:fldChar w:fldCharType="begin"/>
          </w:r>
          <w:r>
            <w:instrText xml:space="preserve"> HYPERLINK \l "_Toc232094425" </w:instrText>
          </w:r>
          <w:r>
            <w:fldChar w:fldCharType="separate"/>
          </w:r>
          <w:r>
            <w:rPr>
              <w:rStyle w:val="36"/>
              <w:rFonts w:hint="eastAsia"/>
            </w:rPr>
            <w:t>第三十七章 深入推进生态系统优化</w:t>
          </w:r>
          <w:r>
            <w:rPr>
              <w:rFonts w:hint="eastAsia"/>
            </w:rPr>
            <w:tab/>
          </w:r>
          <w:r>
            <w:rPr>
              <w:rFonts w:hint="eastAsia"/>
            </w:rPr>
            <w:fldChar w:fldCharType="begin"/>
          </w:r>
          <w:r>
            <w:rPr>
              <w:rFonts w:hint="eastAsia"/>
            </w:rPr>
            <w:instrText xml:space="preserve"> </w:instrText>
          </w:r>
          <w:r>
            <w:instrText xml:space="preserve">PAGEREF _Toc232094425 \h</w:instrText>
          </w:r>
          <w:r>
            <w:rPr>
              <w:rFonts w:hint="eastAsia"/>
            </w:rPr>
            <w:instrText xml:space="preserve"> </w:instrText>
          </w:r>
          <w:r>
            <w:rPr>
              <w:rFonts w:hint="eastAsia"/>
            </w:rPr>
            <w:fldChar w:fldCharType="separate"/>
          </w:r>
          <w:r>
            <w:t>122</w:t>
          </w:r>
          <w:r>
            <w:rPr>
              <w:rFonts w:hint="eastAsia"/>
            </w:rPr>
            <w:fldChar w:fldCharType="end"/>
          </w:r>
          <w:r>
            <w:rPr>
              <w:rFonts w:hint="eastAsia"/>
            </w:rPr>
            <w:fldChar w:fldCharType="end"/>
          </w:r>
        </w:p>
        <w:p w14:paraId="2702DCBB">
          <w:pPr>
            <w:pStyle w:val="25"/>
            <w:ind w:firstLine="640"/>
            <w:rPr>
              <w:rFonts w:hint="eastAsia" w:asciiTheme="minorHAnsi" w:hAnsiTheme="minorHAnsi" w:eastAsiaTheme="minorEastAsia"/>
              <w:sz w:val="22"/>
              <w:szCs w:val="24"/>
            </w:rPr>
          </w:pPr>
          <w:r>
            <w:fldChar w:fldCharType="begin"/>
          </w:r>
          <w:r>
            <w:instrText xml:space="preserve"> HYPERLINK \l "_Toc232094426" </w:instrText>
          </w:r>
          <w:r>
            <w:fldChar w:fldCharType="separate"/>
          </w:r>
          <w:r>
            <w:rPr>
              <w:rStyle w:val="36"/>
              <w:rFonts w:hint="eastAsia"/>
            </w:rPr>
            <w:t>第三十八章 积极稳妥推进和实现碳达峰</w:t>
          </w:r>
          <w:r>
            <w:rPr>
              <w:rFonts w:hint="eastAsia"/>
            </w:rPr>
            <w:tab/>
          </w:r>
          <w:r>
            <w:rPr>
              <w:rFonts w:hint="eastAsia"/>
            </w:rPr>
            <w:fldChar w:fldCharType="begin"/>
          </w:r>
          <w:r>
            <w:rPr>
              <w:rFonts w:hint="eastAsia"/>
            </w:rPr>
            <w:instrText xml:space="preserve"> </w:instrText>
          </w:r>
          <w:r>
            <w:instrText xml:space="preserve">PAGEREF _Toc232094426 \h</w:instrText>
          </w:r>
          <w:r>
            <w:rPr>
              <w:rFonts w:hint="eastAsia"/>
            </w:rPr>
            <w:instrText xml:space="preserve"> </w:instrText>
          </w:r>
          <w:r>
            <w:rPr>
              <w:rFonts w:hint="eastAsia"/>
            </w:rPr>
            <w:fldChar w:fldCharType="separate"/>
          </w:r>
          <w:r>
            <w:t>127</w:t>
          </w:r>
          <w:r>
            <w:rPr>
              <w:rFonts w:hint="eastAsia"/>
            </w:rPr>
            <w:fldChar w:fldCharType="end"/>
          </w:r>
          <w:r>
            <w:rPr>
              <w:rFonts w:hint="eastAsia"/>
            </w:rPr>
            <w:fldChar w:fldCharType="end"/>
          </w:r>
        </w:p>
        <w:p w14:paraId="33DAB3F2">
          <w:pPr>
            <w:pStyle w:val="25"/>
            <w:ind w:firstLine="640"/>
            <w:rPr>
              <w:rFonts w:hint="eastAsia" w:asciiTheme="minorHAnsi" w:hAnsiTheme="minorHAnsi" w:eastAsiaTheme="minorEastAsia"/>
              <w:sz w:val="22"/>
              <w:szCs w:val="24"/>
            </w:rPr>
          </w:pPr>
          <w:r>
            <w:fldChar w:fldCharType="begin"/>
          </w:r>
          <w:r>
            <w:instrText xml:space="preserve"> HYPERLINK \l "_Toc232094427" </w:instrText>
          </w:r>
          <w:r>
            <w:fldChar w:fldCharType="separate"/>
          </w:r>
          <w:r>
            <w:rPr>
              <w:rStyle w:val="36"/>
              <w:rFonts w:hint="eastAsia"/>
            </w:rPr>
            <w:t>第三十九章 推行绿色生产生活方式</w:t>
          </w:r>
          <w:r>
            <w:rPr>
              <w:rFonts w:hint="eastAsia"/>
            </w:rPr>
            <w:tab/>
          </w:r>
          <w:r>
            <w:rPr>
              <w:rFonts w:hint="eastAsia"/>
            </w:rPr>
            <w:fldChar w:fldCharType="begin"/>
          </w:r>
          <w:r>
            <w:rPr>
              <w:rFonts w:hint="eastAsia"/>
            </w:rPr>
            <w:instrText xml:space="preserve"> </w:instrText>
          </w:r>
          <w:r>
            <w:instrText xml:space="preserve">PAGEREF _Toc232094427 \h</w:instrText>
          </w:r>
          <w:r>
            <w:rPr>
              <w:rFonts w:hint="eastAsia"/>
            </w:rPr>
            <w:instrText xml:space="preserve"> </w:instrText>
          </w:r>
          <w:r>
            <w:rPr>
              <w:rFonts w:hint="eastAsia"/>
            </w:rPr>
            <w:fldChar w:fldCharType="separate"/>
          </w:r>
          <w:r>
            <w:t>128</w:t>
          </w:r>
          <w:r>
            <w:rPr>
              <w:rFonts w:hint="eastAsia"/>
            </w:rPr>
            <w:fldChar w:fldCharType="end"/>
          </w:r>
          <w:r>
            <w:rPr>
              <w:rFonts w:hint="eastAsia"/>
            </w:rPr>
            <w:fldChar w:fldCharType="end"/>
          </w:r>
        </w:p>
        <w:p w14:paraId="683625BA">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"_Toc232094428" </w:instrText>
          </w:r>
          <w:r>
            <w:fldChar w:fldCharType="separate"/>
          </w:r>
          <w:r>
            <w:rPr>
              <w:rStyle w:val="36"/>
              <w:rFonts w:hint="eastAsia" w:ascii="方正小标宋简体"/>
              <w:spacing w:val="11"/>
            </w:rPr>
            <w:t>第十二篇</w:t>
          </w:r>
          <w:r>
            <w:rPr>
              <w:rStyle w:val="36"/>
              <w:rFonts w:hint="eastAsia"/>
              <w:spacing w:val="11"/>
            </w:rPr>
            <w:t xml:space="preserve"> 统筹推进法治安全与社会治理，打造区域平安善治高地</w:t>
          </w:r>
          <w:r>
            <w:rPr>
              <w:rFonts w:hint="eastAsia"/>
            </w:rPr>
            <w:tab/>
          </w:r>
          <w:r>
            <w:rPr>
              <w:rFonts w:hint="eastAsia"/>
            </w:rPr>
            <w:fldChar w:fldCharType="begin"/>
          </w:r>
          <w:r>
            <w:rPr>
              <w:rFonts w:hint="eastAsia"/>
            </w:rPr>
            <w:instrText xml:space="preserve"> </w:instrText>
          </w:r>
          <w:r>
            <w:instrText xml:space="preserve">PAGEREF _Toc232094428 \h</w:instrText>
          </w:r>
          <w:r>
            <w:rPr>
              <w:rFonts w:hint="eastAsia"/>
            </w:rPr>
            <w:instrText xml:space="preserve"> </w:instrText>
          </w:r>
          <w:r>
            <w:rPr>
              <w:rFonts w:hint="eastAsia"/>
            </w:rPr>
            <w:fldChar w:fldCharType="separate"/>
          </w:r>
          <w:r>
            <w:t>131</w:t>
          </w:r>
          <w:r>
            <w:rPr>
              <w:rFonts w:hint="eastAsia"/>
            </w:rPr>
            <w:fldChar w:fldCharType="end"/>
          </w:r>
          <w:r>
            <w:rPr>
              <w:rFonts w:hint="eastAsia"/>
            </w:rPr>
            <w:fldChar w:fldCharType="end"/>
          </w:r>
        </w:p>
        <w:p w14:paraId="0052301C">
          <w:pPr>
            <w:pStyle w:val="25"/>
            <w:ind w:firstLine="640"/>
            <w:rPr>
              <w:rFonts w:hint="eastAsia" w:asciiTheme="minorHAnsi" w:hAnsiTheme="minorHAnsi" w:eastAsiaTheme="minorEastAsia"/>
              <w:sz w:val="22"/>
              <w:szCs w:val="24"/>
            </w:rPr>
          </w:pPr>
          <w:r>
            <w:fldChar w:fldCharType="begin"/>
          </w:r>
          <w:r>
            <w:instrText xml:space="preserve"> HYPERLINK \l "_Toc232094429" </w:instrText>
          </w:r>
          <w:r>
            <w:fldChar w:fldCharType="separate"/>
          </w:r>
          <w:r>
            <w:rPr>
              <w:rStyle w:val="36"/>
              <w:rFonts w:hint="eastAsia"/>
            </w:rPr>
            <w:t>第四十章 建设更高水平法治永州</w:t>
          </w:r>
          <w:r>
            <w:rPr>
              <w:rFonts w:hint="eastAsia"/>
            </w:rPr>
            <w:tab/>
          </w:r>
          <w:r>
            <w:rPr>
              <w:rFonts w:hint="eastAsia"/>
            </w:rPr>
            <w:fldChar w:fldCharType="begin"/>
          </w:r>
          <w:r>
            <w:rPr>
              <w:rFonts w:hint="eastAsia"/>
            </w:rPr>
            <w:instrText xml:space="preserve"> </w:instrText>
          </w:r>
          <w:r>
            <w:instrText xml:space="preserve">PAGEREF _Toc232094429 \h</w:instrText>
          </w:r>
          <w:r>
            <w:rPr>
              <w:rFonts w:hint="eastAsia"/>
            </w:rPr>
            <w:instrText xml:space="preserve"> </w:instrText>
          </w:r>
          <w:r>
            <w:rPr>
              <w:rFonts w:hint="eastAsia"/>
            </w:rPr>
            <w:fldChar w:fldCharType="separate"/>
          </w:r>
          <w:r>
            <w:t>131</w:t>
          </w:r>
          <w:r>
            <w:rPr>
              <w:rFonts w:hint="eastAsia"/>
            </w:rPr>
            <w:fldChar w:fldCharType="end"/>
          </w:r>
          <w:r>
            <w:rPr>
              <w:rFonts w:hint="eastAsia"/>
            </w:rPr>
            <w:fldChar w:fldCharType="end"/>
          </w:r>
        </w:p>
        <w:p w14:paraId="6C0C45FC">
          <w:pPr>
            <w:pStyle w:val="25"/>
            <w:ind w:firstLine="640"/>
            <w:rPr>
              <w:rFonts w:hint="eastAsia" w:asciiTheme="minorHAnsi" w:hAnsiTheme="minorHAnsi" w:eastAsiaTheme="minorEastAsia"/>
              <w:sz w:val="22"/>
              <w:szCs w:val="24"/>
            </w:rPr>
          </w:pPr>
          <w:r>
            <w:fldChar w:fldCharType="begin"/>
          </w:r>
          <w:r>
            <w:instrText xml:space="preserve"> HYPERLINK \l "_Toc232094430" </w:instrText>
          </w:r>
          <w:r>
            <w:fldChar w:fldCharType="separate"/>
          </w:r>
          <w:r>
            <w:rPr>
              <w:rStyle w:val="36"/>
              <w:rFonts w:hint="eastAsia"/>
            </w:rPr>
            <w:t>第四十一章 推进国家安全体系和安全能力现代化</w:t>
          </w:r>
          <w:r>
            <w:rPr>
              <w:rFonts w:hint="eastAsia"/>
            </w:rPr>
            <w:tab/>
          </w:r>
          <w:r>
            <w:rPr>
              <w:rFonts w:hint="eastAsia"/>
            </w:rPr>
            <w:fldChar w:fldCharType="begin"/>
          </w:r>
          <w:r>
            <w:rPr>
              <w:rFonts w:hint="eastAsia"/>
            </w:rPr>
            <w:instrText xml:space="preserve"> </w:instrText>
          </w:r>
          <w:r>
            <w:instrText xml:space="preserve">PAGEREF _Toc232094430 \h</w:instrText>
          </w:r>
          <w:r>
            <w:rPr>
              <w:rFonts w:hint="eastAsia"/>
            </w:rPr>
            <w:instrText xml:space="preserve"> </w:instrText>
          </w:r>
          <w:r>
            <w:rPr>
              <w:rFonts w:hint="eastAsia"/>
            </w:rPr>
            <w:fldChar w:fldCharType="separate"/>
          </w:r>
          <w:r>
            <w:t>135</w:t>
          </w:r>
          <w:r>
            <w:rPr>
              <w:rFonts w:hint="eastAsia"/>
            </w:rPr>
            <w:fldChar w:fldCharType="end"/>
          </w:r>
          <w:r>
            <w:rPr>
              <w:rFonts w:hint="eastAsia"/>
            </w:rPr>
            <w:fldChar w:fldCharType="end"/>
          </w:r>
        </w:p>
        <w:p w14:paraId="2DE5CE02">
          <w:pPr>
            <w:pStyle w:val="25"/>
            <w:ind w:firstLine="640"/>
            <w:rPr>
              <w:rFonts w:hint="eastAsia" w:asciiTheme="minorHAnsi" w:hAnsiTheme="minorHAnsi" w:eastAsiaTheme="minorEastAsia"/>
              <w:sz w:val="22"/>
              <w:szCs w:val="24"/>
            </w:rPr>
          </w:pPr>
          <w:r>
            <w:fldChar w:fldCharType="begin"/>
          </w:r>
          <w:r>
            <w:instrText xml:space="preserve"> HYPERLINK \l "_Toc232094431" </w:instrText>
          </w:r>
          <w:r>
            <w:fldChar w:fldCharType="separate"/>
          </w:r>
          <w:r>
            <w:rPr>
              <w:rStyle w:val="36"/>
              <w:rFonts w:hint="eastAsia"/>
            </w:rPr>
            <w:t>第四十二章 提升公共安全治理水平</w:t>
          </w:r>
          <w:r>
            <w:rPr>
              <w:rFonts w:hint="eastAsia"/>
            </w:rPr>
            <w:tab/>
          </w:r>
          <w:r>
            <w:rPr>
              <w:rFonts w:hint="eastAsia"/>
            </w:rPr>
            <w:fldChar w:fldCharType="begin"/>
          </w:r>
          <w:r>
            <w:rPr>
              <w:rFonts w:hint="eastAsia"/>
            </w:rPr>
            <w:instrText xml:space="preserve"> </w:instrText>
          </w:r>
          <w:r>
            <w:instrText xml:space="preserve">PAGEREF _Toc232094431 \h</w:instrText>
          </w:r>
          <w:r>
            <w:rPr>
              <w:rFonts w:hint="eastAsia"/>
            </w:rPr>
            <w:instrText xml:space="preserve"> </w:instrText>
          </w:r>
          <w:r>
            <w:rPr>
              <w:rFonts w:hint="eastAsia"/>
            </w:rPr>
            <w:fldChar w:fldCharType="separate"/>
          </w:r>
          <w:r>
            <w:t>136</w:t>
          </w:r>
          <w:r>
            <w:rPr>
              <w:rFonts w:hint="eastAsia"/>
            </w:rPr>
            <w:fldChar w:fldCharType="end"/>
          </w:r>
          <w:r>
            <w:rPr>
              <w:rFonts w:hint="eastAsia"/>
            </w:rPr>
            <w:fldChar w:fldCharType="end"/>
          </w:r>
        </w:p>
        <w:p w14:paraId="641CF585">
          <w:pPr>
            <w:pStyle w:val="25"/>
            <w:ind w:firstLine="640"/>
            <w:rPr>
              <w:rFonts w:hint="eastAsia" w:asciiTheme="minorHAnsi" w:hAnsiTheme="minorHAnsi" w:eastAsiaTheme="minorEastAsia"/>
              <w:sz w:val="22"/>
              <w:szCs w:val="24"/>
            </w:rPr>
          </w:pPr>
          <w:r>
            <w:fldChar w:fldCharType="begin"/>
          </w:r>
          <w:r>
            <w:instrText xml:space="preserve"> HYPERLINK \l "_Toc232094432" </w:instrText>
          </w:r>
          <w:r>
            <w:fldChar w:fldCharType="separate"/>
          </w:r>
          <w:r>
            <w:rPr>
              <w:rStyle w:val="36"/>
              <w:rFonts w:hint="eastAsia"/>
            </w:rPr>
            <w:t>第四十三章 健全社会治理体系</w:t>
          </w:r>
          <w:r>
            <w:rPr>
              <w:rFonts w:hint="eastAsia"/>
            </w:rPr>
            <w:tab/>
          </w:r>
          <w:r>
            <w:rPr>
              <w:rFonts w:hint="eastAsia"/>
            </w:rPr>
            <w:fldChar w:fldCharType="begin"/>
          </w:r>
          <w:r>
            <w:rPr>
              <w:rFonts w:hint="eastAsia"/>
            </w:rPr>
            <w:instrText xml:space="preserve"> </w:instrText>
          </w:r>
          <w:r>
            <w:instrText xml:space="preserve">PAGEREF _Toc232094432 \h</w:instrText>
          </w:r>
          <w:r>
            <w:rPr>
              <w:rFonts w:hint="eastAsia"/>
            </w:rPr>
            <w:instrText xml:space="preserve"> </w:instrText>
          </w:r>
          <w:r>
            <w:rPr>
              <w:rFonts w:hint="eastAsia"/>
            </w:rPr>
            <w:fldChar w:fldCharType="separate"/>
          </w:r>
          <w:r>
            <w:t>140</w:t>
          </w:r>
          <w:r>
            <w:rPr>
              <w:rFonts w:hint="eastAsia"/>
            </w:rPr>
            <w:fldChar w:fldCharType="end"/>
          </w:r>
          <w:r>
            <w:rPr>
              <w:rFonts w:hint="eastAsia"/>
            </w:rPr>
            <w:fldChar w:fldCharType="end"/>
          </w:r>
        </w:p>
        <w:p w14:paraId="4603E481">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"_Toc232094433" </w:instrText>
          </w:r>
          <w:r>
            <w:fldChar w:fldCharType="separate"/>
          </w:r>
          <w:r>
            <w:rPr>
              <w:rStyle w:val="36"/>
              <w:rFonts w:hint="eastAsia" w:ascii="方正小标宋简体"/>
            </w:rPr>
            <w:t>第十三篇</w:t>
          </w:r>
          <w:r>
            <w:rPr>
              <w:rStyle w:val="36"/>
              <w:rFonts w:hint="eastAsia"/>
            </w:rPr>
            <w:t xml:space="preserve"> 加强规划实施保障</w:t>
          </w:r>
          <w:r>
            <w:rPr>
              <w:rFonts w:hint="eastAsia"/>
            </w:rPr>
            <w:tab/>
          </w:r>
          <w:r>
            <w:rPr>
              <w:rFonts w:hint="eastAsia"/>
            </w:rPr>
            <w:fldChar w:fldCharType="begin"/>
          </w:r>
          <w:r>
            <w:rPr>
              <w:rFonts w:hint="eastAsia"/>
            </w:rPr>
            <w:instrText xml:space="preserve"> </w:instrText>
          </w:r>
          <w:r>
            <w:instrText xml:space="preserve">PAGEREF _Toc232094433 \h</w:instrText>
          </w:r>
          <w:r>
            <w:rPr>
              <w:rFonts w:hint="eastAsia"/>
            </w:rPr>
            <w:instrText xml:space="preserve"> </w:instrText>
          </w:r>
          <w:r>
            <w:rPr>
              <w:rFonts w:hint="eastAsia"/>
            </w:rPr>
            <w:fldChar w:fldCharType="separate"/>
          </w:r>
          <w:r>
            <w:t>143</w:t>
          </w:r>
          <w:r>
            <w:rPr>
              <w:rFonts w:hint="eastAsia"/>
            </w:rPr>
            <w:fldChar w:fldCharType="end"/>
          </w:r>
          <w:r>
            <w:rPr>
              <w:rFonts w:hint="eastAsia"/>
            </w:rPr>
            <w:fldChar w:fldCharType="end"/>
          </w:r>
        </w:p>
        <w:p w14:paraId="1E620600">
          <w:pPr>
            <w:pStyle w:val="25"/>
            <w:ind w:firstLine="640"/>
            <w:rPr>
              <w:rFonts w:hint="eastAsia" w:asciiTheme="minorHAnsi" w:hAnsiTheme="minorHAnsi" w:eastAsiaTheme="minorEastAsia"/>
              <w:sz w:val="22"/>
              <w:szCs w:val="24"/>
            </w:rPr>
          </w:pPr>
          <w:r>
            <w:fldChar w:fldCharType="begin"/>
          </w:r>
          <w:r>
            <w:instrText xml:space="preserve"> HYPERLINK \l "_Toc232094434" </w:instrText>
          </w:r>
          <w:r>
            <w:fldChar w:fldCharType="separate"/>
          </w:r>
          <w:r>
            <w:rPr>
              <w:rStyle w:val="36"/>
              <w:rFonts w:hint="eastAsia"/>
            </w:rPr>
            <w:t>第四十四章 广泛凝聚推进中国式现代化永州实践的磅礴力量</w:t>
          </w:r>
          <w:r>
            <w:rPr>
              <w:rFonts w:hint="eastAsia"/>
            </w:rPr>
            <w:tab/>
          </w:r>
          <w:r>
            <w:rPr>
              <w:rFonts w:hint="eastAsia"/>
            </w:rPr>
            <w:fldChar w:fldCharType="begin"/>
          </w:r>
          <w:r>
            <w:rPr>
              <w:rFonts w:hint="eastAsia"/>
            </w:rPr>
            <w:instrText xml:space="preserve"> </w:instrText>
          </w:r>
          <w:r>
            <w:instrText xml:space="preserve">PAGEREF _Toc232094434 \h</w:instrText>
          </w:r>
          <w:r>
            <w:rPr>
              <w:rFonts w:hint="eastAsia"/>
            </w:rPr>
            <w:instrText xml:space="preserve"> </w:instrText>
          </w:r>
          <w:r>
            <w:rPr>
              <w:rFonts w:hint="eastAsia"/>
            </w:rPr>
            <w:fldChar w:fldCharType="separate"/>
          </w:r>
          <w:r>
            <w:t>143</w:t>
          </w:r>
          <w:r>
            <w:rPr>
              <w:rFonts w:hint="eastAsia"/>
            </w:rPr>
            <w:fldChar w:fldCharType="end"/>
          </w:r>
          <w:r>
            <w:rPr>
              <w:rFonts w:hint="eastAsia"/>
            </w:rPr>
            <w:fldChar w:fldCharType="end"/>
          </w:r>
        </w:p>
        <w:p w14:paraId="318CFF60">
          <w:pPr>
            <w:pStyle w:val="25"/>
            <w:ind w:firstLine="640"/>
            <w:rPr>
              <w:rFonts w:hint="eastAsia" w:asciiTheme="minorHAnsi" w:hAnsiTheme="minorHAnsi" w:eastAsiaTheme="minorEastAsia"/>
              <w:sz w:val="22"/>
              <w:szCs w:val="24"/>
            </w:rPr>
          </w:pPr>
          <w:r>
            <w:fldChar w:fldCharType="begin"/>
          </w:r>
          <w:r>
            <w:instrText xml:space="preserve"> HYPERLINK \l "_Toc232094435" </w:instrText>
          </w:r>
          <w:r>
            <w:fldChar w:fldCharType="separate"/>
          </w:r>
          <w:r>
            <w:rPr>
              <w:rStyle w:val="36"/>
              <w:rFonts w:hint="eastAsia"/>
            </w:rPr>
            <w:t>第四十五章 完善规划实施机制</w:t>
          </w:r>
          <w:r>
            <w:rPr>
              <w:rFonts w:hint="eastAsia"/>
            </w:rPr>
            <w:tab/>
          </w:r>
          <w:r>
            <w:rPr>
              <w:rFonts w:hint="eastAsia"/>
            </w:rPr>
            <w:fldChar w:fldCharType="begin"/>
          </w:r>
          <w:r>
            <w:rPr>
              <w:rFonts w:hint="eastAsia"/>
            </w:rPr>
            <w:instrText xml:space="preserve"> </w:instrText>
          </w:r>
          <w:r>
            <w:instrText xml:space="preserve">PAGEREF _Toc232094435 \h</w:instrText>
          </w:r>
          <w:r>
            <w:rPr>
              <w:rFonts w:hint="eastAsia"/>
            </w:rPr>
            <w:instrText xml:space="preserve"> </w:instrText>
          </w:r>
          <w:r>
            <w:rPr>
              <w:rFonts w:hint="eastAsia"/>
            </w:rPr>
            <w:fldChar w:fldCharType="separate"/>
          </w:r>
          <w:r>
            <w:t>145</w:t>
          </w:r>
          <w:r>
            <w:rPr>
              <w:rFonts w:hint="eastAsia"/>
            </w:rPr>
            <w:fldChar w:fldCharType="end"/>
          </w:r>
          <w:r>
            <w:rPr>
              <w:rFonts w:hint="eastAsia"/>
            </w:rPr>
            <w:fldChar w:fldCharType="end"/>
          </w:r>
        </w:p>
        <w:p w14:paraId="092DC365">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"_Toc232094436" </w:instrText>
          </w:r>
          <w:r>
            <w:fldChar w:fldCharType="separate"/>
          </w:r>
          <w:r>
            <w:rPr>
              <w:rStyle w:val="36"/>
              <w:rFonts w:hint="eastAsia"/>
            </w:rPr>
            <w:t>名 词 解 释</w:t>
          </w:r>
          <w:r>
            <w:rPr>
              <w:rFonts w:hint="eastAsia"/>
            </w:rPr>
            <w:tab/>
          </w:r>
          <w:r>
            <w:rPr>
              <w:rFonts w:hint="eastAsia"/>
            </w:rPr>
            <w:fldChar w:fldCharType="begin"/>
          </w:r>
          <w:r>
            <w:rPr>
              <w:rFonts w:hint="eastAsia"/>
            </w:rPr>
            <w:instrText xml:space="preserve"> </w:instrText>
          </w:r>
          <w:r>
            <w:instrText xml:space="preserve">PAGEREF _Toc232094436 \h</w:instrText>
          </w:r>
          <w:r>
            <w:rPr>
              <w:rFonts w:hint="eastAsia"/>
            </w:rPr>
            <w:instrText xml:space="preserve"> </w:instrText>
          </w:r>
          <w:r>
            <w:rPr>
              <w:rFonts w:hint="eastAsia"/>
            </w:rPr>
            <w:fldChar w:fldCharType="separate"/>
          </w:r>
          <w:r>
            <w:t>148</w:t>
          </w:r>
          <w:r>
            <w:rPr>
              <w:rFonts w:hint="eastAsia"/>
            </w:rPr>
            <w:fldChar w:fldCharType="end"/>
          </w:r>
          <w:r>
            <w:rPr>
              <w:rFonts w:hint="eastAsia"/>
            </w:rPr>
            <w:fldChar w:fldCharType="end"/>
          </w:r>
        </w:p>
        <w:p w14:paraId="294CEA7D">
          <w:pPr>
            <w:spacing w:before="435" w:beforeLines="100" w:after="217" w:afterLines="50"/>
            <w:ind w:firstLine="640"/>
          </w:pPr>
          <w:r>
            <w:rPr>
              <w:rFonts w:eastAsia="黑体"/>
            </w:rPr>
            <w:fldChar w:fldCharType="end"/>
          </w:r>
        </w:p>
      </w:sdtContent>
    </w:sdt>
    <w:p w14:paraId="06CC81E6">
      <w:pPr>
        <w:widowControl/>
        <w:spacing w:line="240" w:lineRule="auto"/>
        <w:ind w:firstLine="0" w:firstLineChars="0"/>
        <w:jc w:val="left"/>
        <w:sectPr>
          <w:footerReference r:id="rId19" w:type="first"/>
          <w:footerReference r:id="rId17" w:type="default"/>
          <w:footerReference r:id="rId18" w:type="even"/>
          <w:pgSz w:w="11906" w:h="16838"/>
          <w:pgMar w:top="2098" w:right="1474" w:bottom="1985" w:left="1588" w:header="851" w:footer="1361" w:gutter="0"/>
          <w:pgNumType w:fmt="upperRoman" w:start="1"/>
          <w:cols w:space="425" w:num="1"/>
          <w:titlePg/>
          <w:docGrid w:type="lines" w:linePitch="435" w:charSpace="0"/>
        </w:sectPr>
      </w:pPr>
      <w:r>
        <w:br w:type="page"/>
      </w:r>
    </w:p>
    <w:p w14:paraId="4DC370F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bottom"/>
        <w:rPr>
          <w:rFonts w:hint="eastAsia"/>
        </w:rPr>
      </w:pPr>
      <w:bookmarkStart w:id="0" w:name="_Toc232094378"/>
      <w:bookmarkStart w:id="1" w:name="_Toc212282444"/>
      <w:r>
        <w:rPr>
          <w:rFonts w:hint="eastAsia"/>
        </w:rPr>
        <w:t>《永州市国民经济和社会发展第十五个五年规划纲要》，根据党的二十届四中全会精神和《中共永州市委关于制定永州市国民经济和社会发展第十五个五年规划的建议》编制，明确未来五年全市经济社会发展的总体要求、发展目标、主要任务和重大举措，是政府履行职责的重要依据，是市场主体行为的重要参考，是全市人民共同奋斗的行动纲领。</w:t>
      </w:r>
    </w:p>
    <w:p w14:paraId="280F14D3">
      <w:pPr>
        <w:pStyle w:val="2"/>
      </w:pPr>
    </w:p>
    <w:p w14:paraId="5AF1D292">
      <w:pPr>
        <w:pStyle w:val="5"/>
        <w:spacing w:before="217" w:after="217" w:line="560" w:lineRule="exact"/>
        <w:textAlignment w:val="bottom"/>
      </w:pPr>
      <w:r>
        <w:rPr>
          <w:rFonts w:hint="eastAsia"/>
          <w:spacing w:val="11"/>
        </w:rPr>
        <w:t>锚定“三高四新”美好蓝图，奋力推</w:t>
      </w:r>
      <w:r>
        <w:rPr>
          <w:rFonts w:hint="eastAsia"/>
        </w:rPr>
        <w:t>进中国式现代化永州实践</w:t>
      </w:r>
      <w:bookmarkEnd w:id="0"/>
    </w:p>
    <w:p w14:paraId="0A280F4C">
      <w:pPr>
        <w:ind w:firstLine="640"/>
        <w:textAlignment w:val="bottom"/>
      </w:pPr>
    </w:p>
    <w:p w14:paraId="3DDF8B6F">
      <w:pPr>
        <w:ind w:firstLine="640"/>
        <w:textAlignment w:val="bottom"/>
      </w:pPr>
      <w:r>
        <w:rPr>
          <w:rFonts w:hint="eastAsia"/>
        </w:rPr>
        <w:t>“十五五”时期是基本实现社会主义现代化夯实基础、全面发力的关键时期，也是奋力推进中国式现代化永州实践，确保永州基本实现社会主义现代化取得决定性进展的关键时期。</w:t>
      </w:r>
    </w:p>
    <w:p w14:paraId="43F4FD56">
      <w:pPr>
        <w:pStyle w:val="6"/>
        <w:spacing w:before="435" w:after="217"/>
      </w:pPr>
      <w:bookmarkStart w:id="2" w:name="_Toc214617125"/>
      <w:bookmarkStart w:id="3" w:name="_Toc212282376"/>
      <w:bookmarkStart w:id="4" w:name="_Toc232094379"/>
      <w:r>
        <w:rPr>
          <w:rFonts w:hint="eastAsia"/>
        </w:rPr>
        <w:t>发展基础</w:t>
      </w:r>
      <w:bookmarkEnd w:id="2"/>
      <w:bookmarkEnd w:id="3"/>
      <w:bookmarkEnd w:id="4"/>
    </w:p>
    <w:p w14:paraId="359E39C3">
      <w:pPr>
        <w:ind w:firstLine="640"/>
      </w:pPr>
      <w:r>
        <w:rPr>
          <w:rFonts w:hint="eastAsia"/>
        </w:rPr>
        <w:t>“十四五”时期，在省委、省政府的正确领导下，市委、市政府团结带领全市上下始终以习近平新时代中国特色社会主义思想为指导，完整、准确、全面贯彻新发展理念，锚定“三高四新”美好蓝图，全面落实“十个统筹”，大力实施“八大行动”，紧紧围绕“七个聚焦发力”，牢牢把握“六大战略支点”，坚持稳中求进的工作总基调，励精图治、奋发图强，团结奋斗、开拓进取，解决了一批过去想解决而没有解决的问题，办成了一批过去想办而没办成的大事，全市经济社会发展取得新的重大成就。</w:t>
      </w:r>
    </w:p>
    <w:p w14:paraId="121ABDF1">
      <w:pPr>
        <w:ind w:firstLine="643"/>
        <w:rPr>
          <w:rFonts w:cs="Times New Roman"/>
          <w:szCs w:val="32"/>
        </w:rPr>
      </w:pPr>
      <w:r>
        <w:rPr>
          <w:rFonts w:hint="eastAsia" w:cs="Times New Roman"/>
          <w:b/>
          <w:szCs w:val="32"/>
        </w:rPr>
        <w:t>经济实力实现新提升。</w:t>
      </w:r>
      <w:r>
        <w:rPr>
          <w:rFonts w:hint="eastAsia" w:cs="Times New Roman"/>
          <w:szCs w:val="32"/>
        </w:rPr>
        <w:t>全市经济总量持续壮大，2025年地区生产总值达到2829.58亿元，年均增长5.6%，人均地区生产总值达到55800元，年均增长6.</w:t>
      </w:r>
      <w:bookmarkStart w:id="5" w:name="OLE_LINK59"/>
      <w:r>
        <w:rPr>
          <w:rFonts w:hint="eastAsia" w:cs="Times New Roman"/>
          <w:szCs w:val="32"/>
        </w:rPr>
        <w:t>6</w:t>
      </w:r>
      <w:bookmarkStart w:id="6" w:name="OLE_LINK60"/>
      <w:r>
        <w:rPr>
          <w:rFonts w:hint="eastAsia" w:cs="Times New Roman"/>
          <w:szCs w:val="32"/>
        </w:rPr>
        <w:t>%。</w:t>
      </w:r>
      <w:bookmarkStart w:id="7" w:name="OLE_LINK66"/>
      <w:r>
        <w:rPr>
          <w:rFonts w:hint="eastAsia" w:cs="Times New Roman"/>
          <w:szCs w:val="32"/>
        </w:rPr>
        <w:t>全年地方财政收入达到153亿元，年均增长3.5</w:t>
      </w:r>
      <w:r>
        <w:rPr>
          <w:rFonts w:cs="Times New Roman"/>
          <w:szCs w:val="32"/>
        </w:rPr>
        <w:t>%</w:t>
      </w:r>
      <w:r>
        <w:rPr>
          <w:rFonts w:hint="eastAsia" w:cs="Times New Roman"/>
          <w:szCs w:val="32"/>
        </w:rPr>
        <w:t>。城乡居民人均可支配收入分别达到42859元、</w:t>
      </w:r>
      <w:r>
        <w:rPr>
          <w:rFonts w:cs="Times New Roman"/>
          <w:szCs w:val="32"/>
        </w:rPr>
        <w:t>23</w:t>
      </w:r>
      <w:r>
        <w:rPr>
          <w:rFonts w:hint="eastAsia" w:cs="Times New Roman"/>
          <w:szCs w:val="32"/>
        </w:rPr>
        <w:t>105元，年均增</w:t>
      </w:r>
      <w:bookmarkEnd w:id="6"/>
      <w:r>
        <w:rPr>
          <w:rFonts w:hint="eastAsia" w:cs="Times New Roman"/>
          <w:szCs w:val="32"/>
        </w:rPr>
        <w:t>长</w:t>
      </w:r>
      <w:r>
        <w:rPr>
          <w:rFonts w:cs="Times New Roman"/>
          <w:szCs w:val="32"/>
        </w:rPr>
        <w:t>5</w:t>
      </w:r>
      <w:bookmarkEnd w:id="5"/>
      <w:r>
        <w:rPr>
          <w:rFonts w:cs="Times New Roman"/>
          <w:szCs w:val="32"/>
        </w:rPr>
        <w:t>.</w:t>
      </w:r>
      <w:r>
        <w:rPr>
          <w:rFonts w:hint="eastAsia" w:cs="Times New Roman"/>
          <w:szCs w:val="32"/>
        </w:rPr>
        <w:t>3</w:t>
      </w:r>
      <w:bookmarkEnd w:id="7"/>
      <w:r>
        <w:rPr>
          <w:rFonts w:hint="eastAsia" w:cs="Times New Roman"/>
          <w:szCs w:val="32"/>
        </w:rPr>
        <w:t>%、6.4%，全体居民人均可支配收入迈上3万元台阶</w:t>
      </w:r>
      <w:r>
        <w:rPr>
          <w:rFonts w:cs="Times New Roman"/>
          <w:szCs w:val="32"/>
        </w:rPr>
        <w:t>。经营主</w:t>
      </w:r>
      <w:r>
        <w:rPr>
          <w:rFonts w:hint="eastAsia" w:cs="Times New Roman"/>
          <w:szCs w:val="32"/>
        </w:rPr>
        <w:t>体</w:t>
      </w:r>
      <w:r>
        <w:rPr>
          <w:rFonts w:cs="Times New Roman"/>
          <w:szCs w:val="32"/>
        </w:rPr>
        <w:t>净增</w:t>
      </w:r>
      <w:r>
        <w:rPr>
          <w:rFonts w:hint="eastAsia" w:cs="Times New Roman"/>
          <w:szCs w:val="32"/>
        </w:rPr>
        <w:t>2</w:t>
      </w:r>
      <w:r>
        <w:rPr>
          <w:rFonts w:cs="Times New Roman"/>
          <w:szCs w:val="32"/>
        </w:rPr>
        <w:t>0.1万户，</w:t>
      </w:r>
      <w:r>
        <w:rPr>
          <w:rFonts w:hint="eastAsia" w:cs="Times New Roman"/>
          <w:szCs w:val="32"/>
        </w:rPr>
        <w:t>其中企业净增6.2万户，高质量发展取得显著成效。</w:t>
      </w:r>
    </w:p>
    <w:p w14:paraId="26F580B2">
      <w:pPr>
        <w:ind w:firstLine="643"/>
        <w:rPr>
          <w:rFonts w:cs="Times New Roman"/>
          <w:szCs w:val="32"/>
        </w:rPr>
      </w:pPr>
      <w:r>
        <w:rPr>
          <w:rFonts w:hint="eastAsia" w:cs="Times New Roman"/>
          <w:b/>
          <w:szCs w:val="32"/>
        </w:rPr>
        <w:t>产业培育打造新亮点。</w:t>
      </w:r>
      <w:r>
        <w:rPr>
          <w:rFonts w:hint="eastAsia" w:cs="Times New Roman"/>
          <w:szCs w:val="32"/>
        </w:rPr>
        <w:t>“3×2”现代化产业体系建设取得重大进展，“一根纱”到“一块布”织就全国最大雨伞布生产基地，“一棵树”到“一个家”造就亚洲产能最大的定向结构板生产线，微电机占全国市场份额达12%，皮具箱包组团出海拿下东南亚20%市场份额，形成了以湖南紫金锂业为龙头的锂多金属应用材料产业高地，市域外游客接待量年均增长1</w:t>
      </w:r>
      <w:r>
        <w:rPr>
          <w:rFonts w:cs="Times New Roman"/>
          <w:szCs w:val="32"/>
        </w:rPr>
        <w:t>6.6</w:t>
      </w:r>
      <w:r>
        <w:rPr>
          <w:rFonts w:hint="eastAsia" w:cs="Times New Roman"/>
          <w:szCs w:val="32"/>
        </w:rPr>
        <w:t>%，县域经济各具特色、各展精彩。制造业占比提高到23.1%，规模工业利润总额达到92.6亿元，年均增长8%。国家中小企业特色产业集群、国家级制造业单项冠军企业、国家级经开区实现零的突破，省级产业集群及培育对象达到12个，排全省第2名，新增“四上”单位1716</w:t>
      </w:r>
      <w:r>
        <w:rPr>
          <w:rFonts w:cs="Times New Roman"/>
          <w:szCs w:val="32"/>
        </w:rPr>
        <w:t>家</w:t>
      </w:r>
      <w:r>
        <w:rPr>
          <w:rFonts w:hint="eastAsia" w:cs="Times New Roman"/>
          <w:szCs w:val="32"/>
        </w:rPr>
        <w:t>，</w:t>
      </w:r>
      <w:r>
        <w:rPr>
          <w:rFonts w:cs="Times New Roman"/>
          <w:szCs w:val="32"/>
        </w:rPr>
        <w:t>其中规模以上工业</w:t>
      </w:r>
      <w:r>
        <w:rPr>
          <w:rFonts w:hint="eastAsia" w:cs="Times New Roman"/>
          <w:szCs w:val="32"/>
        </w:rPr>
        <w:t>企业599</w:t>
      </w:r>
      <w:r>
        <w:rPr>
          <w:rFonts w:cs="Times New Roman"/>
          <w:szCs w:val="32"/>
        </w:rPr>
        <w:t>家，</w:t>
      </w:r>
      <w:r>
        <w:rPr>
          <w:rFonts w:hint="eastAsia" w:cs="Times New Roman"/>
          <w:szCs w:val="32"/>
        </w:rPr>
        <w:t>“智赋万企”改造规工企业500余家，规模工业总产值突破2300亿元，较2020年增长24%。</w:t>
      </w:r>
    </w:p>
    <w:p w14:paraId="335704B5">
      <w:pPr>
        <w:ind w:firstLine="643"/>
        <w:rPr>
          <w:rFonts w:cs="Times New Roman"/>
          <w:szCs w:val="32"/>
        </w:rPr>
      </w:pPr>
      <w:r>
        <w:rPr>
          <w:rFonts w:hint="eastAsia" w:cs="Times New Roman"/>
          <w:b/>
          <w:szCs w:val="32"/>
        </w:rPr>
        <w:t>科技创新增添新动能</w:t>
      </w:r>
      <w:r>
        <w:rPr>
          <w:rFonts w:hint="eastAsia" w:cs="Times New Roman"/>
          <w:b/>
          <w:bCs/>
          <w:szCs w:val="32"/>
        </w:rPr>
        <w:t>。</w:t>
      </w:r>
      <w:r>
        <w:rPr>
          <w:rFonts w:hint="eastAsia" w:cs="Times New Roman"/>
          <w:szCs w:val="32"/>
        </w:rPr>
        <w:t>以科技创新引领产业创新，每年实施十大科技创新项目，累计突破关键核心技术31项，钽电容负极技术等5项新技术产品填补国内空白。全社会研发投入占GDP比重达1.7%，技术合同成交金额占GDP的比重翻了四番，达到6.8%，每万人口发明专利拥有量翻番，达到2.89件，每万人口高价值发明专利拥有量从0.1件跃升至1.25件。“两室两院一基地”建设立柱架梁，新增省级及以上创新平台98家，省级制造业创新中心创建单位、制造业关键产品“揭榜挂帅”项目实现零的突破，新建4家院士团队创新工作室。</w:t>
      </w:r>
      <w:r>
        <w:rPr>
          <w:rFonts w:hint="eastAsia" w:cs="仿宋_GB2312"/>
          <w:color w:val="000000"/>
          <w:szCs w:val="32"/>
        </w:rPr>
        <w:t>高新技术企业数、科技型中小企业数分别是2020年的2.2倍、7.3倍。</w:t>
      </w:r>
      <w:r>
        <w:rPr>
          <w:rFonts w:hint="eastAsia" w:cs="Times New Roman"/>
          <w:szCs w:val="32"/>
        </w:rPr>
        <w:t>累计培育国家专精特新“小巨人”企业19家、省级专精特新中小企业368家。</w:t>
      </w:r>
    </w:p>
    <w:p w14:paraId="2C5C57A4">
      <w:pPr>
        <w:ind w:firstLine="643"/>
        <w:rPr>
          <w:rFonts w:cs="Times New Roman"/>
          <w:szCs w:val="32"/>
        </w:rPr>
      </w:pPr>
      <w:r>
        <w:rPr>
          <w:rFonts w:hint="eastAsia" w:cs="Times New Roman"/>
          <w:b/>
          <w:szCs w:val="32"/>
        </w:rPr>
        <w:t>改革开放释放新活力。</w:t>
      </w:r>
      <w:r>
        <w:rPr>
          <w:rFonts w:hint="eastAsia" w:cs="Times New Roman"/>
          <w:szCs w:val="32"/>
        </w:rPr>
        <w:t>坚持以重点突破引领改革纵深推进，系统铺排的</w:t>
      </w:r>
      <w:r>
        <w:rPr>
          <w:rFonts w:cs="Times New Roman"/>
          <w:szCs w:val="32"/>
        </w:rPr>
        <w:t>709</w:t>
      </w:r>
      <w:r>
        <w:rPr>
          <w:rFonts w:hint="eastAsia" w:cs="Times New Roman"/>
          <w:szCs w:val="32"/>
        </w:rPr>
        <w:t>项改革总体按期完成，“一照通”、果蔬出口通关便利化、“党小组+”乡村治理等133项改革入选国省改革典型案例、试点示范，快反“135”、政法“五老”+“好邻居”调解、农村宅基地制度改革等一批改革经验在全国推广，创成全国社会信用体系建设示范区，获评全省打造内陆地区改革开放高地先进市州。对外开放能级不断提升，全市出口总额达到149.5亿元，蔬菜出口额占全省84.5%以上，果蔬出口货值稳居全国地级市第一。签约投资5</w:t>
      </w:r>
      <w:r>
        <w:rPr>
          <w:rFonts w:cs="Times New Roman"/>
          <w:szCs w:val="32"/>
        </w:rPr>
        <w:t>000万元以上项目</w:t>
      </w:r>
      <w:r>
        <w:rPr>
          <w:rFonts w:hint="eastAsia" w:cs="Times New Roman"/>
          <w:szCs w:val="32"/>
        </w:rPr>
        <w:t>1</w:t>
      </w:r>
      <w:r>
        <w:rPr>
          <w:rFonts w:cs="Times New Roman"/>
          <w:szCs w:val="32"/>
        </w:rPr>
        <w:t>639个。</w:t>
      </w:r>
      <w:r>
        <w:rPr>
          <w:rFonts w:hint="eastAsia" w:cs="Times New Roman"/>
          <w:szCs w:val="32"/>
        </w:rPr>
        <w:t>永州陆港年吞吐量突破300万吨，吉布提海外仓投入运营。东盟</w:t>
      </w:r>
      <w:r>
        <w:rPr>
          <w:rFonts w:hint="eastAsia" w:cs="Times New Roman"/>
        </w:rPr>
        <w:t>·</w:t>
      </w:r>
      <w:r>
        <w:rPr>
          <w:rFonts w:hint="eastAsia" w:cs="Times New Roman"/>
          <w:szCs w:val="32"/>
        </w:rPr>
        <w:t>湖南名优产品交易会永久落户永州。</w:t>
      </w:r>
    </w:p>
    <w:p w14:paraId="6D9AF7C8">
      <w:pPr>
        <w:ind w:firstLine="643"/>
        <w:rPr>
          <w:rFonts w:cs="Times New Roman"/>
          <w:szCs w:val="32"/>
        </w:rPr>
      </w:pPr>
      <w:r>
        <w:rPr>
          <w:rFonts w:hint="eastAsia" w:cs="Times New Roman"/>
          <w:b/>
          <w:szCs w:val="32"/>
        </w:rPr>
        <w:t>城乡融合展现新面貌。</w:t>
      </w:r>
      <w:r>
        <w:rPr>
          <w:rFonts w:hint="eastAsia" w:cs="Times New Roman"/>
          <w:szCs w:val="32"/>
        </w:rPr>
        <w:t>新型城镇化全面推进，全市常住人口城镇化率相比2020年提升4.8个百分点。“两路两园一中心”等重大项目竣工投用。入选全国历史建筑保护利用试点城市。</w:t>
      </w:r>
      <w:r>
        <w:rPr>
          <w:rFonts w:hint="eastAsia"/>
          <w:szCs w:val="32"/>
        </w:rPr>
        <w:t>祁阳、道县入选国家以人为本的新型城镇化战略五年行动计划潜力地区产业导入试点县市。</w:t>
      </w:r>
      <w:r>
        <w:rPr>
          <w:rFonts w:hint="eastAsia" w:cs="Times New Roman"/>
          <w:szCs w:val="32"/>
        </w:rPr>
        <w:t>城镇老旧小区改造和供水管网、雨污管网、燃气管网新建改扩建有序推进，新改建供水管网1147公里、雨污管网734.6公里、燃气管网1329公里，中心城区开通管输天然气。县城综合承载能力不断提升，5G网络和乡镇污水处理设施均实现全覆盖。大力推动乡村基础设施建设，行政村通硬化路实现全覆盖，农村自来水普及率达到92.6%，卫生厕所覆盖率达到94%。</w:t>
      </w:r>
    </w:p>
    <w:p w14:paraId="6D209F40">
      <w:pPr>
        <w:ind w:firstLine="643"/>
        <w:rPr>
          <w:rFonts w:cs="Times New Roman"/>
          <w:szCs w:val="32"/>
        </w:rPr>
      </w:pPr>
      <w:r>
        <w:rPr>
          <w:rFonts w:hint="eastAsia" w:cs="Times New Roman"/>
          <w:b/>
          <w:szCs w:val="32"/>
        </w:rPr>
        <w:t>基础设施构筑新支撑</w:t>
      </w:r>
      <w:r>
        <w:rPr>
          <w:rFonts w:hint="eastAsia" w:cs="Times New Roman"/>
          <w:b/>
          <w:bCs/>
          <w:szCs w:val="32"/>
        </w:rPr>
        <w:t>。</w:t>
      </w:r>
      <w:r>
        <w:rPr>
          <w:rFonts w:hint="eastAsia" w:cs="Times New Roman"/>
          <w:szCs w:val="32"/>
        </w:rPr>
        <w:t>国家区域性综合交通枢纽城市基本建成，社会物流总费用与</w:t>
      </w:r>
      <w:r>
        <w:rPr>
          <w:rFonts w:cs="Times New Roman"/>
          <w:szCs w:val="32"/>
        </w:rPr>
        <w:t>GDP</w:t>
      </w:r>
      <w:r>
        <w:rPr>
          <w:rFonts w:hint="eastAsia" w:cs="Times New Roman"/>
          <w:szCs w:val="32"/>
        </w:rPr>
        <w:t>比率五年下降</w:t>
      </w:r>
      <w:r>
        <w:rPr>
          <w:rFonts w:cs="Times New Roman"/>
          <w:szCs w:val="32"/>
        </w:rPr>
        <w:t>3.1</w:t>
      </w:r>
      <w:r>
        <w:rPr>
          <w:rFonts w:hint="eastAsia" w:cs="Times New Roman"/>
          <w:szCs w:val="32"/>
        </w:rPr>
        <w:t>个百分点，货物综合物流成本降低</w:t>
      </w:r>
      <w:r>
        <w:rPr>
          <w:rFonts w:cs="Times New Roman"/>
          <w:szCs w:val="32"/>
        </w:rPr>
        <w:t>30</w:t>
      </w:r>
      <w:r>
        <w:rPr>
          <w:rFonts w:hint="eastAsia" w:cs="Times New Roman"/>
          <w:szCs w:val="32"/>
        </w:rPr>
        <w:t>％以上。“米”字形铁路网连通八方，湘桂、洛湛、衡柳铁路交汇贯通，邵永高铁建设加速推进，永清广高铁可研即将批复，衡柳高铁、兴永郴赣铁路前期研究工作加紧开展。高铁在永州境内形成“十”字交叉格局。“井”字形高速网升级扩容，高速通车总里程</w:t>
      </w:r>
      <w:r>
        <w:rPr>
          <w:rFonts w:cs="Times New Roman"/>
          <w:szCs w:val="32"/>
        </w:rPr>
        <w:t>626</w:t>
      </w:r>
      <w:r>
        <w:rPr>
          <w:rFonts w:hint="eastAsia" w:cs="Times New Roman"/>
          <w:szCs w:val="32"/>
        </w:rPr>
        <w:t>公里，较“十三五”末增加</w:t>
      </w:r>
      <w:r>
        <w:rPr>
          <w:rFonts w:cs="Times New Roman"/>
          <w:szCs w:val="32"/>
        </w:rPr>
        <w:t>134</w:t>
      </w:r>
      <w:r>
        <w:rPr>
          <w:rFonts w:hint="eastAsia" w:cs="Times New Roman"/>
          <w:szCs w:val="32"/>
        </w:rPr>
        <w:t>公里，衡永、永零、永新高速建成通车。“</w:t>
      </w:r>
      <w:r>
        <w:rPr>
          <w:rFonts w:cs="Times New Roman"/>
          <w:szCs w:val="32"/>
        </w:rPr>
        <w:t>T</w:t>
      </w:r>
      <w:r>
        <w:rPr>
          <w:rFonts w:hint="eastAsia" w:cs="Times New Roman"/>
          <w:szCs w:val="32"/>
        </w:rPr>
        <w:t>”字形航道网通江达海，湘江永衡三级航道二期工程竣工投用、三期工程加快推进，湘桂运河预可研基本完成。零陵机场完成提质改造。重大水利工程取得突破，涔天河水库扩建工程、毛俊水库工程竣工，润泽良田152万亩。能源供应保障体系显著增强，已建成投产电源总装机容量1185万千瓦，较2020年增长170%，新能源装机规模、发电量等多项指标全省第一。算力支撑跨上新台阶，建成全省首个商用千卡集群、全省首个市州级数据要素服务中心。</w:t>
      </w:r>
    </w:p>
    <w:p w14:paraId="178A5429">
      <w:pPr>
        <w:ind w:firstLine="643"/>
        <w:rPr>
          <w:rFonts w:cs="Times New Roman"/>
          <w:szCs w:val="32"/>
        </w:rPr>
      </w:pPr>
      <w:r>
        <w:rPr>
          <w:rFonts w:hint="eastAsia" w:cs="Times New Roman"/>
          <w:b/>
          <w:szCs w:val="32"/>
        </w:rPr>
        <w:t>民本民生得到新改善</w:t>
      </w:r>
      <w:r>
        <w:rPr>
          <w:rFonts w:hint="eastAsia" w:cs="Times New Roman"/>
          <w:b/>
          <w:bCs/>
          <w:szCs w:val="32"/>
        </w:rPr>
        <w:t>。</w:t>
      </w:r>
      <w:r>
        <w:rPr>
          <w:rFonts w:hint="eastAsia" w:cs="Times New Roman"/>
          <w:szCs w:val="32"/>
        </w:rPr>
        <w:t>解决中心城区3.5万户居民多年的供水压力不足问题、3.2万户居民用气问题，保交楼、保交房成为历史。“永就业365”高质量充分就业服务体系全面构建，入选全国公共就业服务能力提升示范项目实施城市，园区就业人数增长到13.3万人，创业担保贷款发放规模连续五年位居全省前列。医疗卫生全面提质，新增1家“三甲”公立医院，“二甲”公立医院实现县市区全覆盖，基本实现“大病不出市、一般疾病不出县、头疼脑热在乡镇”，常住人口基本医保参保率保持95%以上。千方百计加大教育投入，义务教育生均公用经费标准提高100元，深入实施基础教育强师计划，义务教育质量监测排名稳居全省前列，高中教育质量得到较快提升。养老机构护理型床位占比达77.6%，</w:t>
      </w:r>
      <w:bookmarkStart w:id="8" w:name="_Hlk230353294"/>
      <w:r>
        <w:rPr>
          <w:rFonts w:hint="eastAsia" w:cs="Times New Roman"/>
          <w:szCs w:val="32"/>
        </w:rPr>
        <w:t>全市城乡居民最低生活保障</w:t>
      </w:r>
      <w:bookmarkEnd w:id="8"/>
      <w:r>
        <w:rPr>
          <w:rFonts w:hint="eastAsia" w:cs="Times New Roman"/>
          <w:szCs w:val="32"/>
        </w:rPr>
        <w:t>平均标准年均增幅分别达到6.8%和6.6%。文化惠民工程深入实施，全市乡镇街道综合文化站实现全覆盖，市民文明素养和社会文明程度明显提升，团结拼搏、永不言弃的“永冲锋”精神随着“湘超”永州队夺冠闪耀出圈、深入人心。</w:t>
      </w:r>
    </w:p>
    <w:p w14:paraId="30CB70C1">
      <w:pPr>
        <w:ind w:firstLine="643"/>
        <w:rPr>
          <w:rFonts w:cs="Times New Roman"/>
          <w:szCs w:val="32"/>
        </w:rPr>
      </w:pPr>
      <w:r>
        <w:rPr>
          <w:rFonts w:hint="eastAsia" w:cs="Times New Roman"/>
          <w:b/>
          <w:szCs w:val="32"/>
        </w:rPr>
        <w:t>美丽永州铺展新画卷</w:t>
      </w:r>
      <w:r>
        <w:rPr>
          <w:rFonts w:hint="eastAsia" w:cs="Times New Roman"/>
          <w:b/>
          <w:bCs/>
          <w:szCs w:val="32"/>
        </w:rPr>
        <w:t>。</w:t>
      </w:r>
      <w:r>
        <w:rPr>
          <w:rFonts w:hint="eastAsia" w:cs="Times New Roman"/>
          <w:szCs w:val="32"/>
        </w:rPr>
        <w:t>持续打好蓝天、碧水、净土保卫战，倾力打造“湘江源头”“千年鸟道”两大生态名片。</w:t>
      </w:r>
      <w:r>
        <w:rPr>
          <w:rFonts w:hint="eastAsia" w:cs="Times New Roman"/>
          <w:bCs/>
          <w:szCs w:val="32"/>
        </w:rPr>
        <w:t>生态环境满意度达到</w:t>
      </w:r>
      <w:r>
        <w:rPr>
          <w:rFonts w:cs="Times New Roman"/>
          <w:bCs/>
          <w:szCs w:val="32"/>
        </w:rPr>
        <w:t>96%</w:t>
      </w:r>
      <w:r>
        <w:rPr>
          <w:rFonts w:hint="eastAsia" w:cs="Times New Roman"/>
          <w:bCs/>
          <w:szCs w:val="32"/>
        </w:rPr>
        <w:t>，排全省第二位。</w:t>
      </w:r>
      <w:r>
        <w:rPr>
          <w:rFonts w:hint="eastAsia" w:cs="Times New Roman"/>
          <w:szCs w:val="32"/>
        </w:rPr>
        <w:t>地表水环境质量连续七年排名全国地级及以上城市前30，全市域空气质量达到国家二级标准。全市单位GDP能耗累计下降16.5%，提前超额完成“十四五”下降14.5%的目标任务，江华、金洞国有林场纳入全省森林碳汇和碳票开发试点。建成全国单片面积最大的10万亩油茶林。湘江干流入河排污口整治任务全面完成，四项主要污染物减排超额完成“十四五”任务。森林覆盖率达55%，建成国家级森林公园、自然保护区、湿地公园、生态文明建设示范区和“两山”实践创新基地27个，国家历史遗留废弃矿山生态修复示范工程、中央财政国土绿化示范项目落地实施。</w:t>
      </w:r>
    </w:p>
    <w:p w14:paraId="07B15703">
      <w:pPr>
        <w:ind w:firstLine="643"/>
        <w:rPr>
          <w:rFonts w:cs="Times New Roman"/>
          <w:szCs w:val="32"/>
        </w:rPr>
      </w:pPr>
      <w:r>
        <w:rPr>
          <w:rFonts w:hint="eastAsia" w:cs="Times New Roman"/>
          <w:b/>
          <w:szCs w:val="32"/>
        </w:rPr>
        <w:t>统筹发展和</w:t>
      </w:r>
      <w:r>
        <w:rPr>
          <w:rFonts w:hint="eastAsia" w:cs="Times New Roman"/>
          <w:b/>
          <w:bCs/>
          <w:szCs w:val="32"/>
        </w:rPr>
        <w:t>安全取得新成效。</w:t>
      </w:r>
      <w:r>
        <w:rPr>
          <w:rFonts w:hint="eastAsia" w:cs="Times New Roman"/>
          <w:szCs w:val="32"/>
        </w:rPr>
        <w:t>粮食安全根基牢固，粮食产量连续5年超60.5亿斤，连续四年获省粮食生产先进市州。政府债务、金融、房地产等重点领域风险防控有力有效，安全水平不断提升。成功应对“一疫三灾”，安全生产预防体系建设初见成效，全市安全生产事故起数、死亡人数连续实现同比“双下降”。自然灾害防范能力和应急能力持续提升，高质量完成第一次全国自然灾害综合风险普查，水旱灾害防御成效显著，建成主要应急力量228支。常态化开展扫黑除恶、“利剑护蕾”等专项行动。</w:t>
      </w:r>
    </w:p>
    <w:p w14:paraId="152214A0">
      <w:pPr>
        <w:ind w:firstLine="643"/>
        <w:rPr>
          <w:rFonts w:cs="Times New Roman"/>
          <w:szCs w:val="32"/>
        </w:rPr>
      </w:pPr>
      <w:r>
        <w:rPr>
          <w:rFonts w:hint="eastAsia" w:cs="Times New Roman"/>
          <w:b/>
          <w:bCs/>
          <w:szCs w:val="32"/>
        </w:rPr>
        <w:t>党的建设实现新加强。</w:t>
      </w:r>
      <w:r>
        <w:rPr>
          <w:rFonts w:hint="eastAsia" w:cs="Times New Roman"/>
          <w:szCs w:val="32"/>
        </w:rPr>
        <w:t>选人用人导向更加鲜明，人才发展体制机制改革不断深化，党的创新理论武装持续走深走实。全面从严治党纵深推进，作风建设常态化长效化实施，政治生态持续向好。民主法治、群团工作推进有力，社会治理体系逐渐健全，成功创建并巩固全国市域社会治理现代化试点合格城市，社会大局和谐稳定。</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437"/>
        <w:gridCol w:w="2616"/>
        <w:gridCol w:w="1020"/>
        <w:gridCol w:w="1163"/>
        <w:gridCol w:w="1162"/>
        <w:gridCol w:w="1016"/>
        <w:gridCol w:w="1216"/>
      </w:tblGrid>
      <w:tr w14:paraId="16AA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blHeader/>
          <w:jc w:val="center"/>
        </w:trPr>
        <w:tc>
          <w:tcPr>
            <w:tcW w:w="5000" w:type="pct"/>
            <w:gridSpan w:val="8"/>
            <w:vAlign w:val="center"/>
          </w:tcPr>
          <w:p w14:paraId="577DF845">
            <w:pPr>
              <w:spacing w:before="217" w:beforeLines="50" w:after="217" w:afterLines="50" w:line="26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1</w:t>
            </w:r>
            <w:r>
              <w:rPr>
                <w:rFonts w:hint="eastAsia" w:cs="Times New Roman"/>
                <w:b/>
                <w:color w:val="000000"/>
                <w:szCs w:val="28"/>
              </w:rPr>
              <w:fldChar w:fldCharType="end"/>
            </w:r>
            <w:r>
              <w:rPr>
                <w:rFonts w:hint="eastAsia" w:cs="Times New Roman"/>
                <w:b/>
                <w:color w:val="000000"/>
                <w:szCs w:val="28"/>
              </w:rPr>
              <w:t xml:space="preserve"> “十四五”规划主要指标完成情况</w:t>
            </w:r>
          </w:p>
        </w:tc>
      </w:tr>
      <w:tr w14:paraId="4335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237" w:type="pct"/>
            <w:vMerge w:val="restart"/>
            <w:vAlign w:val="center"/>
          </w:tcPr>
          <w:p w14:paraId="1D76C10F">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类别</w:t>
            </w:r>
          </w:p>
        </w:tc>
        <w:tc>
          <w:tcPr>
            <w:tcW w:w="241" w:type="pct"/>
            <w:vMerge w:val="restart"/>
            <w:vAlign w:val="center"/>
          </w:tcPr>
          <w:p w14:paraId="6FD925A7">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序号</w:t>
            </w:r>
          </w:p>
        </w:tc>
        <w:tc>
          <w:tcPr>
            <w:tcW w:w="1444" w:type="pct"/>
            <w:vMerge w:val="restart"/>
            <w:vAlign w:val="center"/>
          </w:tcPr>
          <w:p w14:paraId="78866343">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指标名称</w:t>
            </w:r>
          </w:p>
        </w:tc>
        <w:tc>
          <w:tcPr>
            <w:tcW w:w="563" w:type="pct"/>
            <w:vMerge w:val="restart"/>
            <w:vAlign w:val="center"/>
          </w:tcPr>
          <w:p w14:paraId="569AFB3F">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2020年</w:t>
            </w:r>
          </w:p>
        </w:tc>
        <w:tc>
          <w:tcPr>
            <w:tcW w:w="1283" w:type="pct"/>
            <w:gridSpan w:val="2"/>
            <w:vAlign w:val="center"/>
          </w:tcPr>
          <w:p w14:paraId="12A58E1C">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规划目标</w:t>
            </w:r>
          </w:p>
        </w:tc>
        <w:tc>
          <w:tcPr>
            <w:tcW w:w="1232" w:type="pct"/>
            <w:gridSpan w:val="2"/>
            <w:vAlign w:val="center"/>
          </w:tcPr>
          <w:p w14:paraId="74498310">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实现情况</w:t>
            </w:r>
          </w:p>
        </w:tc>
      </w:tr>
      <w:tr w14:paraId="7C3E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237" w:type="pct"/>
            <w:vMerge w:val="continue"/>
            <w:vAlign w:val="center"/>
          </w:tcPr>
          <w:p w14:paraId="07E52377">
            <w:pPr>
              <w:spacing w:line="260" w:lineRule="exact"/>
              <w:ind w:firstLine="0" w:firstLineChars="0"/>
              <w:jc w:val="center"/>
              <w:rPr>
                <w:rFonts w:hint="eastAsia" w:ascii="黑体" w:hAnsi="黑体" w:eastAsia="黑体" w:cs="宋体"/>
                <w:sz w:val="21"/>
                <w14:ligatures w14:val="none"/>
              </w:rPr>
            </w:pPr>
          </w:p>
        </w:tc>
        <w:tc>
          <w:tcPr>
            <w:tcW w:w="241" w:type="pct"/>
            <w:vMerge w:val="continue"/>
            <w:vAlign w:val="center"/>
          </w:tcPr>
          <w:p w14:paraId="7C8E39C9">
            <w:pPr>
              <w:spacing w:line="260" w:lineRule="exact"/>
              <w:ind w:firstLine="0" w:firstLineChars="0"/>
              <w:jc w:val="center"/>
              <w:rPr>
                <w:rFonts w:hint="eastAsia" w:ascii="黑体" w:hAnsi="黑体" w:eastAsia="黑体" w:cs="宋体"/>
                <w:sz w:val="21"/>
                <w14:ligatures w14:val="none"/>
              </w:rPr>
            </w:pPr>
          </w:p>
        </w:tc>
        <w:tc>
          <w:tcPr>
            <w:tcW w:w="1444" w:type="pct"/>
            <w:vMerge w:val="continue"/>
            <w:vAlign w:val="center"/>
          </w:tcPr>
          <w:p w14:paraId="774BBEA4">
            <w:pPr>
              <w:spacing w:line="260" w:lineRule="exact"/>
              <w:ind w:firstLine="0" w:firstLineChars="0"/>
              <w:jc w:val="center"/>
              <w:rPr>
                <w:rFonts w:hint="eastAsia" w:ascii="黑体" w:hAnsi="黑体" w:eastAsia="黑体" w:cs="宋体"/>
                <w:sz w:val="21"/>
                <w14:ligatures w14:val="none"/>
              </w:rPr>
            </w:pPr>
          </w:p>
        </w:tc>
        <w:tc>
          <w:tcPr>
            <w:tcW w:w="563" w:type="pct"/>
            <w:vMerge w:val="continue"/>
            <w:vAlign w:val="center"/>
          </w:tcPr>
          <w:p w14:paraId="2FDD85B3">
            <w:pPr>
              <w:spacing w:line="260" w:lineRule="exact"/>
              <w:ind w:firstLine="0" w:firstLineChars="0"/>
              <w:jc w:val="center"/>
              <w:rPr>
                <w:rFonts w:hint="eastAsia" w:ascii="黑体" w:hAnsi="黑体" w:eastAsia="黑体" w:cs="宋体"/>
                <w:sz w:val="21"/>
                <w14:ligatures w14:val="none"/>
              </w:rPr>
            </w:pPr>
          </w:p>
        </w:tc>
        <w:tc>
          <w:tcPr>
            <w:tcW w:w="642" w:type="pct"/>
            <w:vAlign w:val="center"/>
          </w:tcPr>
          <w:p w14:paraId="605F0210">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2025年</w:t>
            </w:r>
          </w:p>
        </w:tc>
        <w:tc>
          <w:tcPr>
            <w:tcW w:w="641" w:type="pct"/>
            <w:vAlign w:val="center"/>
          </w:tcPr>
          <w:p w14:paraId="37DEF814">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年均增速</w:t>
            </w:r>
          </w:p>
          <w:p w14:paraId="7FDFF00D">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[累计]</w:t>
            </w:r>
          </w:p>
        </w:tc>
        <w:tc>
          <w:tcPr>
            <w:tcW w:w="561" w:type="pct"/>
            <w:vAlign w:val="center"/>
          </w:tcPr>
          <w:p w14:paraId="4D092C4A">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2025年</w:t>
            </w:r>
          </w:p>
        </w:tc>
        <w:tc>
          <w:tcPr>
            <w:tcW w:w="671" w:type="pct"/>
            <w:vAlign w:val="center"/>
          </w:tcPr>
          <w:p w14:paraId="73F4FF9A">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年均增速</w:t>
            </w:r>
          </w:p>
          <w:p w14:paraId="18FEA64B">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[累计]</w:t>
            </w:r>
          </w:p>
        </w:tc>
      </w:tr>
      <w:tr w14:paraId="359C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7A86160C">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经济发展</w:t>
            </w:r>
          </w:p>
        </w:tc>
        <w:tc>
          <w:tcPr>
            <w:tcW w:w="241" w:type="pct"/>
            <w:vAlign w:val="center"/>
          </w:tcPr>
          <w:p w14:paraId="0508D5A8">
            <w:pPr>
              <w:spacing w:line="260" w:lineRule="exact"/>
              <w:ind w:firstLine="0" w:firstLineChars="0"/>
              <w:jc w:val="center"/>
              <w:rPr>
                <w:rFonts w:eastAsia="宋体" w:cs="宋体"/>
                <w:sz w:val="21"/>
                <w14:ligatures w14:val="none"/>
              </w:rPr>
            </w:pPr>
            <w:r>
              <w:rPr>
                <w:rFonts w:hint="eastAsia" w:eastAsia="宋体" w:cs="宋体"/>
                <w:sz w:val="21"/>
                <w14:ligatures w14:val="none"/>
              </w:rPr>
              <w:t>1</w:t>
            </w:r>
          </w:p>
        </w:tc>
        <w:tc>
          <w:tcPr>
            <w:tcW w:w="1444" w:type="pct"/>
            <w:vAlign w:val="center"/>
          </w:tcPr>
          <w:p w14:paraId="3EF934EB">
            <w:pPr>
              <w:spacing w:line="260" w:lineRule="exact"/>
              <w:ind w:firstLine="0" w:firstLineChars="0"/>
              <w:rPr>
                <w:rFonts w:ascii="仿宋_GB2312" w:cs="宋体"/>
                <w:sz w:val="21"/>
                <w14:ligatures w14:val="none"/>
              </w:rPr>
            </w:pPr>
            <w:r>
              <w:rPr>
                <w:rFonts w:hint="eastAsia" w:ascii="仿宋_GB2312" w:cs="宋体"/>
                <w:sz w:val="21"/>
                <w14:ligatures w14:val="none"/>
              </w:rPr>
              <w:t>地区生产总值增长（%）</w:t>
            </w:r>
          </w:p>
        </w:tc>
        <w:tc>
          <w:tcPr>
            <w:tcW w:w="563" w:type="pct"/>
            <w:vAlign w:val="center"/>
          </w:tcPr>
          <w:p w14:paraId="796FFF9F">
            <w:pPr>
              <w:spacing w:line="260" w:lineRule="exact"/>
              <w:ind w:firstLine="0" w:firstLineChars="0"/>
              <w:jc w:val="center"/>
              <w:rPr>
                <w:rFonts w:eastAsia="宋体" w:cs="宋体"/>
                <w:sz w:val="21"/>
                <w14:ligatures w14:val="none"/>
              </w:rPr>
            </w:pPr>
            <w:r>
              <w:rPr>
                <w:rFonts w:hint="eastAsia" w:eastAsia="宋体" w:cs="宋体"/>
                <w:sz w:val="21"/>
                <w14:ligatures w14:val="none"/>
              </w:rPr>
              <w:t>3.9</w:t>
            </w:r>
          </w:p>
        </w:tc>
        <w:tc>
          <w:tcPr>
            <w:tcW w:w="642" w:type="pct"/>
            <w:vAlign w:val="center"/>
          </w:tcPr>
          <w:p w14:paraId="58AE785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384A7126">
            <w:pPr>
              <w:spacing w:line="260" w:lineRule="exact"/>
              <w:ind w:firstLine="0" w:firstLineChars="0"/>
              <w:jc w:val="center"/>
              <w:rPr>
                <w:rFonts w:eastAsia="宋体" w:cs="宋体"/>
                <w:sz w:val="21"/>
                <w14:ligatures w14:val="none"/>
              </w:rPr>
            </w:pPr>
            <w:r>
              <w:rPr>
                <w:rFonts w:hint="eastAsia" w:eastAsia="宋体" w:cs="宋体"/>
                <w:sz w:val="21"/>
                <w14:ligatures w14:val="none"/>
              </w:rPr>
              <w:t>7.5</w:t>
            </w:r>
          </w:p>
        </w:tc>
        <w:tc>
          <w:tcPr>
            <w:tcW w:w="561" w:type="pct"/>
            <w:noWrap/>
            <w:vAlign w:val="center"/>
          </w:tcPr>
          <w:p w14:paraId="1AE3A1B6">
            <w:pPr>
              <w:spacing w:line="260" w:lineRule="exact"/>
              <w:ind w:firstLine="0" w:firstLineChars="0"/>
              <w:jc w:val="center"/>
              <w:rPr>
                <w:rFonts w:eastAsia="宋体" w:cs="宋体"/>
                <w:sz w:val="21"/>
                <w14:ligatures w14:val="none"/>
              </w:rPr>
            </w:pPr>
            <w:r>
              <w:rPr>
                <w:rFonts w:hint="eastAsia" w:eastAsia="宋体" w:cs="宋体"/>
                <w:sz w:val="21"/>
                <w14:ligatures w14:val="none"/>
              </w:rPr>
              <w:t>5.6</w:t>
            </w:r>
          </w:p>
        </w:tc>
        <w:tc>
          <w:tcPr>
            <w:tcW w:w="671" w:type="pct"/>
            <w:noWrap/>
            <w:vAlign w:val="center"/>
          </w:tcPr>
          <w:p w14:paraId="29BF93F7">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r>
      <w:tr w14:paraId="52A0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6F1075C">
            <w:pPr>
              <w:spacing w:line="260" w:lineRule="exact"/>
              <w:ind w:firstLine="0" w:firstLineChars="0"/>
              <w:jc w:val="center"/>
              <w:rPr>
                <w:rFonts w:eastAsia="宋体" w:cs="宋体"/>
                <w:sz w:val="21"/>
                <w14:ligatures w14:val="none"/>
              </w:rPr>
            </w:pPr>
          </w:p>
        </w:tc>
        <w:tc>
          <w:tcPr>
            <w:tcW w:w="241" w:type="pct"/>
            <w:vAlign w:val="center"/>
          </w:tcPr>
          <w:p w14:paraId="27B41C0E">
            <w:pPr>
              <w:spacing w:line="260" w:lineRule="exact"/>
              <w:ind w:firstLine="0" w:firstLineChars="0"/>
              <w:jc w:val="center"/>
              <w:rPr>
                <w:rFonts w:eastAsia="宋体" w:cs="宋体"/>
                <w:sz w:val="21"/>
                <w14:ligatures w14:val="none"/>
              </w:rPr>
            </w:pPr>
            <w:r>
              <w:rPr>
                <w:rFonts w:hint="eastAsia" w:eastAsia="宋体" w:cs="宋体"/>
                <w:sz w:val="21"/>
                <w14:ligatures w14:val="none"/>
              </w:rPr>
              <w:t>2</w:t>
            </w:r>
          </w:p>
        </w:tc>
        <w:tc>
          <w:tcPr>
            <w:tcW w:w="1444" w:type="pct"/>
            <w:vAlign w:val="center"/>
          </w:tcPr>
          <w:p w14:paraId="43A51170">
            <w:pPr>
              <w:spacing w:line="260" w:lineRule="exact"/>
              <w:ind w:firstLine="0" w:firstLineChars="0"/>
              <w:rPr>
                <w:rFonts w:ascii="仿宋_GB2312" w:cs="宋体"/>
                <w:sz w:val="21"/>
                <w14:ligatures w14:val="none"/>
              </w:rPr>
            </w:pPr>
            <w:r>
              <w:rPr>
                <w:rFonts w:hint="eastAsia" w:ascii="仿宋_GB2312" w:cs="宋体"/>
                <w:sz w:val="21"/>
                <w14:ligatures w14:val="none"/>
              </w:rPr>
              <w:t>全员劳动生产率增长（%）</w:t>
            </w:r>
          </w:p>
        </w:tc>
        <w:tc>
          <w:tcPr>
            <w:tcW w:w="563" w:type="pct"/>
            <w:vAlign w:val="center"/>
          </w:tcPr>
          <w:p w14:paraId="2E9AD30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049F59A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703E99BA">
            <w:pPr>
              <w:spacing w:line="260" w:lineRule="exact"/>
              <w:ind w:firstLine="0" w:firstLineChars="0"/>
              <w:jc w:val="center"/>
              <w:rPr>
                <w:rFonts w:eastAsia="宋体" w:cs="宋体"/>
                <w:sz w:val="21"/>
                <w14:ligatures w14:val="none"/>
              </w:rPr>
            </w:pPr>
            <w:r>
              <w:rPr>
                <w:rFonts w:hint="eastAsia" w:eastAsia="宋体" w:cs="宋体"/>
                <w:sz w:val="21"/>
                <w14:ligatures w14:val="none"/>
              </w:rPr>
              <w:t>7</w:t>
            </w:r>
          </w:p>
        </w:tc>
        <w:tc>
          <w:tcPr>
            <w:tcW w:w="561" w:type="pct"/>
            <w:noWrap/>
            <w:vAlign w:val="center"/>
          </w:tcPr>
          <w:p w14:paraId="2C9C7AC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0A1E9756">
            <w:pPr>
              <w:spacing w:line="260" w:lineRule="exact"/>
              <w:ind w:firstLine="0" w:firstLineChars="0"/>
              <w:jc w:val="center"/>
              <w:rPr>
                <w:rFonts w:eastAsia="宋体" w:cs="宋体"/>
                <w:sz w:val="21"/>
                <w14:ligatures w14:val="none"/>
              </w:rPr>
            </w:pPr>
            <w:r>
              <w:rPr>
                <w:rFonts w:hint="eastAsia" w:eastAsia="宋体" w:cs="宋体"/>
                <w:sz w:val="21"/>
                <w14:ligatures w14:val="none"/>
              </w:rPr>
              <w:t>5.6</w:t>
            </w:r>
          </w:p>
        </w:tc>
      </w:tr>
      <w:tr w14:paraId="0995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6DC7AD94">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205AEC12">
            <w:pPr>
              <w:spacing w:line="260" w:lineRule="exact"/>
              <w:ind w:firstLine="0" w:firstLineChars="0"/>
              <w:jc w:val="center"/>
              <w:rPr>
                <w:rFonts w:eastAsia="宋体" w:cs="宋体"/>
                <w:sz w:val="21"/>
                <w14:ligatures w14:val="none"/>
              </w:rPr>
            </w:pPr>
            <w:r>
              <w:rPr>
                <w:rFonts w:hint="eastAsia" w:eastAsia="宋体" w:cs="宋体"/>
                <w:sz w:val="21"/>
                <w14:ligatures w14:val="none"/>
              </w:rPr>
              <w:t>3</w:t>
            </w:r>
          </w:p>
        </w:tc>
        <w:tc>
          <w:tcPr>
            <w:tcW w:w="1444" w:type="pct"/>
            <w:shd w:val="clear" w:color="auto" w:fill="FFFFFF"/>
            <w:vAlign w:val="center"/>
          </w:tcPr>
          <w:p w14:paraId="5B1F3831">
            <w:pPr>
              <w:spacing w:line="260" w:lineRule="exact"/>
              <w:ind w:firstLine="0" w:firstLineChars="0"/>
              <w:rPr>
                <w:rFonts w:ascii="仿宋_GB2312" w:cs="宋体"/>
                <w:sz w:val="21"/>
                <w14:ligatures w14:val="none"/>
              </w:rPr>
            </w:pPr>
            <w:r>
              <w:rPr>
                <w:rFonts w:hint="eastAsia" w:ascii="仿宋_GB2312" w:cs="宋体"/>
                <w:sz w:val="21"/>
                <w14:ligatures w14:val="none"/>
              </w:rPr>
              <w:t>制造业增加值占地区生产总值比重（%）</w:t>
            </w:r>
          </w:p>
        </w:tc>
        <w:tc>
          <w:tcPr>
            <w:tcW w:w="563" w:type="pct"/>
            <w:shd w:val="clear" w:color="auto" w:fill="FFFFFF"/>
            <w:vAlign w:val="center"/>
          </w:tcPr>
          <w:p w14:paraId="57BB9ED8">
            <w:pPr>
              <w:spacing w:line="260" w:lineRule="exact"/>
              <w:ind w:firstLine="0" w:firstLineChars="0"/>
              <w:jc w:val="center"/>
              <w:rPr>
                <w:rFonts w:eastAsia="宋体" w:cs="宋体"/>
                <w:sz w:val="21"/>
                <w14:ligatures w14:val="none"/>
              </w:rPr>
            </w:pPr>
            <w:r>
              <w:rPr>
                <w:rFonts w:hint="eastAsia" w:eastAsia="宋体" w:cs="宋体"/>
                <w:sz w:val="21"/>
                <w14:ligatures w14:val="none"/>
              </w:rPr>
              <w:t>21</w:t>
            </w:r>
          </w:p>
        </w:tc>
        <w:tc>
          <w:tcPr>
            <w:tcW w:w="642" w:type="pct"/>
            <w:shd w:val="clear" w:color="auto" w:fill="FFFFFF"/>
            <w:vAlign w:val="center"/>
          </w:tcPr>
          <w:p w14:paraId="53C9A5A6">
            <w:pPr>
              <w:spacing w:line="260" w:lineRule="exact"/>
              <w:ind w:firstLine="0" w:firstLineChars="0"/>
              <w:jc w:val="center"/>
              <w:rPr>
                <w:rFonts w:eastAsia="宋体" w:cs="宋体"/>
                <w:sz w:val="21"/>
                <w14:ligatures w14:val="none"/>
              </w:rPr>
            </w:pPr>
            <w:r>
              <w:rPr>
                <w:rFonts w:hint="eastAsia" w:eastAsia="宋体" w:cs="宋体"/>
                <w:sz w:val="21"/>
                <w14:ligatures w14:val="none"/>
              </w:rPr>
              <w:t>25</w:t>
            </w:r>
          </w:p>
        </w:tc>
        <w:tc>
          <w:tcPr>
            <w:tcW w:w="641" w:type="pct"/>
            <w:shd w:val="clear" w:color="auto" w:fill="FFFFFF"/>
            <w:vAlign w:val="center"/>
          </w:tcPr>
          <w:p w14:paraId="79E4C1B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57E7B52F">
            <w:pPr>
              <w:spacing w:line="260" w:lineRule="exact"/>
              <w:ind w:firstLine="0" w:firstLineChars="0"/>
              <w:jc w:val="center"/>
              <w:rPr>
                <w:rFonts w:eastAsia="宋体" w:cs="宋体"/>
                <w:sz w:val="21"/>
                <w14:ligatures w14:val="none"/>
              </w:rPr>
            </w:pPr>
            <w:r>
              <w:rPr>
                <w:rFonts w:eastAsia="宋体" w:cs="宋体"/>
                <w:sz w:val="21"/>
                <w14:ligatures w14:val="none"/>
              </w:rPr>
              <w:t>23.</w:t>
            </w:r>
            <w:r>
              <w:rPr>
                <w:rFonts w:hint="eastAsia" w:eastAsia="宋体" w:cs="宋体"/>
                <w:sz w:val="21"/>
                <w14:ligatures w14:val="none"/>
              </w:rPr>
              <w:t>1</w:t>
            </w:r>
          </w:p>
        </w:tc>
        <w:tc>
          <w:tcPr>
            <w:tcW w:w="671" w:type="pct"/>
            <w:shd w:val="clear" w:color="auto" w:fill="FFFFFF"/>
            <w:noWrap/>
            <w:vAlign w:val="center"/>
          </w:tcPr>
          <w:p w14:paraId="6F1EBF1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3D27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D638F03">
            <w:pPr>
              <w:spacing w:line="260" w:lineRule="exact"/>
              <w:ind w:firstLine="0" w:firstLineChars="0"/>
              <w:jc w:val="center"/>
              <w:rPr>
                <w:rFonts w:eastAsia="宋体" w:cs="宋体"/>
                <w:sz w:val="21"/>
                <w14:ligatures w14:val="none"/>
              </w:rPr>
            </w:pPr>
          </w:p>
        </w:tc>
        <w:tc>
          <w:tcPr>
            <w:tcW w:w="241" w:type="pct"/>
            <w:vAlign w:val="center"/>
          </w:tcPr>
          <w:p w14:paraId="7F724D0A">
            <w:pPr>
              <w:spacing w:line="260" w:lineRule="exact"/>
              <w:ind w:firstLine="0" w:firstLineChars="0"/>
              <w:jc w:val="center"/>
              <w:rPr>
                <w:rFonts w:eastAsia="宋体" w:cs="宋体"/>
                <w:sz w:val="21"/>
                <w14:ligatures w14:val="none"/>
              </w:rPr>
            </w:pPr>
            <w:r>
              <w:rPr>
                <w:rFonts w:hint="eastAsia" w:eastAsia="宋体" w:cs="宋体"/>
                <w:sz w:val="21"/>
                <w14:ligatures w14:val="none"/>
              </w:rPr>
              <w:t>4</w:t>
            </w:r>
          </w:p>
        </w:tc>
        <w:tc>
          <w:tcPr>
            <w:tcW w:w="1444" w:type="pct"/>
            <w:vAlign w:val="center"/>
          </w:tcPr>
          <w:p w14:paraId="5F026880">
            <w:pPr>
              <w:spacing w:line="260" w:lineRule="exact"/>
              <w:ind w:firstLine="0" w:firstLineChars="0"/>
              <w:rPr>
                <w:rFonts w:ascii="仿宋_GB2312" w:cs="宋体"/>
                <w:sz w:val="21"/>
                <w14:ligatures w14:val="none"/>
              </w:rPr>
            </w:pPr>
            <w:r>
              <w:rPr>
                <w:rFonts w:hint="eastAsia" w:ascii="仿宋_GB2312" w:cs="宋体"/>
                <w:sz w:val="21"/>
                <w14:ligatures w14:val="none"/>
              </w:rPr>
              <w:t>产业投资占固定资产投资比重（%）</w:t>
            </w:r>
          </w:p>
        </w:tc>
        <w:tc>
          <w:tcPr>
            <w:tcW w:w="563" w:type="pct"/>
            <w:vAlign w:val="center"/>
          </w:tcPr>
          <w:p w14:paraId="7A6FD7AE">
            <w:pPr>
              <w:spacing w:line="260" w:lineRule="exact"/>
              <w:ind w:firstLine="0" w:firstLineChars="0"/>
              <w:jc w:val="center"/>
              <w:rPr>
                <w:rFonts w:eastAsia="宋体" w:cs="宋体"/>
                <w:sz w:val="21"/>
                <w14:ligatures w14:val="none"/>
              </w:rPr>
            </w:pPr>
            <w:r>
              <w:rPr>
                <w:rFonts w:hint="eastAsia" w:eastAsia="宋体" w:cs="宋体"/>
                <w:sz w:val="21"/>
                <w14:ligatures w14:val="none"/>
              </w:rPr>
              <w:t>64.2</w:t>
            </w:r>
          </w:p>
        </w:tc>
        <w:tc>
          <w:tcPr>
            <w:tcW w:w="642" w:type="pct"/>
            <w:vAlign w:val="center"/>
          </w:tcPr>
          <w:p w14:paraId="2FB21E9B">
            <w:pPr>
              <w:spacing w:line="260" w:lineRule="exact"/>
              <w:ind w:firstLine="0" w:firstLineChars="0"/>
              <w:jc w:val="center"/>
              <w:rPr>
                <w:rFonts w:eastAsia="宋体" w:cs="宋体"/>
                <w:sz w:val="21"/>
                <w14:ligatures w14:val="none"/>
              </w:rPr>
            </w:pPr>
            <w:r>
              <w:rPr>
                <w:rFonts w:hint="eastAsia" w:eastAsia="宋体" w:cs="宋体"/>
                <w:sz w:val="21"/>
                <w14:ligatures w14:val="none"/>
              </w:rPr>
              <w:t>66</w:t>
            </w:r>
          </w:p>
        </w:tc>
        <w:tc>
          <w:tcPr>
            <w:tcW w:w="641" w:type="pct"/>
            <w:vAlign w:val="center"/>
          </w:tcPr>
          <w:p w14:paraId="5F4CE57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40BF92C">
            <w:pPr>
              <w:spacing w:line="260" w:lineRule="exact"/>
              <w:ind w:firstLine="0" w:firstLineChars="0"/>
              <w:jc w:val="center"/>
              <w:rPr>
                <w:rFonts w:eastAsia="宋体" w:cs="宋体"/>
                <w:sz w:val="21"/>
                <w14:ligatures w14:val="none"/>
              </w:rPr>
            </w:pPr>
            <w:r>
              <w:rPr>
                <w:rFonts w:hint="eastAsia" w:eastAsia="宋体" w:cs="宋体"/>
                <w:sz w:val="21"/>
                <w14:ligatures w14:val="none"/>
              </w:rPr>
              <w:t>73</w:t>
            </w:r>
          </w:p>
        </w:tc>
        <w:tc>
          <w:tcPr>
            <w:tcW w:w="671" w:type="pct"/>
            <w:noWrap/>
            <w:vAlign w:val="center"/>
          </w:tcPr>
          <w:p w14:paraId="7A62D8E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747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29299FE1">
            <w:pPr>
              <w:spacing w:line="260" w:lineRule="exact"/>
              <w:ind w:firstLine="0" w:firstLineChars="0"/>
              <w:jc w:val="center"/>
              <w:rPr>
                <w:rFonts w:eastAsia="宋体" w:cs="宋体"/>
                <w:sz w:val="21"/>
                <w14:ligatures w14:val="none"/>
              </w:rPr>
            </w:pPr>
          </w:p>
        </w:tc>
        <w:tc>
          <w:tcPr>
            <w:tcW w:w="241" w:type="pct"/>
            <w:vAlign w:val="center"/>
          </w:tcPr>
          <w:p w14:paraId="3CE75002">
            <w:pPr>
              <w:spacing w:line="260" w:lineRule="exact"/>
              <w:ind w:firstLine="0" w:firstLineChars="0"/>
              <w:jc w:val="center"/>
              <w:rPr>
                <w:rFonts w:eastAsia="宋体" w:cs="宋体"/>
                <w:sz w:val="21"/>
                <w14:ligatures w14:val="none"/>
              </w:rPr>
            </w:pPr>
            <w:r>
              <w:rPr>
                <w:rFonts w:hint="eastAsia" w:eastAsia="宋体" w:cs="宋体"/>
                <w:sz w:val="21"/>
                <w14:ligatures w14:val="none"/>
              </w:rPr>
              <w:t>5</w:t>
            </w:r>
          </w:p>
        </w:tc>
        <w:tc>
          <w:tcPr>
            <w:tcW w:w="1444" w:type="pct"/>
            <w:vAlign w:val="center"/>
          </w:tcPr>
          <w:p w14:paraId="10F52B54">
            <w:pPr>
              <w:spacing w:line="260" w:lineRule="exact"/>
              <w:ind w:firstLine="0" w:firstLineChars="0"/>
              <w:rPr>
                <w:rFonts w:ascii="仿宋_GB2312" w:cs="宋体"/>
                <w:sz w:val="21"/>
                <w14:ligatures w14:val="none"/>
              </w:rPr>
            </w:pPr>
            <w:r>
              <w:rPr>
                <w:rFonts w:hint="eastAsia" w:ascii="仿宋_GB2312" w:cs="宋体"/>
                <w:sz w:val="21"/>
                <w14:ligatures w14:val="none"/>
              </w:rPr>
              <w:t>最终消费支出对地区生产总值贡献率（%）</w:t>
            </w:r>
          </w:p>
        </w:tc>
        <w:tc>
          <w:tcPr>
            <w:tcW w:w="563" w:type="pct"/>
            <w:vAlign w:val="center"/>
          </w:tcPr>
          <w:p w14:paraId="288BFDC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1D926620">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41" w:type="pct"/>
            <w:vAlign w:val="center"/>
          </w:tcPr>
          <w:p w14:paraId="1464960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71DC00BA">
            <w:pPr>
              <w:spacing w:line="260" w:lineRule="exact"/>
              <w:ind w:firstLine="0" w:firstLineChars="0"/>
              <w:jc w:val="center"/>
              <w:rPr>
                <w:rFonts w:eastAsia="宋体" w:cs="宋体"/>
                <w:sz w:val="21"/>
                <w14:ligatures w14:val="none"/>
              </w:rPr>
            </w:pPr>
            <w:r>
              <w:rPr>
                <w:rFonts w:hint="eastAsia" w:eastAsia="宋体" w:cs="宋体"/>
                <w:sz w:val="21"/>
                <w14:ligatures w14:val="none"/>
              </w:rPr>
              <w:t>不再公布</w:t>
            </w:r>
          </w:p>
        </w:tc>
        <w:tc>
          <w:tcPr>
            <w:tcW w:w="671" w:type="pct"/>
            <w:noWrap/>
            <w:vAlign w:val="center"/>
          </w:tcPr>
          <w:p w14:paraId="2014C14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659E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703513D5">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3F46C7F1">
            <w:pPr>
              <w:spacing w:line="260" w:lineRule="exact"/>
              <w:ind w:firstLine="0" w:firstLineChars="0"/>
              <w:jc w:val="center"/>
              <w:rPr>
                <w:rFonts w:eastAsia="宋体" w:cs="宋体"/>
                <w:sz w:val="21"/>
                <w14:ligatures w14:val="none"/>
              </w:rPr>
            </w:pPr>
            <w:r>
              <w:rPr>
                <w:rFonts w:hint="eastAsia" w:eastAsia="宋体" w:cs="宋体"/>
                <w:sz w:val="21"/>
                <w14:ligatures w14:val="none"/>
              </w:rPr>
              <w:t>6</w:t>
            </w:r>
          </w:p>
        </w:tc>
        <w:tc>
          <w:tcPr>
            <w:tcW w:w="1444" w:type="pct"/>
            <w:shd w:val="clear" w:color="auto" w:fill="FFFFFF"/>
            <w:vAlign w:val="center"/>
          </w:tcPr>
          <w:p w14:paraId="1971423E">
            <w:pPr>
              <w:spacing w:line="260" w:lineRule="exact"/>
              <w:ind w:firstLine="0" w:firstLineChars="0"/>
              <w:rPr>
                <w:rFonts w:ascii="仿宋_GB2312" w:cs="宋体"/>
                <w:sz w:val="21"/>
                <w14:ligatures w14:val="none"/>
              </w:rPr>
            </w:pPr>
            <w:r>
              <w:rPr>
                <w:rFonts w:hint="eastAsia" w:ascii="仿宋_GB2312" w:cs="宋体"/>
                <w:sz w:val="21"/>
                <w14:ligatures w14:val="none"/>
              </w:rPr>
              <w:t>对外贸易依存度（%）</w:t>
            </w:r>
          </w:p>
        </w:tc>
        <w:tc>
          <w:tcPr>
            <w:tcW w:w="563" w:type="pct"/>
            <w:shd w:val="clear" w:color="auto" w:fill="FFFFFF"/>
            <w:vAlign w:val="center"/>
          </w:tcPr>
          <w:p w14:paraId="29070843">
            <w:pPr>
              <w:spacing w:line="260" w:lineRule="exact"/>
              <w:ind w:firstLine="0" w:firstLineChars="0"/>
              <w:jc w:val="center"/>
              <w:rPr>
                <w:rFonts w:eastAsia="宋体" w:cs="宋体"/>
                <w:sz w:val="21"/>
                <w14:ligatures w14:val="none"/>
              </w:rPr>
            </w:pPr>
            <w:r>
              <w:rPr>
                <w:rFonts w:hint="eastAsia" w:eastAsia="宋体" w:cs="宋体"/>
                <w:sz w:val="21"/>
                <w14:ligatures w14:val="none"/>
              </w:rPr>
              <w:t>9</w:t>
            </w:r>
          </w:p>
        </w:tc>
        <w:tc>
          <w:tcPr>
            <w:tcW w:w="642" w:type="pct"/>
            <w:shd w:val="clear" w:color="auto" w:fill="FFFFFF"/>
            <w:vAlign w:val="center"/>
          </w:tcPr>
          <w:p w14:paraId="0DD4AD9D">
            <w:pPr>
              <w:spacing w:line="260" w:lineRule="exact"/>
              <w:ind w:firstLine="0" w:firstLineChars="0"/>
              <w:jc w:val="center"/>
              <w:rPr>
                <w:rFonts w:eastAsia="宋体" w:cs="宋体"/>
                <w:sz w:val="21"/>
                <w14:ligatures w14:val="none"/>
              </w:rPr>
            </w:pPr>
            <w:r>
              <w:rPr>
                <w:rFonts w:hint="eastAsia" w:eastAsia="宋体" w:cs="宋体"/>
                <w:sz w:val="21"/>
                <w14:ligatures w14:val="none"/>
              </w:rPr>
              <w:t>12</w:t>
            </w:r>
          </w:p>
        </w:tc>
        <w:tc>
          <w:tcPr>
            <w:tcW w:w="641" w:type="pct"/>
            <w:shd w:val="clear" w:color="auto" w:fill="FFFFFF"/>
            <w:vAlign w:val="center"/>
          </w:tcPr>
          <w:p w14:paraId="3315072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48C00F9A">
            <w:pPr>
              <w:spacing w:line="260" w:lineRule="exact"/>
              <w:ind w:firstLine="0" w:firstLineChars="0"/>
              <w:jc w:val="center"/>
              <w:rPr>
                <w:rFonts w:eastAsia="宋体" w:cs="宋体"/>
                <w:sz w:val="21"/>
                <w14:ligatures w14:val="none"/>
              </w:rPr>
            </w:pPr>
            <w:r>
              <w:rPr>
                <w:rFonts w:hint="eastAsia" w:eastAsia="宋体" w:cs="宋体"/>
                <w:sz w:val="21"/>
                <w14:ligatures w14:val="none"/>
              </w:rPr>
              <w:t>5.3</w:t>
            </w:r>
          </w:p>
        </w:tc>
        <w:tc>
          <w:tcPr>
            <w:tcW w:w="671" w:type="pct"/>
            <w:shd w:val="clear" w:color="auto" w:fill="FFFFFF"/>
            <w:noWrap/>
            <w:vAlign w:val="center"/>
          </w:tcPr>
          <w:p w14:paraId="0B2355C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D81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039821C4">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7E5419B7">
            <w:pPr>
              <w:spacing w:line="260" w:lineRule="exact"/>
              <w:ind w:firstLine="0" w:firstLineChars="0"/>
              <w:jc w:val="center"/>
              <w:rPr>
                <w:rFonts w:eastAsia="宋体" w:cs="宋体"/>
                <w:sz w:val="21"/>
                <w14:ligatures w14:val="none"/>
              </w:rPr>
            </w:pPr>
            <w:r>
              <w:rPr>
                <w:rFonts w:hint="eastAsia" w:eastAsia="宋体" w:cs="宋体"/>
                <w:sz w:val="21"/>
                <w14:ligatures w14:val="none"/>
              </w:rPr>
              <w:t>7</w:t>
            </w:r>
          </w:p>
        </w:tc>
        <w:tc>
          <w:tcPr>
            <w:tcW w:w="1444" w:type="pct"/>
            <w:shd w:val="clear" w:color="auto" w:fill="FFFFFF"/>
            <w:vAlign w:val="center"/>
          </w:tcPr>
          <w:p w14:paraId="7B6B868D">
            <w:pPr>
              <w:spacing w:line="260" w:lineRule="exact"/>
              <w:ind w:firstLine="0" w:firstLineChars="0"/>
              <w:rPr>
                <w:rFonts w:ascii="仿宋_GB2312" w:cs="宋体"/>
                <w:sz w:val="21"/>
                <w14:ligatures w14:val="none"/>
              </w:rPr>
            </w:pPr>
            <w:r>
              <w:rPr>
                <w:rFonts w:hint="eastAsia" w:ascii="仿宋_GB2312" w:cs="宋体"/>
                <w:sz w:val="21"/>
                <w14:ligatures w14:val="none"/>
              </w:rPr>
              <w:t>地方一般公共预算收入占地区生产总值比重（%）</w:t>
            </w:r>
          </w:p>
        </w:tc>
        <w:tc>
          <w:tcPr>
            <w:tcW w:w="563" w:type="pct"/>
            <w:shd w:val="clear" w:color="auto" w:fill="FFFFFF"/>
            <w:vAlign w:val="center"/>
          </w:tcPr>
          <w:p w14:paraId="6715BFD6">
            <w:pPr>
              <w:spacing w:line="260" w:lineRule="exact"/>
              <w:ind w:firstLine="0" w:firstLineChars="0"/>
              <w:jc w:val="center"/>
              <w:rPr>
                <w:rFonts w:eastAsia="宋体" w:cs="宋体"/>
                <w:sz w:val="21"/>
                <w14:ligatures w14:val="none"/>
              </w:rPr>
            </w:pPr>
            <w:r>
              <w:rPr>
                <w:rFonts w:hint="eastAsia" w:eastAsia="宋体" w:cs="宋体"/>
                <w:sz w:val="21"/>
                <w14:ligatures w14:val="none"/>
              </w:rPr>
              <w:t>6.13</w:t>
            </w:r>
          </w:p>
        </w:tc>
        <w:tc>
          <w:tcPr>
            <w:tcW w:w="642" w:type="pct"/>
            <w:shd w:val="clear" w:color="auto" w:fill="FFFFFF"/>
            <w:vAlign w:val="center"/>
          </w:tcPr>
          <w:p w14:paraId="486D753E">
            <w:pPr>
              <w:spacing w:line="260" w:lineRule="exact"/>
              <w:ind w:firstLine="0" w:firstLineChars="0"/>
              <w:jc w:val="center"/>
              <w:rPr>
                <w:rFonts w:eastAsia="宋体" w:cs="宋体"/>
                <w:sz w:val="21"/>
                <w14:ligatures w14:val="none"/>
              </w:rPr>
            </w:pPr>
            <w:r>
              <w:rPr>
                <w:rFonts w:hint="eastAsia" w:eastAsia="宋体" w:cs="宋体"/>
                <w:sz w:val="21"/>
                <w14:ligatures w14:val="none"/>
              </w:rPr>
              <w:t>6.33</w:t>
            </w:r>
          </w:p>
        </w:tc>
        <w:tc>
          <w:tcPr>
            <w:tcW w:w="641" w:type="pct"/>
            <w:shd w:val="clear" w:color="auto" w:fill="FFFFFF"/>
            <w:vAlign w:val="center"/>
          </w:tcPr>
          <w:p w14:paraId="2A37B91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36C3B072">
            <w:pPr>
              <w:spacing w:line="260" w:lineRule="exact"/>
              <w:ind w:firstLine="0" w:firstLineChars="0"/>
              <w:jc w:val="center"/>
              <w:rPr>
                <w:rFonts w:eastAsia="宋体" w:cs="宋体"/>
                <w:sz w:val="21"/>
                <w14:ligatures w14:val="none"/>
              </w:rPr>
            </w:pPr>
            <w:r>
              <w:rPr>
                <w:rFonts w:hint="eastAsia" w:eastAsia="宋体" w:cs="宋体"/>
                <w:sz w:val="21"/>
                <w14:ligatures w14:val="none"/>
              </w:rPr>
              <w:t>5.9</w:t>
            </w:r>
          </w:p>
        </w:tc>
        <w:tc>
          <w:tcPr>
            <w:tcW w:w="671" w:type="pct"/>
            <w:shd w:val="clear" w:color="auto" w:fill="FFFFFF"/>
            <w:noWrap/>
            <w:vAlign w:val="center"/>
          </w:tcPr>
          <w:p w14:paraId="0C54D52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B82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5CA7FCAB">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3395147F">
            <w:pPr>
              <w:spacing w:line="260" w:lineRule="exact"/>
              <w:ind w:firstLine="0" w:firstLineChars="0"/>
              <w:jc w:val="center"/>
              <w:rPr>
                <w:rFonts w:eastAsia="宋体" w:cs="宋体"/>
                <w:sz w:val="21"/>
                <w14:ligatures w14:val="none"/>
              </w:rPr>
            </w:pPr>
            <w:r>
              <w:rPr>
                <w:rFonts w:hint="eastAsia" w:eastAsia="宋体" w:cs="宋体"/>
                <w:sz w:val="21"/>
                <w14:ligatures w14:val="none"/>
              </w:rPr>
              <w:t>8</w:t>
            </w:r>
          </w:p>
        </w:tc>
        <w:tc>
          <w:tcPr>
            <w:tcW w:w="1444" w:type="pct"/>
            <w:shd w:val="clear" w:color="auto" w:fill="FFFFFF"/>
            <w:vAlign w:val="center"/>
          </w:tcPr>
          <w:p w14:paraId="794026F2">
            <w:pPr>
              <w:spacing w:line="260" w:lineRule="exact"/>
              <w:ind w:firstLine="0" w:firstLineChars="0"/>
              <w:rPr>
                <w:rFonts w:ascii="仿宋_GB2312" w:cs="宋体"/>
                <w:sz w:val="21"/>
                <w14:ligatures w14:val="none"/>
              </w:rPr>
            </w:pPr>
            <w:r>
              <w:rPr>
                <w:rFonts w:hint="eastAsia" w:ascii="仿宋_GB2312" w:cs="宋体"/>
                <w:sz w:val="21"/>
                <w14:ligatures w14:val="none"/>
              </w:rPr>
              <w:t>常住人口城镇化率（%）</w:t>
            </w:r>
          </w:p>
        </w:tc>
        <w:tc>
          <w:tcPr>
            <w:tcW w:w="563" w:type="pct"/>
            <w:shd w:val="clear" w:color="auto" w:fill="FFFFFF"/>
            <w:vAlign w:val="center"/>
          </w:tcPr>
          <w:p w14:paraId="2D2317D0">
            <w:pPr>
              <w:spacing w:line="260" w:lineRule="exact"/>
              <w:ind w:firstLine="0" w:firstLineChars="0"/>
              <w:jc w:val="center"/>
              <w:rPr>
                <w:rFonts w:eastAsia="宋体" w:cs="宋体"/>
                <w:sz w:val="21"/>
                <w14:ligatures w14:val="none"/>
              </w:rPr>
            </w:pPr>
            <w:r>
              <w:rPr>
                <w:rFonts w:hint="eastAsia" w:eastAsia="宋体" w:cs="宋体"/>
                <w:sz w:val="21"/>
                <w14:ligatures w14:val="none"/>
              </w:rPr>
              <w:t>46.94</w:t>
            </w:r>
          </w:p>
        </w:tc>
        <w:tc>
          <w:tcPr>
            <w:tcW w:w="642" w:type="pct"/>
            <w:shd w:val="clear" w:color="auto" w:fill="FFFFFF"/>
            <w:vAlign w:val="center"/>
          </w:tcPr>
          <w:p w14:paraId="365550D1">
            <w:pPr>
              <w:spacing w:line="260" w:lineRule="exact"/>
              <w:ind w:firstLine="0" w:firstLineChars="0"/>
              <w:jc w:val="center"/>
              <w:rPr>
                <w:rFonts w:eastAsia="宋体" w:cs="宋体"/>
                <w:sz w:val="21"/>
                <w14:ligatures w14:val="none"/>
              </w:rPr>
            </w:pPr>
            <w:r>
              <w:rPr>
                <w:rFonts w:hint="eastAsia" w:eastAsia="宋体" w:cs="宋体"/>
                <w:sz w:val="21"/>
                <w14:ligatures w14:val="none"/>
              </w:rPr>
              <w:t>54</w:t>
            </w:r>
          </w:p>
        </w:tc>
        <w:tc>
          <w:tcPr>
            <w:tcW w:w="641" w:type="pct"/>
            <w:shd w:val="clear" w:color="auto" w:fill="FFFFFF"/>
            <w:vAlign w:val="center"/>
          </w:tcPr>
          <w:p w14:paraId="020A3BF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5DAC3F7C">
            <w:pPr>
              <w:spacing w:line="260" w:lineRule="exact"/>
              <w:ind w:firstLine="0" w:firstLineChars="0"/>
              <w:jc w:val="center"/>
              <w:rPr>
                <w:rFonts w:eastAsia="宋体" w:cs="宋体"/>
                <w:sz w:val="21"/>
                <w14:ligatures w14:val="none"/>
              </w:rPr>
            </w:pPr>
            <w:r>
              <w:rPr>
                <w:rFonts w:hint="eastAsia" w:eastAsia="宋体" w:cs="宋体"/>
                <w:sz w:val="21"/>
                <w14:ligatures w14:val="none"/>
              </w:rPr>
              <w:t>51.7</w:t>
            </w:r>
          </w:p>
        </w:tc>
        <w:tc>
          <w:tcPr>
            <w:tcW w:w="671" w:type="pct"/>
            <w:shd w:val="clear" w:color="auto" w:fill="FFFFFF"/>
            <w:noWrap/>
            <w:vAlign w:val="center"/>
          </w:tcPr>
          <w:p w14:paraId="340C6B7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032F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shd w:val="clear" w:color="auto" w:fill="FFFFFF"/>
            <w:vAlign w:val="center"/>
          </w:tcPr>
          <w:p w14:paraId="3A8FF41E">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创新驱动</w:t>
            </w:r>
          </w:p>
        </w:tc>
        <w:tc>
          <w:tcPr>
            <w:tcW w:w="241" w:type="pct"/>
            <w:shd w:val="clear" w:color="auto" w:fill="FFFFFF"/>
            <w:vAlign w:val="center"/>
          </w:tcPr>
          <w:p w14:paraId="3F94FE9C">
            <w:pPr>
              <w:spacing w:line="260" w:lineRule="exact"/>
              <w:ind w:firstLine="0" w:firstLineChars="0"/>
              <w:jc w:val="center"/>
              <w:rPr>
                <w:rFonts w:eastAsia="宋体" w:cs="宋体"/>
                <w:sz w:val="21"/>
                <w14:ligatures w14:val="none"/>
              </w:rPr>
            </w:pPr>
            <w:r>
              <w:rPr>
                <w:rFonts w:hint="eastAsia" w:eastAsia="宋体" w:cs="宋体"/>
                <w:sz w:val="21"/>
                <w14:ligatures w14:val="none"/>
              </w:rPr>
              <w:t>9</w:t>
            </w:r>
          </w:p>
        </w:tc>
        <w:tc>
          <w:tcPr>
            <w:tcW w:w="1444" w:type="pct"/>
            <w:shd w:val="clear" w:color="auto" w:fill="FFFFFF"/>
            <w:vAlign w:val="center"/>
          </w:tcPr>
          <w:p w14:paraId="51F88D19">
            <w:pPr>
              <w:spacing w:line="260" w:lineRule="exact"/>
              <w:ind w:firstLine="0" w:firstLineChars="0"/>
              <w:rPr>
                <w:rFonts w:ascii="仿宋_GB2312" w:cs="宋体"/>
                <w:sz w:val="21"/>
                <w14:ligatures w14:val="none"/>
              </w:rPr>
            </w:pPr>
            <w:r>
              <w:rPr>
                <w:rFonts w:hint="eastAsia" w:ascii="仿宋_GB2312" w:cs="宋体"/>
                <w:sz w:val="21"/>
                <w14:ligatures w14:val="none"/>
              </w:rPr>
              <w:t>研发经费投入增长（%）</w:t>
            </w:r>
          </w:p>
        </w:tc>
        <w:tc>
          <w:tcPr>
            <w:tcW w:w="563" w:type="pct"/>
            <w:shd w:val="clear" w:color="auto" w:fill="FFFFFF"/>
            <w:vAlign w:val="center"/>
          </w:tcPr>
          <w:p w14:paraId="4749DD89">
            <w:pPr>
              <w:spacing w:line="260" w:lineRule="exact"/>
              <w:ind w:firstLine="0" w:firstLineChars="0"/>
              <w:jc w:val="center"/>
              <w:rPr>
                <w:rFonts w:eastAsia="宋体" w:cs="宋体"/>
                <w:sz w:val="21"/>
                <w14:ligatures w14:val="none"/>
              </w:rPr>
            </w:pPr>
            <w:r>
              <w:rPr>
                <w:rFonts w:hint="eastAsia" w:eastAsia="宋体" w:cs="宋体"/>
                <w:sz w:val="21"/>
                <w14:ligatures w14:val="none"/>
              </w:rPr>
              <w:t>9.17</w:t>
            </w:r>
          </w:p>
        </w:tc>
        <w:tc>
          <w:tcPr>
            <w:tcW w:w="642" w:type="pct"/>
            <w:shd w:val="clear" w:color="auto" w:fill="FFFFFF"/>
            <w:vAlign w:val="center"/>
          </w:tcPr>
          <w:p w14:paraId="77C4A85C">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shd w:val="clear" w:color="auto" w:fill="FFFFFF"/>
            <w:vAlign w:val="center"/>
          </w:tcPr>
          <w:p w14:paraId="4E7BB839">
            <w:pPr>
              <w:spacing w:line="260" w:lineRule="exact"/>
              <w:ind w:firstLine="0" w:firstLineChars="0"/>
              <w:jc w:val="center"/>
              <w:rPr>
                <w:rFonts w:eastAsia="宋体" w:cs="宋体"/>
                <w:sz w:val="21"/>
                <w14:ligatures w14:val="none"/>
              </w:rPr>
            </w:pPr>
            <w:r>
              <w:rPr>
                <w:rFonts w:hint="eastAsia" w:eastAsia="宋体" w:cs="宋体"/>
                <w:sz w:val="21"/>
                <w14:ligatures w14:val="none"/>
              </w:rPr>
              <w:t>＞13</w:t>
            </w:r>
          </w:p>
        </w:tc>
        <w:tc>
          <w:tcPr>
            <w:tcW w:w="561" w:type="pct"/>
            <w:shd w:val="clear" w:color="auto" w:fill="FFFFFF"/>
            <w:noWrap/>
            <w:vAlign w:val="center"/>
          </w:tcPr>
          <w:p w14:paraId="7B5744A3">
            <w:pPr>
              <w:spacing w:line="260" w:lineRule="exact"/>
              <w:ind w:firstLine="0" w:firstLineChars="0"/>
              <w:jc w:val="center"/>
              <w:rPr>
                <w:rFonts w:eastAsia="宋体" w:cs="宋体"/>
                <w:sz w:val="21"/>
                <w14:ligatures w14:val="none"/>
              </w:rPr>
            </w:pPr>
            <w:r>
              <w:rPr>
                <w:rFonts w:hint="eastAsia" w:eastAsia="宋体" w:cs="宋体"/>
                <w:sz w:val="21"/>
                <w14:ligatures w14:val="none"/>
              </w:rPr>
              <w:t>10</w:t>
            </w:r>
          </w:p>
        </w:tc>
        <w:tc>
          <w:tcPr>
            <w:tcW w:w="671" w:type="pct"/>
            <w:shd w:val="clear" w:color="auto" w:fill="FFFFFF"/>
            <w:noWrap/>
            <w:vAlign w:val="center"/>
          </w:tcPr>
          <w:p w14:paraId="5DF10A90">
            <w:pPr>
              <w:spacing w:line="260" w:lineRule="exact"/>
              <w:ind w:firstLine="0" w:firstLineChars="0"/>
              <w:jc w:val="center"/>
              <w:rPr>
                <w:rFonts w:eastAsia="宋体" w:cs="宋体"/>
                <w:sz w:val="21"/>
                <w14:ligatures w14:val="none"/>
              </w:rPr>
            </w:pPr>
            <w:r>
              <w:rPr>
                <w:rFonts w:hint="eastAsia" w:eastAsia="宋体" w:cs="宋体"/>
                <w:sz w:val="21"/>
                <w14:ligatures w14:val="none"/>
              </w:rPr>
              <w:t>7.2</w:t>
            </w:r>
          </w:p>
        </w:tc>
      </w:tr>
      <w:tr w14:paraId="4937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1CA5FFA">
            <w:pPr>
              <w:spacing w:line="260" w:lineRule="exact"/>
              <w:ind w:firstLine="0" w:firstLineChars="0"/>
              <w:jc w:val="center"/>
              <w:rPr>
                <w:rFonts w:eastAsia="宋体" w:cs="宋体"/>
                <w:sz w:val="21"/>
                <w14:ligatures w14:val="none"/>
              </w:rPr>
            </w:pPr>
          </w:p>
        </w:tc>
        <w:tc>
          <w:tcPr>
            <w:tcW w:w="241" w:type="pct"/>
            <w:vAlign w:val="center"/>
          </w:tcPr>
          <w:p w14:paraId="0BD0C0A2">
            <w:pPr>
              <w:spacing w:line="260" w:lineRule="exact"/>
              <w:ind w:firstLine="0" w:firstLineChars="0"/>
              <w:jc w:val="center"/>
              <w:rPr>
                <w:rFonts w:eastAsia="宋体" w:cs="宋体"/>
                <w:sz w:val="21"/>
                <w14:ligatures w14:val="none"/>
              </w:rPr>
            </w:pPr>
            <w:r>
              <w:rPr>
                <w:rFonts w:hint="eastAsia" w:eastAsia="宋体" w:cs="宋体"/>
                <w:sz w:val="21"/>
                <w14:ligatures w14:val="none"/>
              </w:rPr>
              <w:t>10</w:t>
            </w:r>
          </w:p>
        </w:tc>
        <w:tc>
          <w:tcPr>
            <w:tcW w:w="1444" w:type="pct"/>
            <w:vAlign w:val="center"/>
          </w:tcPr>
          <w:p w14:paraId="627AC3EB">
            <w:pPr>
              <w:spacing w:line="260" w:lineRule="exact"/>
              <w:ind w:firstLine="0" w:firstLineChars="0"/>
              <w:rPr>
                <w:rFonts w:ascii="仿宋_GB2312" w:cs="宋体"/>
                <w:sz w:val="21"/>
                <w14:ligatures w14:val="none"/>
              </w:rPr>
            </w:pPr>
            <w:r>
              <w:rPr>
                <w:rFonts w:hint="eastAsia" w:ascii="仿宋_GB2312" w:cs="宋体"/>
                <w:sz w:val="21"/>
                <w14:ligatures w14:val="none"/>
              </w:rPr>
              <w:t>每万人口高价值发明专利拥有量（件）</w:t>
            </w:r>
          </w:p>
        </w:tc>
        <w:tc>
          <w:tcPr>
            <w:tcW w:w="563" w:type="pct"/>
            <w:vAlign w:val="center"/>
          </w:tcPr>
          <w:p w14:paraId="1ABAE9A3">
            <w:pPr>
              <w:spacing w:line="260" w:lineRule="exact"/>
              <w:ind w:firstLine="0" w:firstLineChars="0"/>
              <w:jc w:val="center"/>
              <w:rPr>
                <w:rFonts w:eastAsia="宋体" w:cs="宋体"/>
                <w:sz w:val="21"/>
                <w14:ligatures w14:val="none"/>
              </w:rPr>
            </w:pPr>
            <w:r>
              <w:rPr>
                <w:rFonts w:hint="eastAsia" w:eastAsia="宋体" w:cs="宋体"/>
                <w:sz w:val="21"/>
                <w14:ligatures w14:val="none"/>
              </w:rPr>
              <w:t>0.1</w:t>
            </w:r>
          </w:p>
        </w:tc>
        <w:tc>
          <w:tcPr>
            <w:tcW w:w="642" w:type="pct"/>
            <w:vAlign w:val="center"/>
          </w:tcPr>
          <w:p w14:paraId="0FA1CED6">
            <w:pPr>
              <w:spacing w:line="260" w:lineRule="exact"/>
              <w:ind w:firstLine="0" w:firstLineChars="0"/>
              <w:jc w:val="center"/>
              <w:rPr>
                <w:rFonts w:eastAsia="宋体" w:cs="宋体"/>
                <w:sz w:val="21"/>
                <w14:ligatures w14:val="none"/>
              </w:rPr>
            </w:pPr>
            <w:r>
              <w:rPr>
                <w:rFonts w:hint="eastAsia" w:eastAsia="宋体" w:cs="宋体"/>
                <w:sz w:val="21"/>
                <w14:ligatures w14:val="none"/>
              </w:rPr>
              <w:t>1</w:t>
            </w:r>
          </w:p>
        </w:tc>
        <w:tc>
          <w:tcPr>
            <w:tcW w:w="641" w:type="pct"/>
            <w:vAlign w:val="center"/>
          </w:tcPr>
          <w:p w14:paraId="4D88993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0C69E883">
            <w:pPr>
              <w:spacing w:line="260" w:lineRule="exact"/>
              <w:ind w:firstLine="0" w:firstLineChars="0"/>
              <w:jc w:val="center"/>
              <w:rPr>
                <w:rFonts w:eastAsia="宋体" w:cs="宋体"/>
                <w:sz w:val="21"/>
                <w14:ligatures w14:val="none"/>
              </w:rPr>
            </w:pPr>
            <w:r>
              <w:rPr>
                <w:rFonts w:hint="eastAsia" w:eastAsia="宋体" w:cs="宋体"/>
                <w:sz w:val="21"/>
                <w14:ligatures w14:val="none"/>
              </w:rPr>
              <w:t>1.25</w:t>
            </w:r>
          </w:p>
        </w:tc>
        <w:tc>
          <w:tcPr>
            <w:tcW w:w="671" w:type="pct"/>
            <w:noWrap/>
            <w:vAlign w:val="center"/>
          </w:tcPr>
          <w:p w14:paraId="560998C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06C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357D873">
            <w:pPr>
              <w:spacing w:line="260" w:lineRule="exact"/>
              <w:ind w:firstLine="0" w:firstLineChars="0"/>
              <w:jc w:val="center"/>
              <w:rPr>
                <w:rFonts w:eastAsia="宋体" w:cs="宋体"/>
                <w:sz w:val="21"/>
                <w14:ligatures w14:val="none"/>
              </w:rPr>
            </w:pPr>
          </w:p>
        </w:tc>
        <w:tc>
          <w:tcPr>
            <w:tcW w:w="241" w:type="pct"/>
            <w:vAlign w:val="center"/>
          </w:tcPr>
          <w:p w14:paraId="0C17B961">
            <w:pPr>
              <w:spacing w:line="260" w:lineRule="exact"/>
              <w:ind w:firstLine="0" w:firstLineChars="0"/>
              <w:jc w:val="center"/>
              <w:rPr>
                <w:rFonts w:eastAsia="宋体" w:cs="宋体"/>
                <w:sz w:val="21"/>
                <w14:ligatures w14:val="none"/>
              </w:rPr>
            </w:pPr>
            <w:r>
              <w:rPr>
                <w:rFonts w:hint="eastAsia" w:eastAsia="宋体" w:cs="宋体"/>
                <w:sz w:val="21"/>
                <w14:ligatures w14:val="none"/>
              </w:rPr>
              <w:t>11</w:t>
            </w:r>
          </w:p>
        </w:tc>
        <w:tc>
          <w:tcPr>
            <w:tcW w:w="1444" w:type="pct"/>
            <w:vAlign w:val="center"/>
          </w:tcPr>
          <w:p w14:paraId="052F6C9F">
            <w:pPr>
              <w:spacing w:line="260" w:lineRule="exact"/>
              <w:ind w:firstLine="0" w:firstLineChars="0"/>
              <w:rPr>
                <w:rFonts w:ascii="仿宋_GB2312" w:cs="宋体"/>
                <w:sz w:val="21"/>
                <w14:ligatures w14:val="none"/>
              </w:rPr>
            </w:pPr>
            <w:r>
              <w:rPr>
                <w:rFonts w:hint="eastAsia" w:ascii="仿宋_GB2312" w:cs="宋体"/>
                <w:sz w:val="21"/>
                <w14:ligatures w14:val="none"/>
              </w:rPr>
              <w:t>数字经济核心产业增加值占地区生产总值比重（%）</w:t>
            </w:r>
          </w:p>
        </w:tc>
        <w:tc>
          <w:tcPr>
            <w:tcW w:w="563" w:type="pct"/>
            <w:vAlign w:val="center"/>
          </w:tcPr>
          <w:p w14:paraId="0766D3F3">
            <w:pPr>
              <w:spacing w:line="260" w:lineRule="exact"/>
              <w:ind w:firstLine="0" w:firstLineChars="0"/>
              <w:jc w:val="center"/>
              <w:rPr>
                <w:rFonts w:eastAsia="宋体" w:cs="宋体"/>
                <w:sz w:val="21"/>
                <w14:ligatures w14:val="none"/>
              </w:rPr>
            </w:pPr>
            <w:r>
              <w:rPr>
                <w:rFonts w:hint="eastAsia" w:eastAsia="宋体" w:cs="宋体"/>
                <w:sz w:val="21"/>
                <w14:ligatures w14:val="none"/>
              </w:rPr>
              <w:t>3.5</w:t>
            </w:r>
          </w:p>
        </w:tc>
        <w:tc>
          <w:tcPr>
            <w:tcW w:w="642" w:type="pct"/>
            <w:vAlign w:val="center"/>
          </w:tcPr>
          <w:p w14:paraId="0EDDCFFF">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41" w:type="pct"/>
            <w:vAlign w:val="center"/>
          </w:tcPr>
          <w:p w14:paraId="6E811E6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6A779102">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71" w:type="pct"/>
            <w:noWrap/>
            <w:vAlign w:val="center"/>
          </w:tcPr>
          <w:p w14:paraId="0802D9D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19F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1388758A">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民生福祉</w:t>
            </w:r>
          </w:p>
        </w:tc>
        <w:tc>
          <w:tcPr>
            <w:tcW w:w="241" w:type="pct"/>
            <w:vAlign w:val="center"/>
          </w:tcPr>
          <w:p w14:paraId="7511F689">
            <w:pPr>
              <w:spacing w:line="260" w:lineRule="exact"/>
              <w:ind w:firstLine="0" w:firstLineChars="0"/>
              <w:jc w:val="center"/>
              <w:rPr>
                <w:rFonts w:eastAsia="宋体" w:cs="宋体"/>
                <w:sz w:val="21"/>
                <w14:ligatures w14:val="none"/>
              </w:rPr>
            </w:pPr>
            <w:r>
              <w:rPr>
                <w:rFonts w:hint="eastAsia" w:eastAsia="宋体" w:cs="宋体"/>
                <w:sz w:val="21"/>
                <w14:ligatures w14:val="none"/>
              </w:rPr>
              <w:t>12</w:t>
            </w:r>
          </w:p>
        </w:tc>
        <w:tc>
          <w:tcPr>
            <w:tcW w:w="1444" w:type="pct"/>
            <w:vAlign w:val="center"/>
          </w:tcPr>
          <w:p w14:paraId="4D2BE9F1">
            <w:pPr>
              <w:spacing w:line="260" w:lineRule="exact"/>
              <w:ind w:firstLine="0" w:firstLineChars="0"/>
              <w:rPr>
                <w:rFonts w:ascii="仿宋_GB2312" w:cs="宋体"/>
                <w:sz w:val="21"/>
                <w14:ligatures w14:val="none"/>
              </w:rPr>
            </w:pPr>
            <w:r>
              <w:rPr>
                <w:rFonts w:hint="eastAsia" w:ascii="仿宋_GB2312" w:cs="宋体"/>
                <w:spacing w:val="-11"/>
                <w:sz w:val="21"/>
                <w14:ligatures w14:val="none"/>
              </w:rPr>
              <w:t>居民人均可支配收入增长（%）</w:t>
            </w:r>
          </w:p>
        </w:tc>
        <w:tc>
          <w:tcPr>
            <w:tcW w:w="563" w:type="pct"/>
            <w:vAlign w:val="center"/>
          </w:tcPr>
          <w:p w14:paraId="28BAAC47">
            <w:pPr>
              <w:spacing w:line="260" w:lineRule="exact"/>
              <w:ind w:firstLine="0" w:firstLineChars="0"/>
              <w:jc w:val="center"/>
              <w:rPr>
                <w:rFonts w:eastAsia="宋体" w:cs="宋体"/>
                <w:sz w:val="21"/>
                <w14:ligatures w14:val="none"/>
              </w:rPr>
            </w:pPr>
            <w:r>
              <w:rPr>
                <w:rFonts w:hint="eastAsia" w:eastAsia="宋体" w:cs="宋体"/>
                <w:sz w:val="21"/>
                <w14:ligatures w14:val="none"/>
              </w:rPr>
              <w:t>6.5</w:t>
            </w:r>
          </w:p>
        </w:tc>
        <w:tc>
          <w:tcPr>
            <w:tcW w:w="642" w:type="pct"/>
            <w:vAlign w:val="center"/>
          </w:tcPr>
          <w:p w14:paraId="1C6FDE9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0ABADC37">
            <w:pPr>
              <w:spacing w:line="260" w:lineRule="exact"/>
              <w:ind w:firstLine="0" w:firstLineChars="0"/>
              <w:jc w:val="center"/>
              <w:rPr>
                <w:rFonts w:eastAsia="宋体" w:cs="宋体"/>
                <w:sz w:val="21"/>
                <w14:ligatures w14:val="none"/>
              </w:rPr>
            </w:pPr>
            <w:r>
              <w:rPr>
                <w:rFonts w:hint="eastAsia" w:eastAsia="宋体" w:cs="宋体"/>
                <w:sz w:val="21"/>
                <w14:ligatures w14:val="none"/>
              </w:rPr>
              <w:t>8</w:t>
            </w:r>
          </w:p>
        </w:tc>
        <w:tc>
          <w:tcPr>
            <w:tcW w:w="561" w:type="pct"/>
            <w:noWrap/>
            <w:vAlign w:val="center"/>
          </w:tcPr>
          <w:p w14:paraId="3D9ED48A">
            <w:pPr>
              <w:spacing w:line="260" w:lineRule="exact"/>
              <w:ind w:firstLine="0" w:firstLineChars="0"/>
              <w:jc w:val="center"/>
              <w:rPr>
                <w:rFonts w:eastAsia="宋体" w:cs="宋体"/>
                <w:sz w:val="21"/>
                <w14:ligatures w14:val="none"/>
              </w:rPr>
            </w:pPr>
            <w:r>
              <w:rPr>
                <w:rFonts w:hint="eastAsia" w:eastAsia="宋体" w:cs="宋体"/>
                <w:sz w:val="21"/>
                <w14:ligatures w14:val="none"/>
              </w:rPr>
              <w:t>6.2</w:t>
            </w:r>
          </w:p>
        </w:tc>
        <w:tc>
          <w:tcPr>
            <w:tcW w:w="671" w:type="pct"/>
            <w:noWrap/>
            <w:vAlign w:val="center"/>
          </w:tcPr>
          <w:p w14:paraId="114C9292">
            <w:pPr>
              <w:spacing w:line="260" w:lineRule="exact"/>
              <w:ind w:firstLine="0" w:firstLineChars="0"/>
              <w:jc w:val="center"/>
              <w:rPr>
                <w:rFonts w:eastAsia="宋体" w:cs="宋体"/>
                <w:sz w:val="21"/>
                <w14:ligatures w14:val="none"/>
              </w:rPr>
            </w:pPr>
            <w:r>
              <w:rPr>
                <w:rFonts w:hint="eastAsia" w:eastAsia="宋体" w:cs="宋体"/>
                <w:sz w:val="21"/>
                <w14:ligatures w14:val="none"/>
              </w:rPr>
              <w:t>6.4</w:t>
            </w:r>
          </w:p>
        </w:tc>
      </w:tr>
      <w:tr w14:paraId="341D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2240AEC2">
            <w:pPr>
              <w:spacing w:line="260" w:lineRule="exact"/>
              <w:ind w:firstLine="0" w:firstLineChars="0"/>
              <w:jc w:val="center"/>
              <w:rPr>
                <w:rFonts w:eastAsia="宋体" w:cs="宋体"/>
                <w:sz w:val="21"/>
                <w14:ligatures w14:val="none"/>
              </w:rPr>
            </w:pPr>
          </w:p>
        </w:tc>
        <w:tc>
          <w:tcPr>
            <w:tcW w:w="241" w:type="pct"/>
            <w:vAlign w:val="center"/>
          </w:tcPr>
          <w:p w14:paraId="267D114F">
            <w:pPr>
              <w:spacing w:line="260" w:lineRule="exact"/>
              <w:ind w:firstLine="0" w:firstLineChars="0"/>
              <w:jc w:val="center"/>
              <w:rPr>
                <w:rFonts w:eastAsia="宋体" w:cs="宋体"/>
                <w:sz w:val="21"/>
                <w14:ligatures w14:val="none"/>
              </w:rPr>
            </w:pPr>
            <w:r>
              <w:rPr>
                <w:rFonts w:hint="eastAsia" w:eastAsia="宋体" w:cs="宋体"/>
                <w:sz w:val="21"/>
                <w14:ligatures w14:val="none"/>
              </w:rPr>
              <w:t>13</w:t>
            </w:r>
          </w:p>
        </w:tc>
        <w:tc>
          <w:tcPr>
            <w:tcW w:w="1444" w:type="pct"/>
            <w:vAlign w:val="center"/>
          </w:tcPr>
          <w:p w14:paraId="270DCC75">
            <w:pPr>
              <w:spacing w:line="260" w:lineRule="exact"/>
              <w:ind w:firstLine="0" w:firstLineChars="0"/>
              <w:rPr>
                <w:rFonts w:ascii="仿宋_GB2312" w:cs="宋体"/>
                <w:sz w:val="21"/>
                <w14:ligatures w14:val="none"/>
              </w:rPr>
            </w:pPr>
            <w:r>
              <w:rPr>
                <w:rFonts w:hint="eastAsia" w:ascii="仿宋_GB2312" w:cs="宋体"/>
                <w:sz w:val="21"/>
                <w14:ligatures w14:val="none"/>
              </w:rPr>
              <w:t>城镇调查失业率（%）</w:t>
            </w:r>
          </w:p>
        </w:tc>
        <w:tc>
          <w:tcPr>
            <w:tcW w:w="563" w:type="pct"/>
            <w:vAlign w:val="center"/>
          </w:tcPr>
          <w:p w14:paraId="5769664A">
            <w:pPr>
              <w:spacing w:line="260" w:lineRule="exact"/>
              <w:ind w:firstLine="0" w:firstLineChars="0"/>
              <w:jc w:val="center"/>
              <w:rPr>
                <w:rFonts w:eastAsia="宋体" w:cs="宋体"/>
                <w:sz w:val="21"/>
                <w14:ligatures w14:val="none"/>
              </w:rPr>
            </w:pPr>
            <w:r>
              <w:rPr>
                <w:rFonts w:hint="eastAsia" w:eastAsia="宋体" w:cs="宋体"/>
                <w:sz w:val="21"/>
                <w14:ligatures w14:val="none"/>
              </w:rPr>
              <w:t>6.0</w:t>
            </w:r>
          </w:p>
        </w:tc>
        <w:tc>
          <w:tcPr>
            <w:tcW w:w="642" w:type="pct"/>
            <w:vAlign w:val="center"/>
          </w:tcPr>
          <w:p w14:paraId="01861129">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41" w:type="pct"/>
            <w:vAlign w:val="center"/>
          </w:tcPr>
          <w:p w14:paraId="0F4CF11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5C8E23C">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71" w:type="pct"/>
            <w:noWrap/>
            <w:vAlign w:val="center"/>
          </w:tcPr>
          <w:p w14:paraId="569BDA9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03B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9B36B82">
            <w:pPr>
              <w:spacing w:line="260" w:lineRule="exact"/>
              <w:ind w:firstLine="0" w:firstLineChars="0"/>
              <w:jc w:val="center"/>
              <w:rPr>
                <w:rFonts w:eastAsia="宋体" w:cs="宋体"/>
                <w:sz w:val="21"/>
                <w14:ligatures w14:val="none"/>
              </w:rPr>
            </w:pPr>
          </w:p>
        </w:tc>
        <w:tc>
          <w:tcPr>
            <w:tcW w:w="241" w:type="pct"/>
            <w:vAlign w:val="center"/>
          </w:tcPr>
          <w:p w14:paraId="7330655E">
            <w:pPr>
              <w:spacing w:line="260" w:lineRule="exact"/>
              <w:ind w:firstLine="0" w:firstLineChars="0"/>
              <w:jc w:val="center"/>
              <w:rPr>
                <w:rFonts w:eastAsia="宋体" w:cs="宋体"/>
                <w:sz w:val="21"/>
                <w14:ligatures w14:val="none"/>
              </w:rPr>
            </w:pPr>
            <w:r>
              <w:rPr>
                <w:rFonts w:hint="eastAsia" w:eastAsia="宋体" w:cs="宋体"/>
                <w:sz w:val="21"/>
                <w14:ligatures w14:val="none"/>
              </w:rPr>
              <w:t>14</w:t>
            </w:r>
          </w:p>
        </w:tc>
        <w:tc>
          <w:tcPr>
            <w:tcW w:w="1444" w:type="pct"/>
            <w:vAlign w:val="center"/>
          </w:tcPr>
          <w:p w14:paraId="22ADACD4">
            <w:pPr>
              <w:spacing w:line="260" w:lineRule="exact"/>
              <w:ind w:firstLine="0" w:firstLineChars="0"/>
              <w:rPr>
                <w:rFonts w:ascii="仿宋_GB2312" w:cs="宋体"/>
                <w:sz w:val="21"/>
                <w14:ligatures w14:val="none"/>
              </w:rPr>
            </w:pPr>
            <w:r>
              <w:rPr>
                <w:rFonts w:hint="eastAsia" w:ascii="仿宋_GB2312" w:cs="宋体"/>
                <w:sz w:val="21"/>
                <w14:ligatures w14:val="none"/>
              </w:rPr>
              <w:t>劳动年龄人口平均受教育年限（年）</w:t>
            </w:r>
          </w:p>
        </w:tc>
        <w:tc>
          <w:tcPr>
            <w:tcW w:w="563" w:type="pct"/>
            <w:vAlign w:val="center"/>
          </w:tcPr>
          <w:p w14:paraId="7BCC0738">
            <w:pPr>
              <w:spacing w:line="260" w:lineRule="exact"/>
              <w:ind w:firstLine="0" w:firstLineChars="0"/>
              <w:jc w:val="center"/>
              <w:rPr>
                <w:rFonts w:eastAsia="宋体" w:cs="宋体"/>
                <w:sz w:val="21"/>
                <w14:ligatures w14:val="none"/>
              </w:rPr>
            </w:pPr>
            <w:r>
              <w:rPr>
                <w:rFonts w:hint="eastAsia" w:eastAsia="宋体" w:cs="宋体"/>
                <w:sz w:val="21"/>
                <w14:ligatures w14:val="none"/>
              </w:rPr>
              <w:t>10.16</w:t>
            </w:r>
          </w:p>
        </w:tc>
        <w:tc>
          <w:tcPr>
            <w:tcW w:w="642" w:type="pct"/>
            <w:vAlign w:val="center"/>
          </w:tcPr>
          <w:p w14:paraId="5D3DF71D">
            <w:pPr>
              <w:spacing w:line="260" w:lineRule="exact"/>
              <w:ind w:firstLine="0" w:firstLineChars="0"/>
              <w:jc w:val="center"/>
              <w:rPr>
                <w:rFonts w:eastAsia="宋体" w:cs="宋体"/>
                <w:sz w:val="21"/>
                <w14:ligatures w14:val="none"/>
              </w:rPr>
            </w:pPr>
            <w:r>
              <w:rPr>
                <w:rFonts w:hint="eastAsia" w:eastAsia="宋体" w:cs="宋体"/>
                <w:sz w:val="21"/>
                <w14:ligatures w14:val="none"/>
              </w:rPr>
              <w:t>10.6</w:t>
            </w:r>
          </w:p>
        </w:tc>
        <w:tc>
          <w:tcPr>
            <w:tcW w:w="641" w:type="pct"/>
            <w:vAlign w:val="center"/>
          </w:tcPr>
          <w:p w14:paraId="2D3DF279">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3C8BC4C1">
            <w:pPr>
              <w:spacing w:line="260" w:lineRule="exact"/>
              <w:ind w:firstLine="0" w:firstLineChars="0"/>
              <w:jc w:val="center"/>
              <w:rPr>
                <w:rFonts w:eastAsia="宋体" w:cs="宋体"/>
                <w:sz w:val="21"/>
                <w14:ligatures w14:val="none"/>
              </w:rPr>
            </w:pPr>
            <w:r>
              <w:rPr>
                <w:rFonts w:hint="eastAsia" w:eastAsia="宋体" w:cs="宋体"/>
                <w:sz w:val="21"/>
                <w14:ligatures w14:val="none"/>
              </w:rPr>
              <w:t>10.68</w:t>
            </w:r>
          </w:p>
        </w:tc>
        <w:tc>
          <w:tcPr>
            <w:tcW w:w="671" w:type="pct"/>
            <w:noWrap/>
            <w:vAlign w:val="center"/>
          </w:tcPr>
          <w:p w14:paraId="5907EDD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98D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191DEF2B">
            <w:pPr>
              <w:spacing w:line="260" w:lineRule="exact"/>
              <w:ind w:firstLine="0" w:firstLineChars="0"/>
              <w:jc w:val="center"/>
              <w:rPr>
                <w:rFonts w:eastAsia="宋体" w:cs="宋体"/>
                <w:sz w:val="21"/>
                <w14:ligatures w14:val="none"/>
              </w:rPr>
            </w:pPr>
          </w:p>
        </w:tc>
        <w:tc>
          <w:tcPr>
            <w:tcW w:w="241" w:type="pct"/>
            <w:vAlign w:val="center"/>
          </w:tcPr>
          <w:p w14:paraId="2C6CFC85">
            <w:pPr>
              <w:spacing w:line="260" w:lineRule="exact"/>
              <w:ind w:firstLine="0" w:firstLineChars="0"/>
              <w:jc w:val="center"/>
              <w:rPr>
                <w:rFonts w:eastAsia="宋体" w:cs="宋体"/>
                <w:sz w:val="21"/>
                <w14:ligatures w14:val="none"/>
              </w:rPr>
            </w:pPr>
            <w:r>
              <w:rPr>
                <w:rFonts w:hint="eastAsia" w:eastAsia="宋体" w:cs="宋体"/>
                <w:sz w:val="21"/>
                <w14:ligatures w14:val="none"/>
              </w:rPr>
              <w:t>15</w:t>
            </w:r>
          </w:p>
        </w:tc>
        <w:tc>
          <w:tcPr>
            <w:tcW w:w="1444" w:type="pct"/>
            <w:vAlign w:val="center"/>
          </w:tcPr>
          <w:p w14:paraId="6C20411F">
            <w:pPr>
              <w:spacing w:line="260" w:lineRule="exact"/>
              <w:ind w:firstLine="0" w:firstLineChars="0"/>
              <w:rPr>
                <w:rFonts w:ascii="仿宋_GB2312" w:cs="宋体"/>
                <w:sz w:val="21"/>
                <w14:ligatures w14:val="none"/>
              </w:rPr>
            </w:pPr>
            <w:r>
              <w:rPr>
                <w:rFonts w:hint="eastAsia" w:ascii="仿宋_GB2312" w:cs="宋体"/>
                <w:sz w:val="21"/>
                <w14:ligatures w14:val="none"/>
              </w:rPr>
              <w:t>每千人口拥有执业（助理）医师数（人）</w:t>
            </w:r>
          </w:p>
        </w:tc>
        <w:tc>
          <w:tcPr>
            <w:tcW w:w="563" w:type="pct"/>
            <w:vAlign w:val="center"/>
          </w:tcPr>
          <w:p w14:paraId="2C6F350E">
            <w:pPr>
              <w:spacing w:line="260" w:lineRule="exact"/>
              <w:ind w:firstLine="0" w:firstLineChars="0"/>
              <w:jc w:val="center"/>
              <w:rPr>
                <w:rFonts w:eastAsia="宋体" w:cs="宋体"/>
                <w:sz w:val="21"/>
                <w14:ligatures w14:val="none"/>
              </w:rPr>
            </w:pPr>
            <w:r>
              <w:rPr>
                <w:rFonts w:eastAsia="宋体" w:cs="宋体"/>
                <w:sz w:val="21"/>
                <w14:ligatures w14:val="none"/>
              </w:rPr>
              <w:t>2.73</w:t>
            </w:r>
          </w:p>
        </w:tc>
        <w:tc>
          <w:tcPr>
            <w:tcW w:w="642" w:type="pct"/>
            <w:vAlign w:val="center"/>
          </w:tcPr>
          <w:p w14:paraId="4153180D">
            <w:pPr>
              <w:spacing w:line="260" w:lineRule="exact"/>
              <w:ind w:firstLine="0" w:firstLineChars="0"/>
              <w:jc w:val="center"/>
              <w:rPr>
                <w:rFonts w:eastAsia="宋体" w:cs="宋体"/>
                <w:sz w:val="21"/>
                <w14:ligatures w14:val="none"/>
              </w:rPr>
            </w:pPr>
            <w:r>
              <w:rPr>
                <w:rFonts w:hint="eastAsia" w:eastAsia="宋体" w:cs="宋体"/>
                <w:sz w:val="21"/>
                <w14:ligatures w14:val="none"/>
              </w:rPr>
              <w:t>3.2</w:t>
            </w:r>
          </w:p>
        </w:tc>
        <w:tc>
          <w:tcPr>
            <w:tcW w:w="641" w:type="pct"/>
            <w:vAlign w:val="center"/>
          </w:tcPr>
          <w:p w14:paraId="2BCE8CE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DFF6BA1">
            <w:pPr>
              <w:spacing w:line="260" w:lineRule="exact"/>
              <w:ind w:firstLine="0" w:firstLineChars="0"/>
              <w:jc w:val="center"/>
              <w:rPr>
                <w:rFonts w:eastAsia="宋体" w:cs="宋体"/>
                <w:sz w:val="21"/>
                <w14:ligatures w14:val="none"/>
              </w:rPr>
            </w:pPr>
            <w:r>
              <w:rPr>
                <w:rFonts w:hint="eastAsia" w:eastAsia="宋体" w:cs="宋体"/>
                <w:sz w:val="21"/>
                <w14:ligatures w14:val="none"/>
              </w:rPr>
              <w:t>3.43</w:t>
            </w:r>
          </w:p>
        </w:tc>
        <w:tc>
          <w:tcPr>
            <w:tcW w:w="671" w:type="pct"/>
            <w:noWrap/>
            <w:vAlign w:val="center"/>
          </w:tcPr>
          <w:p w14:paraId="3AD0DBC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43A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501DA38">
            <w:pPr>
              <w:spacing w:line="260" w:lineRule="exact"/>
              <w:ind w:firstLine="0" w:firstLineChars="0"/>
              <w:jc w:val="center"/>
              <w:rPr>
                <w:rFonts w:eastAsia="宋体" w:cs="宋体"/>
                <w:sz w:val="21"/>
                <w14:ligatures w14:val="none"/>
              </w:rPr>
            </w:pPr>
          </w:p>
        </w:tc>
        <w:tc>
          <w:tcPr>
            <w:tcW w:w="241" w:type="pct"/>
            <w:vAlign w:val="center"/>
          </w:tcPr>
          <w:p w14:paraId="231D7116">
            <w:pPr>
              <w:spacing w:line="260" w:lineRule="exact"/>
              <w:ind w:firstLine="0" w:firstLineChars="0"/>
              <w:jc w:val="center"/>
              <w:rPr>
                <w:rFonts w:eastAsia="宋体" w:cs="宋体"/>
                <w:sz w:val="21"/>
                <w14:ligatures w14:val="none"/>
              </w:rPr>
            </w:pPr>
            <w:r>
              <w:rPr>
                <w:rFonts w:hint="eastAsia" w:eastAsia="宋体" w:cs="宋体"/>
                <w:sz w:val="21"/>
                <w14:ligatures w14:val="none"/>
              </w:rPr>
              <w:t>16</w:t>
            </w:r>
          </w:p>
        </w:tc>
        <w:tc>
          <w:tcPr>
            <w:tcW w:w="1444" w:type="pct"/>
            <w:vAlign w:val="center"/>
          </w:tcPr>
          <w:p w14:paraId="3B880B32">
            <w:pPr>
              <w:spacing w:line="260" w:lineRule="exact"/>
              <w:ind w:firstLine="0" w:firstLineChars="0"/>
              <w:rPr>
                <w:rFonts w:ascii="仿宋_GB2312" w:cs="宋体"/>
                <w:sz w:val="21"/>
                <w14:ligatures w14:val="none"/>
              </w:rPr>
            </w:pPr>
            <w:r>
              <w:rPr>
                <w:rFonts w:hint="eastAsia" w:ascii="仿宋_GB2312" w:cs="宋体"/>
                <w:sz w:val="21"/>
                <w14:ligatures w14:val="none"/>
              </w:rPr>
              <w:t>基本养老保险参保率（%）</w:t>
            </w:r>
          </w:p>
        </w:tc>
        <w:tc>
          <w:tcPr>
            <w:tcW w:w="563" w:type="pct"/>
            <w:vAlign w:val="center"/>
          </w:tcPr>
          <w:p w14:paraId="6D224B76">
            <w:pPr>
              <w:spacing w:line="260" w:lineRule="exact"/>
              <w:ind w:firstLine="0" w:firstLineChars="0"/>
              <w:jc w:val="center"/>
              <w:rPr>
                <w:rFonts w:eastAsia="宋体" w:cs="宋体"/>
                <w:sz w:val="21"/>
                <w14:ligatures w14:val="none"/>
              </w:rPr>
            </w:pPr>
            <w:r>
              <w:rPr>
                <w:rFonts w:hint="eastAsia" w:eastAsia="宋体" w:cs="宋体"/>
                <w:sz w:val="21"/>
                <w14:ligatures w14:val="none"/>
              </w:rPr>
              <w:t>91</w:t>
            </w:r>
          </w:p>
        </w:tc>
        <w:tc>
          <w:tcPr>
            <w:tcW w:w="642" w:type="pct"/>
            <w:vAlign w:val="center"/>
          </w:tcPr>
          <w:p w14:paraId="57B5E6F3">
            <w:pPr>
              <w:spacing w:line="260" w:lineRule="exact"/>
              <w:ind w:firstLine="0" w:firstLineChars="0"/>
              <w:jc w:val="center"/>
              <w:rPr>
                <w:rFonts w:eastAsia="宋体" w:cs="宋体"/>
                <w:sz w:val="21"/>
                <w14:ligatures w14:val="none"/>
              </w:rPr>
            </w:pPr>
            <w:r>
              <w:rPr>
                <w:rFonts w:hint="eastAsia" w:eastAsia="宋体" w:cs="宋体"/>
                <w:sz w:val="21"/>
                <w14:ligatures w14:val="none"/>
              </w:rPr>
              <w:t>95</w:t>
            </w:r>
          </w:p>
        </w:tc>
        <w:tc>
          <w:tcPr>
            <w:tcW w:w="641" w:type="pct"/>
            <w:vAlign w:val="center"/>
          </w:tcPr>
          <w:p w14:paraId="7869E67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1BC7766">
            <w:pPr>
              <w:spacing w:line="260" w:lineRule="exact"/>
              <w:ind w:firstLine="0" w:firstLineChars="0"/>
              <w:jc w:val="center"/>
              <w:rPr>
                <w:rFonts w:eastAsia="宋体" w:cs="宋体"/>
                <w:sz w:val="21"/>
                <w14:ligatures w14:val="none"/>
              </w:rPr>
            </w:pPr>
            <w:r>
              <w:rPr>
                <w:rFonts w:hint="eastAsia" w:eastAsia="宋体" w:cs="宋体"/>
                <w:sz w:val="21"/>
                <w14:ligatures w14:val="none"/>
              </w:rPr>
              <w:t>95.45</w:t>
            </w:r>
          </w:p>
        </w:tc>
        <w:tc>
          <w:tcPr>
            <w:tcW w:w="671" w:type="pct"/>
            <w:noWrap/>
            <w:vAlign w:val="center"/>
          </w:tcPr>
          <w:p w14:paraId="063D2ED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34DF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0C749357">
            <w:pPr>
              <w:spacing w:line="260" w:lineRule="exact"/>
              <w:ind w:firstLine="0" w:firstLineChars="0"/>
              <w:jc w:val="center"/>
              <w:rPr>
                <w:rFonts w:eastAsia="宋体" w:cs="宋体"/>
                <w:sz w:val="21"/>
                <w14:ligatures w14:val="none"/>
              </w:rPr>
            </w:pPr>
          </w:p>
        </w:tc>
        <w:tc>
          <w:tcPr>
            <w:tcW w:w="241" w:type="pct"/>
            <w:vAlign w:val="center"/>
          </w:tcPr>
          <w:p w14:paraId="6F4539CF">
            <w:pPr>
              <w:spacing w:line="260" w:lineRule="exact"/>
              <w:ind w:firstLine="0" w:firstLineChars="0"/>
              <w:jc w:val="center"/>
              <w:rPr>
                <w:rFonts w:eastAsia="宋体" w:cs="宋体"/>
                <w:sz w:val="21"/>
                <w14:ligatures w14:val="none"/>
              </w:rPr>
            </w:pPr>
            <w:r>
              <w:rPr>
                <w:rFonts w:hint="eastAsia" w:eastAsia="宋体" w:cs="宋体"/>
                <w:sz w:val="21"/>
                <w14:ligatures w14:val="none"/>
              </w:rPr>
              <w:t>17</w:t>
            </w:r>
          </w:p>
        </w:tc>
        <w:tc>
          <w:tcPr>
            <w:tcW w:w="1444" w:type="pct"/>
            <w:vAlign w:val="center"/>
          </w:tcPr>
          <w:p w14:paraId="4DC7A5CC">
            <w:pPr>
              <w:spacing w:line="260" w:lineRule="exact"/>
              <w:ind w:firstLine="0" w:firstLineChars="0"/>
              <w:rPr>
                <w:rFonts w:ascii="仿宋_GB2312" w:cs="宋体"/>
                <w:sz w:val="21"/>
                <w14:ligatures w14:val="none"/>
              </w:rPr>
            </w:pPr>
            <w:r>
              <w:rPr>
                <w:rFonts w:hint="eastAsia" w:ascii="仿宋_GB2312" w:cs="宋体"/>
                <w:sz w:val="21"/>
                <w14:ligatures w14:val="none"/>
              </w:rPr>
              <w:t>每千人口拥有三岁以下婴幼儿托位数（个）</w:t>
            </w:r>
          </w:p>
        </w:tc>
        <w:tc>
          <w:tcPr>
            <w:tcW w:w="563" w:type="pct"/>
            <w:vAlign w:val="center"/>
          </w:tcPr>
          <w:p w14:paraId="7F3056A7">
            <w:pPr>
              <w:spacing w:line="260" w:lineRule="exact"/>
              <w:ind w:firstLine="0" w:firstLineChars="0"/>
              <w:jc w:val="center"/>
              <w:rPr>
                <w:rFonts w:eastAsia="宋体" w:cs="宋体"/>
                <w:sz w:val="21"/>
                <w14:ligatures w14:val="none"/>
              </w:rPr>
            </w:pPr>
            <w:r>
              <w:rPr>
                <w:rFonts w:eastAsia="宋体" w:cs="宋体"/>
                <w:sz w:val="21"/>
                <w14:ligatures w14:val="none"/>
              </w:rPr>
              <w:t>0.66</w:t>
            </w:r>
          </w:p>
        </w:tc>
        <w:tc>
          <w:tcPr>
            <w:tcW w:w="642" w:type="pct"/>
            <w:vAlign w:val="center"/>
          </w:tcPr>
          <w:p w14:paraId="7C7932CF">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41" w:type="pct"/>
            <w:vAlign w:val="center"/>
          </w:tcPr>
          <w:p w14:paraId="509F300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06015322">
            <w:pPr>
              <w:spacing w:line="260" w:lineRule="exact"/>
              <w:ind w:firstLine="0" w:firstLineChars="0"/>
              <w:jc w:val="center"/>
              <w:rPr>
                <w:rFonts w:eastAsia="宋体" w:cs="宋体"/>
                <w:sz w:val="21"/>
                <w14:ligatures w14:val="none"/>
              </w:rPr>
            </w:pPr>
            <w:r>
              <w:rPr>
                <w:rFonts w:hint="eastAsia" w:eastAsia="宋体" w:cs="宋体"/>
                <w:sz w:val="21"/>
                <w14:ligatures w14:val="none"/>
              </w:rPr>
              <w:t>4.53</w:t>
            </w:r>
          </w:p>
        </w:tc>
        <w:tc>
          <w:tcPr>
            <w:tcW w:w="671" w:type="pct"/>
            <w:noWrap/>
            <w:vAlign w:val="center"/>
          </w:tcPr>
          <w:p w14:paraId="7BDEFEB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6B5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F0F7E04">
            <w:pPr>
              <w:spacing w:line="260" w:lineRule="exact"/>
              <w:ind w:firstLine="0" w:firstLineChars="0"/>
              <w:jc w:val="center"/>
              <w:rPr>
                <w:rFonts w:eastAsia="宋体" w:cs="宋体"/>
                <w:sz w:val="21"/>
                <w14:ligatures w14:val="none"/>
              </w:rPr>
            </w:pPr>
          </w:p>
        </w:tc>
        <w:tc>
          <w:tcPr>
            <w:tcW w:w="241" w:type="pct"/>
            <w:vAlign w:val="center"/>
          </w:tcPr>
          <w:p w14:paraId="106249DB">
            <w:pPr>
              <w:spacing w:line="260" w:lineRule="exact"/>
              <w:ind w:firstLine="0" w:firstLineChars="0"/>
              <w:jc w:val="center"/>
              <w:rPr>
                <w:rFonts w:eastAsia="宋体" w:cs="宋体"/>
                <w:sz w:val="21"/>
                <w14:ligatures w14:val="none"/>
              </w:rPr>
            </w:pPr>
            <w:r>
              <w:rPr>
                <w:rFonts w:hint="eastAsia" w:eastAsia="宋体" w:cs="宋体"/>
                <w:sz w:val="21"/>
                <w14:ligatures w14:val="none"/>
              </w:rPr>
              <w:t>18</w:t>
            </w:r>
          </w:p>
        </w:tc>
        <w:tc>
          <w:tcPr>
            <w:tcW w:w="1444" w:type="pct"/>
            <w:vAlign w:val="center"/>
          </w:tcPr>
          <w:p w14:paraId="25B80757">
            <w:pPr>
              <w:spacing w:line="260" w:lineRule="exact"/>
              <w:ind w:firstLine="0" w:firstLineChars="0"/>
              <w:rPr>
                <w:rFonts w:ascii="仿宋_GB2312" w:cs="宋体"/>
                <w:sz w:val="21"/>
                <w14:ligatures w14:val="none"/>
              </w:rPr>
            </w:pPr>
            <w:r>
              <w:rPr>
                <w:rFonts w:hint="eastAsia" w:ascii="仿宋_GB2312" w:cs="宋体"/>
                <w:sz w:val="21"/>
                <w14:ligatures w14:val="none"/>
              </w:rPr>
              <w:t>人均预期寿命（岁）</w:t>
            </w:r>
          </w:p>
        </w:tc>
        <w:tc>
          <w:tcPr>
            <w:tcW w:w="563" w:type="pct"/>
            <w:vAlign w:val="center"/>
          </w:tcPr>
          <w:p w14:paraId="1FFE5199">
            <w:pPr>
              <w:spacing w:line="260" w:lineRule="exact"/>
              <w:ind w:firstLine="0" w:firstLineChars="0"/>
              <w:jc w:val="center"/>
              <w:rPr>
                <w:rFonts w:eastAsia="宋体" w:cs="宋体"/>
                <w:sz w:val="21"/>
                <w14:ligatures w14:val="none"/>
              </w:rPr>
            </w:pPr>
            <w:r>
              <w:rPr>
                <w:rFonts w:hint="eastAsia" w:eastAsia="宋体" w:cs="宋体"/>
                <w:sz w:val="21"/>
                <w14:ligatures w14:val="none"/>
              </w:rPr>
              <w:t>78.03</w:t>
            </w:r>
          </w:p>
        </w:tc>
        <w:tc>
          <w:tcPr>
            <w:tcW w:w="642" w:type="pct"/>
            <w:vAlign w:val="center"/>
          </w:tcPr>
          <w:p w14:paraId="7A8D2EE0">
            <w:pPr>
              <w:spacing w:line="260" w:lineRule="exact"/>
              <w:ind w:firstLine="0" w:firstLineChars="0"/>
              <w:jc w:val="center"/>
              <w:rPr>
                <w:rFonts w:eastAsia="宋体" w:cs="宋体"/>
                <w:sz w:val="21"/>
                <w14:ligatures w14:val="none"/>
              </w:rPr>
            </w:pPr>
            <w:r>
              <w:rPr>
                <w:rFonts w:hint="eastAsia" w:eastAsia="宋体" w:cs="宋体"/>
                <w:sz w:val="21"/>
                <w14:ligatures w14:val="none"/>
              </w:rPr>
              <w:t>78.6</w:t>
            </w:r>
          </w:p>
        </w:tc>
        <w:tc>
          <w:tcPr>
            <w:tcW w:w="641" w:type="pct"/>
            <w:vAlign w:val="center"/>
          </w:tcPr>
          <w:p w14:paraId="154C2E7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69FD5C3">
            <w:pPr>
              <w:spacing w:line="260" w:lineRule="exact"/>
              <w:ind w:firstLine="0" w:firstLineChars="0"/>
              <w:jc w:val="center"/>
              <w:rPr>
                <w:rFonts w:eastAsia="宋体" w:cs="宋体"/>
                <w:sz w:val="21"/>
                <w14:ligatures w14:val="none"/>
              </w:rPr>
            </w:pPr>
            <w:r>
              <w:rPr>
                <w:rFonts w:hint="eastAsia" w:eastAsia="宋体" w:cs="宋体"/>
                <w:sz w:val="21"/>
                <w14:ligatures w14:val="none"/>
              </w:rPr>
              <w:t>78.5</w:t>
            </w:r>
          </w:p>
        </w:tc>
        <w:tc>
          <w:tcPr>
            <w:tcW w:w="671" w:type="pct"/>
            <w:noWrap/>
            <w:vAlign w:val="center"/>
          </w:tcPr>
          <w:p w14:paraId="5CD872B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F4E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246D75EA">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绿色生态</w:t>
            </w:r>
          </w:p>
        </w:tc>
        <w:tc>
          <w:tcPr>
            <w:tcW w:w="241" w:type="pct"/>
            <w:vAlign w:val="center"/>
          </w:tcPr>
          <w:p w14:paraId="16515B5E">
            <w:pPr>
              <w:spacing w:line="260" w:lineRule="exact"/>
              <w:ind w:firstLine="0" w:firstLineChars="0"/>
              <w:jc w:val="center"/>
              <w:rPr>
                <w:rFonts w:eastAsia="宋体" w:cs="宋体"/>
                <w:sz w:val="21"/>
                <w14:ligatures w14:val="none"/>
              </w:rPr>
            </w:pPr>
            <w:r>
              <w:rPr>
                <w:rFonts w:hint="eastAsia" w:eastAsia="宋体" w:cs="宋体"/>
                <w:sz w:val="21"/>
                <w14:ligatures w14:val="none"/>
              </w:rPr>
              <w:t>19</w:t>
            </w:r>
          </w:p>
        </w:tc>
        <w:tc>
          <w:tcPr>
            <w:tcW w:w="1444" w:type="pct"/>
            <w:vAlign w:val="center"/>
          </w:tcPr>
          <w:p w14:paraId="4A2AD1F5">
            <w:pPr>
              <w:spacing w:line="260" w:lineRule="exact"/>
              <w:ind w:firstLine="0" w:firstLineChars="0"/>
              <w:rPr>
                <w:rFonts w:ascii="仿宋_GB2312" w:cs="宋体"/>
                <w:sz w:val="21"/>
                <w14:ligatures w14:val="none"/>
              </w:rPr>
            </w:pPr>
            <w:r>
              <w:rPr>
                <w:rFonts w:hint="eastAsia" w:ascii="仿宋_GB2312" w:cs="宋体"/>
                <w:sz w:val="21"/>
                <w14:ligatures w14:val="none"/>
              </w:rPr>
              <w:t>单位地区生产总值能源消耗降低（%）</w:t>
            </w:r>
          </w:p>
        </w:tc>
        <w:tc>
          <w:tcPr>
            <w:tcW w:w="563" w:type="pct"/>
            <w:vAlign w:val="center"/>
          </w:tcPr>
          <w:p w14:paraId="67C56F4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1283" w:type="pct"/>
            <w:gridSpan w:val="2"/>
            <w:vAlign w:val="center"/>
          </w:tcPr>
          <w:p w14:paraId="1C4BF23B">
            <w:pPr>
              <w:spacing w:line="260" w:lineRule="exact"/>
              <w:ind w:firstLine="0" w:firstLineChars="0"/>
              <w:jc w:val="center"/>
              <w:rPr>
                <w:rFonts w:eastAsia="宋体" w:cs="宋体"/>
                <w:sz w:val="21"/>
                <w14:ligatures w14:val="none"/>
              </w:rPr>
            </w:pPr>
            <w:r>
              <w:rPr>
                <w:rFonts w:hint="eastAsia" w:eastAsia="宋体" w:cs="宋体"/>
                <w:sz w:val="21"/>
                <w14:ligatures w14:val="none"/>
              </w:rPr>
              <w:t>完成省定目标</w:t>
            </w:r>
          </w:p>
        </w:tc>
        <w:tc>
          <w:tcPr>
            <w:tcW w:w="561" w:type="pct"/>
            <w:noWrap/>
            <w:vAlign w:val="center"/>
          </w:tcPr>
          <w:p w14:paraId="289894A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008CA97D">
            <w:pPr>
              <w:spacing w:line="260" w:lineRule="exact"/>
              <w:ind w:firstLine="0" w:firstLineChars="0"/>
              <w:jc w:val="center"/>
              <w:rPr>
                <w:rFonts w:eastAsia="宋体" w:cs="宋体"/>
                <w:sz w:val="21"/>
                <w14:ligatures w14:val="none"/>
              </w:rPr>
            </w:pPr>
            <w:r>
              <w:rPr>
                <w:rFonts w:eastAsia="宋体" w:cs="宋体"/>
                <w:sz w:val="21"/>
                <w14:ligatures w14:val="none"/>
              </w:rPr>
              <w:t>[16.5]</w:t>
            </w:r>
          </w:p>
        </w:tc>
      </w:tr>
      <w:tr w14:paraId="63F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AED621F">
            <w:pPr>
              <w:spacing w:line="260" w:lineRule="exact"/>
              <w:ind w:firstLine="0" w:firstLineChars="0"/>
              <w:jc w:val="center"/>
              <w:rPr>
                <w:rFonts w:eastAsia="宋体" w:cs="宋体"/>
                <w:sz w:val="21"/>
                <w14:ligatures w14:val="none"/>
              </w:rPr>
            </w:pPr>
          </w:p>
        </w:tc>
        <w:tc>
          <w:tcPr>
            <w:tcW w:w="241" w:type="pct"/>
            <w:vAlign w:val="center"/>
          </w:tcPr>
          <w:p w14:paraId="7FDA3FDF">
            <w:pPr>
              <w:spacing w:line="260" w:lineRule="exact"/>
              <w:ind w:firstLine="0" w:firstLineChars="0"/>
              <w:jc w:val="center"/>
              <w:rPr>
                <w:rFonts w:eastAsia="宋体" w:cs="宋体"/>
                <w:sz w:val="21"/>
                <w14:ligatures w14:val="none"/>
              </w:rPr>
            </w:pPr>
            <w:r>
              <w:rPr>
                <w:rFonts w:hint="eastAsia" w:eastAsia="宋体" w:cs="宋体"/>
                <w:sz w:val="21"/>
                <w14:ligatures w14:val="none"/>
              </w:rPr>
              <w:t>20</w:t>
            </w:r>
          </w:p>
        </w:tc>
        <w:tc>
          <w:tcPr>
            <w:tcW w:w="1444" w:type="pct"/>
            <w:vAlign w:val="center"/>
          </w:tcPr>
          <w:p w14:paraId="72D1594D">
            <w:pPr>
              <w:spacing w:line="260" w:lineRule="exact"/>
              <w:ind w:firstLine="0" w:firstLineChars="0"/>
              <w:rPr>
                <w:rFonts w:ascii="仿宋_GB2312" w:cs="宋体"/>
                <w:sz w:val="21"/>
                <w14:ligatures w14:val="none"/>
              </w:rPr>
            </w:pPr>
            <w:r>
              <w:rPr>
                <w:rFonts w:hint="eastAsia" w:ascii="仿宋_GB2312" w:cs="宋体"/>
                <w:sz w:val="21"/>
                <w14:ligatures w14:val="none"/>
              </w:rPr>
              <w:t>单位地区生产总值二氧化碳排放降低（%）</w:t>
            </w:r>
          </w:p>
        </w:tc>
        <w:tc>
          <w:tcPr>
            <w:tcW w:w="563" w:type="pct"/>
            <w:vAlign w:val="center"/>
          </w:tcPr>
          <w:p w14:paraId="645BD29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1283" w:type="pct"/>
            <w:gridSpan w:val="2"/>
            <w:vAlign w:val="center"/>
          </w:tcPr>
          <w:p w14:paraId="31AAA8D3">
            <w:pPr>
              <w:spacing w:line="260" w:lineRule="exact"/>
              <w:ind w:firstLine="0" w:firstLineChars="0"/>
              <w:jc w:val="center"/>
              <w:rPr>
                <w:rFonts w:eastAsia="宋体" w:cs="宋体"/>
                <w:sz w:val="21"/>
                <w14:ligatures w14:val="none"/>
              </w:rPr>
            </w:pPr>
            <w:r>
              <w:rPr>
                <w:rFonts w:hint="eastAsia" w:eastAsia="宋体" w:cs="宋体"/>
                <w:sz w:val="21"/>
                <w14:ligatures w14:val="none"/>
              </w:rPr>
              <w:t>完成省定目标</w:t>
            </w:r>
          </w:p>
        </w:tc>
        <w:tc>
          <w:tcPr>
            <w:tcW w:w="561" w:type="pct"/>
            <w:noWrap/>
            <w:vAlign w:val="center"/>
          </w:tcPr>
          <w:p w14:paraId="7B1B627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649C874E">
            <w:pPr>
              <w:spacing w:line="260" w:lineRule="exact"/>
              <w:ind w:firstLine="0" w:firstLineChars="0"/>
              <w:jc w:val="center"/>
              <w:rPr>
                <w:rFonts w:eastAsia="宋体" w:cs="宋体"/>
                <w:sz w:val="21"/>
                <w14:ligatures w14:val="none"/>
              </w:rPr>
            </w:pPr>
            <w:r>
              <w:rPr>
                <w:rFonts w:eastAsia="宋体" w:cs="宋体"/>
                <w:sz w:val="21"/>
                <w14:ligatures w14:val="none"/>
              </w:rPr>
              <w:t>[25.9]</w:t>
            </w:r>
          </w:p>
        </w:tc>
      </w:tr>
      <w:tr w14:paraId="5F4A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5F6C6C9F">
            <w:pPr>
              <w:spacing w:line="260" w:lineRule="exact"/>
              <w:ind w:firstLine="0" w:firstLineChars="0"/>
              <w:jc w:val="center"/>
              <w:rPr>
                <w:rFonts w:eastAsia="宋体" w:cs="宋体"/>
                <w:sz w:val="21"/>
                <w14:ligatures w14:val="none"/>
              </w:rPr>
            </w:pPr>
          </w:p>
        </w:tc>
        <w:tc>
          <w:tcPr>
            <w:tcW w:w="241" w:type="pct"/>
            <w:vAlign w:val="center"/>
          </w:tcPr>
          <w:p w14:paraId="5D8FF67D">
            <w:pPr>
              <w:spacing w:line="260" w:lineRule="exact"/>
              <w:ind w:firstLine="0" w:firstLineChars="0"/>
              <w:jc w:val="center"/>
              <w:rPr>
                <w:rFonts w:eastAsia="宋体" w:cs="宋体"/>
                <w:sz w:val="21"/>
                <w14:ligatures w14:val="none"/>
              </w:rPr>
            </w:pPr>
            <w:r>
              <w:rPr>
                <w:rFonts w:hint="eastAsia" w:eastAsia="宋体" w:cs="宋体"/>
                <w:sz w:val="21"/>
                <w14:ligatures w14:val="none"/>
              </w:rPr>
              <w:t>21</w:t>
            </w:r>
          </w:p>
        </w:tc>
        <w:tc>
          <w:tcPr>
            <w:tcW w:w="1444" w:type="pct"/>
            <w:vAlign w:val="center"/>
          </w:tcPr>
          <w:p w14:paraId="76EFF45F">
            <w:pPr>
              <w:spacing w:line="260" w:lineRule="exact"/>
              <w:ind w:firstLine="0" w:firstLineChars="0"/>
              <w:rPr>
                <w:rFonts w:ascii="仿宋_GB2312" w:cs="宋体"/>
                <w:sz w:val="21"/>
                <w14:ligatures w14:val="none"/>
              </w:rPr>
            </w:pPr>
            <w:r>
              <w:rPr>
                <w:rFonts w:hint="eastAsia" w:ascii="仿宋_GB2312" w:cs="宋体"/>
                <w:spacing w:val="-11"/>
                <w:sz w:val="21"/>
                <w14:ligatures w14:val="none"/>
              </w:rPr>
              <w:t>空气质量优良天数比率（%）</w:t>
            </w:r>
          </w:p>
        </w:tc>
        <w:tc>
          <w:tcPr>
            <w:tcW w:w="563" w:type="pct"/>
            <w:vAlign w:val="center"/>
          </w:tcPr>
          <w:p w14:paraId="6E7ECDF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11B0FE90">
            <w:pPr>
              <w:spacing w:line="260" w:lineRule="exact"/>
              <w:ind w:firstLine="0" w:firstLineChars="0"/>
              <w:jc w:val="center"/>
              <w:rPr>
                <w:rFonts w:eastAsia="宋体" w:cs="宋体"/>
                <w:sz w:val="21"/>
                <w14:ligatures w14:val="none"/>
              </w:rPr>
            </w:pPr>
            <w:r>
              <w:rPr>
                <w:rFonts w:hint="eastAsia" w:eastAsia="宋体" w:cs="宋体"/>
                <w:sz w:val="21"/>
                <w14:ligatures w14:val="none"/>
              </w:rPr>
              <w:t>≥90</w:t>
            </w:r>
          </w:p>
        </w:tc>
        <w:tc>
          <w:tcPr>
            <w:tcW w:w="641" w:type="pct"/>
            <w:vAlign w:val="center"/>
          </w:tcPr>
          <w:p w14:paraId="4E228ED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ECE8E3F">
            <w:pPr>
              <w:spacing w:line="260" w:lineRule="exact"/>
              <w:ind w:firstLine="0" w:firstLineChars="0"/>
              <w:jc w:val="center"/>
              <w:rPr>
                <w:rFonts w:eastAsia="宋体" w:cs="宋体"/>
                <w:sz w:val="21"/>
                <w14:ligatures w14:val="none"/>
              </w:rPr>
            </w:pPr>
            <w:r>
              <w:rPr>
                <w:rFonts w:eastAsia="宋体" w:cs="宋体"/>
                <w:sz w:val="21"/>
                <w14:ligatures w14:val="none"/>
              </w:rPr>
              <w:t>9</w:t>
            </w:r>
            <w:r>
              <w:rPr>
                <w:rFonts w:hint="eastAsia" w:eastAsia="宋体" w:cs="宋体"/>
                <w:sz w:val="21"/>
                <w14:ligatures w14:val="none"/>
              </w:rPr>
              <w:t>4</w:t>
            </w:r>
          </w:p>
        </w:tc>
        <w:tc>
          <w:tcPr>
            <w:tcW w:w="671" w:type="pct"/>
            <w:noWrap/>
            <w:vAlign w:val="center"/>
          </w:tcPr>
          <w:p w14:paraId="7533CCF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571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CA21DEE">
            <w:pPr>
              <w:spacing w:line="260" w:lineRule="exact"/>
              <w:ind w:firstLine="0" w:firstLineChars="0"/>
              <w:jc w:val="center"/>
              <w:rPr>
                <w:rFonts w:eastAsia="宋体" w:cs="宋体"/>
                <w:sz w:val="21"/>
                <w14:ligatures w14:val="none"/>
              </w:rPr>
            </w:pPr>
          </w:p>
        </w:tc>
        <w:tc>
          <w:tcPr>
            <w:tcW w:w="241" w:type="pct"/>
            <w:vAlign w:val="center"/>
          </w:tcPr>
          <w:p w14:paraId="3262F972">
            <w:pPr>
              <w:spacing w:line="260" w:lineRule="exact"/>
              <w:ind w:firstLine="0" w:firstLineChars="0"/>
              <w:jc w:val="center"/>
              <w:rPr>
                <w:rFonts w:eastAsia="宋体" w:cs="宋体"/>
                <w:sz w:val="21"/>
                <w14:ligatures w14:val="none"/>
              </w:rPr>
            </w:pPr>
            <w:r>
              <w:rPr>
                <w:rFonts w:hint="eastAsia" w:eastAsia="宋体" w:cs="宋体"/>
                <w:sz w:val="21"/>
                <w14:ligatures w14:val="none"/>
              </w:rPr>
              <w:t>22</w:t>
            </w:r>
          </w:p>
        </w:tc>
        <w:tc>
          <w:tcPr>
            <w:tcW w:w="1444" w:type="pct"/>
            <w:vAlign w:val="center"/>
          </w:tcPr>
          <w:p w14:paraId="1A0856EB">
            <w:pPr>
              <w:spacing w:line="260" w:lineRule="exact"/>
              <w:ind w:firstLine="0" w:firstLineChars="0"/>
              <w:rPr>
                <w:rFonts w:ascii="仿宋_GB2312" w:cs="宋体"/>
                <w:sz w:val="21"/>
                <w14:ligatures w14:val="none"/>
              </w:rPr>
            </w:pPr>
            <w:r>
              <w:rPr>
                <w:rFonts w:hint="eastAsia" w:ascii="仿宋_GB2312" w:cs="宋体"/>
                <w:sz w:val="21"/>
                <w14:ligatures w14:val="none"/>
              </w:rPr>
              <w:t>地表水达到或好于Ⅲ类水体比例（%）</w:t>
            </w:r>
          </w:p>
        </w:tc>
        <w:tc>
          <w:tcPr>
            <w:tcW w:w="563" w:type="pct"/>
            <w:vAlign w:val="center"/>
          </w:tcPr>
          <w:p w14:paraId="4CFB3A4E">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42" w:type="pct"/>
            <w:vAlign w:val="center"/>
          </w:tcPr>
          <w:p w14:paraId="5CF8A05F">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41" w:type="pct"/>
            <w:vAlign w:val="center"/>
          </w:tcPr>
          <w:p w14:paraId="492D34C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664E8F15">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71" w:type="pct"/>
            <w:noWrap/>
            <w:vAlign w:val="center"/>
          </w:tcPr>
          <w:p w14:paraId="6ED3FBD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292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6C2A397F">
            <w:pPr>
              <w:spacing w:line="260" w:lineRule="exact"/>
              <w:ind w:firstLine="0" w:firstLineChars="0"/>
              <w:jc w:val="center"/>
              <w:rPr>
                <w:rFonts w:eastAsia="宋体" w:cs="宋体"/>
                <w:sz w:val="21"/>
                <w14:ligatures w14:val="none"/>
              </w:rPr>
            </w:pPr>
          </w:p>
        </w:tc>
        <w:tc>
          <w:tcPr>
            <w:tcW w:w="241" w:type="pct"/>
            <w:vAlign w:val="center"/>
          </w:tcPr>
          <w:p w14:paraId="2AECC129">
            <w:pPr>
              <w:spacing w:line="260" w:lineRule="exact"/>
              <w:ind w:firstLine="0" w:firstLineChars="0"/>
              <w:jc w:val="center"/>
              <w:rPr>
                <w:rFonts w:eastAsia="宋体" w:cs="宋体"/>
                <w:sz w:val="21"/>
                <w14:ligatures w14:val="none"/>
              </w:rPr>
            </w:pPr>
            <w:r>
              <w:rPr>
                <w:rFonts w:hint="eastAsia" w:eastAsia="宋体" w:cs="宋体"/>
                <w:sz w:val="21"/>
                <w14:ligatures w14:val="none"/>
              </w:rPr>
              <w:t>23</w:t>
            </w:r>
          </w:p>
        </w:tc>
        <w:tc>
          <w:tcPr>
            <w:tcW w:w="1444" w:type="pct"/>
            <w:vAlign w:val="center"/>
          </w:tcPr>
          <w:p w14:paraId="57BB1DD5">
            <w:pPr>
              <w:spacing w:line="260" w:lineRule="exact"/>
              <w:ind w:firstLine="0" w:firstLineChars="0"/>
              <w:rPr>
                <w:rFonts w:ascii="仿宋_GB2312" w:cs="宋体"/>
                <w:sz w:val="21"/>
                <w14:ligatures w14:val="none"/>
              </w:rPr>
            </w:pPr>
            <w:r>
              <w:rPr>
                <w:rFonts w:hint="eastAsia" w:ascii="仿宋_GB2312" w:cs="宋体"/>
                <w:sz w:val="21"/>
                <w14:ligatures w14:val="none"/>
              </w:rPr>
              <w:t>森林覆盖率（%）</w:t>
            </w:r>
          </w:p>
        </w:tc>
        <w:tc>
          <w:tcPr>
            <w:tcW w:w="563" w:type="pct"/>
            <w:vAlign w:val="center"/>
          </w:tcPr>
          <w:p w14:paraId="40744959">
            <w:pPr>
              <w:spacing w:line="260" w:lineRule="exact"/>
              <w:ind w:firstLine="0" w:firstLineChars="0"/>
              <w:jc w:val="center"/>
              <w:rPr>
                <w:rFonts w:eastAsia="宋体" w:cs="宋体"/>
                <w:sz w:val="21"/>
                <w14:ligatures w14:val="none"/>
              </w:rPr>
            </w:pPr>
            <w:r>
              <w:rPr>
                <w:rFonts w:hint="eastAsia" w:eastAsia="宋体" w:cs="宋体"/>
                <w:sz w:val="21"/>
                <w14:ligatures w14:val="none"/>
              </w:rPr>
              <w:t>65.53</w:t>
            </w:r>
          </w:p>
        </w:tc>
        <w:tc>
          <w:tcPr>
            <w:tcW w:w="642" w:type="pct"/>
            <w:vAlign w:val="center"/>
          </w:tcPr>
          <w:p w14:paraId="482EB46C">
            <w:pPr>
              <w:spacing w:line="260" w:lineRule="exact"/>
              <w:ind w:firstLine="0" w:firstLineChars="0"/>
              <w:jc w:val="center"/>
              <w:rPr>
                <w:rFonts w:eastAsia="宋体" w:cs="宋体"/>
                <w:sz w:val="21"/>
                <w14:ligatures w14:val="none"/>
              </w:rPr>
            </w:pPr>
            <w:r>
              <w:rPr>
                <w:rFonts w:hint="eastAsia" w:eastAsia="宋体" w:cs="宋体"/>
                <w:sz w:val="21"/>
                <w14:ligatures w14:val="none"/>
              </w:rPr>
              <w:t>≥65.53</w:t>
            </w:r>
          </w:p>
        </w:tc>
        <w:tc>
          <w:tcPr>
            <w:tcW w:w="641" w:type="pct"/>
            <w:vAlign w:val="center"/>
          </w:tcPr>
          <w:p w14:paraId="42CC6BF3">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37562584">
            <w:pPr>
              <w:spacing w:line="260" w:lineRule="exact"/>
              <w:ind w:firstLine="0" w:firstLineChars="0"/>
              <w:jc w:val="center"/>
              <w:rPr>
                <w:rFonts w:eastAsia="宋体" w:cs="宋体"/>
                <w:sz w:val="21"/>
                <w14:ligatures w14:val="none"/>
              </w:rPr>
            </w:pPr>
            <w:r>
              <w:rPr>
                <w:rFonts w:hint="eastAsia" w:eastAsia="宋体" w:cs="宋体"/>
                <w:sz w:val="21"/>
                <w14:ligatures w14:val="none"/>
              </w:rPr>
              <w:t>55.04</w:t>
            </w:r>
          </w:p>
        </w:tc>
        <w:tc>
          <w:tcPr>
            <w:tcW w:w="671" w:type="pct"/>
            <w:noWrap/>
            <w:vAlign w:val="center"/>
          </w:tcPr>
          <w:p w14:paraId="7EEA036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A66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798F61BF">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安全保障</w:t>
            </w:r>
          </w:p>
        </w:tc>
        <w:tc>
          <w:tcPr>
            <w:tcW w:w="241" w:type="pct"/>
            <w:vAlign w:val="center"/>
          </w:tcPr>
          <w:p w14:paraId="0CA5D7F2">
            <w:pPr>
              <w:spacing w:line="260" w:lineRule="exact"/>
              <w:ind w:firstLine="0" w:firstLineChars="0"/>
              <w:jc w:val="center"/>
              <w:rPr>
                <w:rFonts w:eastAsia="宋体" w:cs="宋体"/>
                <w:sz w:val="21"/>
                <w14:ligatures w14:val="none"/>
              </w:rPr>
            </w:pPr>
            <w:r>
              <w:rPr>
                <w:rFonts w:hint="eastAsia" w:eastAsia="宋体" w:cs="宋体"/>
                <w:sz w:val="21"/>
                <w14:ligatures w14:val="none"/>
              </w:rPr>
              <w:t>24</w:t>
            </w:r>
          </w:p>
        </w:tc>
        <w:tc>
          <w:tcPr>
            <w:tcW w:w="1444" w:type="pct"/>
            <w:vAlign w:val="center"/>
          </w:tcPr>
          <w:p w14:paraId="515A269F">
            <w:pPr>
              <w:spacing w:line="260" w:lineRule="exact"/>
              <w:ind w:firstLine="0" w:firstLineChars="0"/>
              <w:rPr>
                <w:rFonts w:ascii="仿宋_GB2312" w:cs="宋体"/>
                <w:sz w:val="21"/>
                <w14:ligatures w14:val="none"/>
              </w:rPr>
            </w:pPr>
            <w:r>
              <w:rPr>
                <w:rFonts w:hint="eastAsia" w:ascii="仿宋_GB2312" w:cs="宋体"/>
                <w:sz w:val="21"/>
                <w14:ligatures w14:val="none"/>
              </w:rPr>
              <w:t>粮食综合生产能力（万吨）</w:t>
            </w:r>
          </w:p>
        </w:tc>
        <w:tc>
          <w:tcPr>
            <w:tcW w:w="563" w:type="pct"/>
            <w:vAlign w:val="center"/>
          </w:tcPr>
          <w:p w14:paraId="0A887516">
            <w:pPr>
              <w:spacing w:line="260" w:lineRule="exact"/>
              <w:ind w:firstLine="0" w:firstLineChars="0"/>
              <w:jc w:val="center"/>
              <w:rPr>
                <w:rFonts w:eastAsia="宋体" w:cs="宋体"/>
                <w:sz w:val="21"/>
                <w14:ligatures w14:val="none"/>
              </w:rPr>
            </w:pPr>
            <w:r>
              <w:rPr>
                <w:rFonts w:hint="eastAsia" w:eastAsia="宋体" w:cs="宋体"/>
                <w:sz w:val="21"/>
                <w14:ligatures w14:val="none"/>
              </w:rPr>
              <w:t>297</w:t>
            </w:r>
          </w:p>
        </w:tc>
        <w:tc>
          <w:tcPr>
            <w:tcW w:w="642" w:type="pct"/>
            <w:vAlign w:val="center"/>
          </w:tcPr>
          <w:p w14:paraId="30007FDF">
            <w:pPr>
              <w:spacing w:line="260" w:lineRule="exact"/>
              <w:ind w:firstLine="0" w:firstLineChars="0"/>
              <w:jc w:val="center"/>
              <w:rPr>
                <w:rFonts w:eastAsia="宋体" w:cs="宋体"/>
                <w:sz w:val="21"/>
                <w14:ligatures w14:val="none"/>
              </w:rPr>
            </w:pPr>
            <w:r>
              <w:rPr>
                <w:rFonts w:hint="eastAsia" w:eastAsia="宋体" w:cs="宋体"/>
                <w:sz w:val="21"/>
                <w14:ligatures w14:val="none"/>
              </w:rPr>
              <w:t>300</w:t>
            </w:r>
          </w:p>
        </w:tc>
        <w:tc>
          <w:tcPr>
            <w:tcW w:w="641" w:type="pct"/>
            <w:vAlign w:val="center"/>
          </w:tcPr>
          <w:p w14:paraId="1E364E4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466B3F8">
            <w:pPr>
              <w:spacing w:line="260" w:lineRule="exact"/>
              <w:ind w:firstLine="0" w:firstLineChars="0"/>
              <w:jc w:val="center"/>
              <w:rPr>
                <w:rFonts w:eastAsia="宋体" w:cs="宋体"/>
                <w:sz w:val="21"/>
                <w14:ligatures w14:val="none"/>
              </w:rPr>
            </w:pPr>
            <w:r>
              <w:rPr>
                <w:rFonts w:hint="eastAsia" w:eastAsia="宋体" w:cs="宋体"/>
                <w:sz w:val="21"/>
                <w14:ligatures w14:val="none"/>
              </w:rPr>
              <w:t>310</w:t>
            </w:r>
          </w:p>
        </w:tc>
        <w:tc>
          <w:tcPr>
            <w:tcW w:w="671" w:type="pct"/>
            <w:noWrap/>
            <w:vAlign w:val="center"/>
          </w:tcPr>
          <w:p w14:paraId="1312FC53">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437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288ECD9">
            <w:pPr>
              <w:spacing w:line="260" w:lineRule="exact"/>
              <w:ind w:firstLine="0" w:firstLineChars="0"/>
              <w:jc w:val="center"/>
              <w:rPr>
                <w:rFonts w:eastAsia="宋体" w:cs="宋体"/>
                <w:sz w:val="21"/>
                <w14:ligatures w14:val="none"/>
              </w:rPr>
            </w:pPr>
          </w:p>
        </w:tc>
        <w:tc>
          <w:tcPr>
            <w:tcW w:w="241" w:type="pct"/>
            <w:vAlign w:val="center"/>
          </w:tcPr>
          <w:p w14:paraId="49F312BA">
            <w:pPr>
              <w:spacing w:line="260" w:lineRule="exact"/>
              <w:ind w:firstLine="0" w:firstLineChars="0"/>
              <w:jc w:val="center"/>
              <w:rPr>
                <w:rFonts w:eastAsia="宋体" w:cs="宋体"/>
                <w:sz w:val="21"/>
                <w14:ligatures w14:val="none"/>
              </w:rPr>
            </w:pPr>
            <w:r>
              <w:rPr>
                <w:rFonts w:hint="eastAsia" w:eastAsia="宋体" w:cs="宋体"/>
                <w:sz w:val="21"/>
                <w14:ligatures w14:val="none"/>
              </w:rPr>
              <w:t>25</w:t>
            </w:r>
          </w:p>
        </w:tc>
        <w:tc>
          <w:tcPr>
            <w:tcW w:w="1444" w:type="pct"/>
            <w:vAlign w:val="center"/>
          </w:tcPr>
          <w:p w14:paraId="0D2257DE">
            <w:pPr>
              <w:spacing w:line="260" w:lineRule="exact"/>
              <w:ind w:firstLine="0" w:firstLineChars="0"/>
              <w:rPr>
                <w:rFonts w:ascii="仿宋_GB2312" w:cs="宋体"/>
                <w:sz w:val="21"/>
                <w14:ligatures w14:val="none"/>
              </w:rPr>
            </w:pPr>
            <w:r>
              <w:rPr>
                <w:rFonts w:hint="eastAsia" w:ascii="仿宋_GB2312" w:cs="宋体"/>
                <w:sz w:val="21"/>
                <w14:ligatures w14:val="none"/>
              </w:rPr>
              <w:t>能源综合生产能力（万吨标准煤）</w:t>
            </w:r>
          </w:p>
        </w:tc>
        <w:tc>
          <w:tcPr>
            <w:tcW w:w="563" w:type="pct"/>
            <w:vAlign w:val="center"/>
          </w:tcPr>
          <w:p w14:paraId="7991A182">
            <w:pPr>
              <w:spacing w:line="260" w:lineRule="exact"/>
              <w:ind w:firstLine="0" w:firstLineChars="0"/>
              <w:jc w:val="center"/>
              <w:rPr>
                <w:rFonts w:eastAsia="宋体" w:cs="宋体"/>
                <w:sz w:val="21"/>
                <w14:ligatures w14:val="none"/>
              </w:rPr>
            </w:pPr>
            <w:r>
              <w:rPr>
                <w:rFonts w:hint="eastAsia" w:eastAsia="宋体" w:cs="宋体"/>
                <w:sz w:val="21"/>
                <w14:ligatures w14:val="none"/>
              </w:rPr>
              <w:t>263</w:t>
            </w:r>
          </w:p>
        </w:tc>
        <w:tc>
          <w:tcPr>
            <w:tcW w:w="642" w:type="pct"/>
            <w:vAlign w:val="center"/>
          </w:tcPr>
          <w:p w14:paraId="62EDEB77">
            <w:pPr>
              <w:spacing w:line="260" w:lineRule="exact"/>
              <w:ind w:firstLine="0" w:firstLineChars="0"/>
              <w:jc w:val="center"/>
              <w:rPr>
                <w:rFonts w:eastAsia="宋体" w:cs="宋体"/>
                <w:sz w:val="21"/>
                <w14:ligatures w14:val="none"/>
              </w:rPr>
            </w:pPr>
            <w:r>
              <w:rPr>
                <w:rFonts w:hint="eastAsia" w:eastAsia="宋体" w:cs="宋体"/>
                <w:sz w:val="21"/>
                <w14:ligatures w14:val="none"/>
              </w:rPr>
              <w:t>357</w:t>
            </w:r>
          </w:p>
        </w:tc>
        <w:tc>
          <w:tcPr>
            <w:tcW w:w="641" w:type="pct"/>
            <w:vAlign w:val="center"/>
          </w:tcPr>
          <w:p w14:paraId="5C6F1C2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D9801E6">
            <w:pPr>
              <w:spacing w:line="260" w:lineRule="exact"/>
              <w:ind w:firstLine="0" w:firstLineChars="0"/>
              <w:jc w:val="center"/>
              <w:rPr>
                <w:rFonts w:eastAsia="宋体" w:cs="宋体"/>
                <w:sz w:val="21"/>
                <w14:ligatures w14:val="none"/>
              </w:rPr>
            </w:pPr>
            <w:r>
              <w:rPr>
                <w:rFonts w:hint="eastAsia" w:eastAsia="宋体" w:cs="宋体"/>
                <w:sz w:val="21"/>
                <w14:ligatures w14:val="none"/>
              </w:rPr>
              <w:t>537</w:t>
            </w:r>
          </w:p>
        </w:tc>
        <w:tc>
          <w:tcPr>
            <w:tcW w:w="671" w:type="pct"/>
            <w:noWrap/>
            <w:vAlign w:val="center"/>
          </w:tcPr>
          <w:p w14:paraId="3B8DA67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9FE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1F0632C4">
            <w:pPr>
              <w:spacing w:line="260" w:lineRule="exact"/>
              <w:ind w:firstLine="0" w:firstLineChars="0"/>
              <w:jc w:val="center"/>
              <w:rPr>
                <w:rFonts w:eastAsia="宋体" w:cs="宋体"/>
                <w:sz w:val="21"/>
                <w14:ligatures w14:val="none"/>
              </w:rPr>
            </w:pPr>
          </w:p>
        </w:tc>
        <w:tc>
          <w:tcPr>
            <w:tcW w:w="241" w:type="pct"/>
            <w:vAlign w:val="center"/>
          </w:tcPr>
          <w:p w14:paraId="4BD65614">
            <w:pPr>
              <w:spacing w:line="260" w:lineRule="exact"/>
              <w:ind w:firstLine="0" w:firstLineChars="0"/>
              <w:jc w:val="center"/>
              <w:rPr>
                <w:rFonts w:eastAsia="宋体" w:cs="宋体"/>
                <w:sz w:val="21"/>
                <w14:ligatures w14:val="none"/>
              </w:rPr>
            </w:pPr>
            <w:r>
              <w:rPr>
                <w:rFonts w:hint="eastAsia" w:eastAsia="宋体" w:cs="宋体"/>
                <w:sz w:val="21"/>
                <w14:ligatures w14:val="none"/>
              </w:rPr>
              <w:t>26</w:t>
            </w:r>
          </w:p>
        </w:tc>
        <w:tc>
          <w:tcPr>
            <w:tcW w:w="1444" w:type="pct"/>
            <w:vAlign w:val="center"/>
          </w:tcPr>
          <w:p w14:paraId="78B1250A">
            <w:pPr>
              <w:spacing w:line="260" w:lineRule="exact"/>
              <w:ind w:firstLine="0" w:firstLineChars="0"/>
              <w:rPr>
                <w:rFonts w:ascii="仿宋_GB2312" w:cs="宋体"/>
                <w:sz w:val="21"/>
                <w14:ligatures w14:val="none"/>
              </w:rPr>
            </w:pPr>
            <w:r>
              <w:rPr>
                <w:rFonts w:hint="eastAsia" w:ascii="仿宋_GB2312" w:cs="宋体"/>
                <w:sz w:val="21"/>
                <w14:ligatures w14:val="none"/>
              </w:rPr>
              <w:t>亿元地区生产总值生产安全事故死亡率（人/亿元）</w:t>
            </w:r>
          </w:p>
        </w:tc>
        <w:tc>
          <w:tcPr>
            <w:tcW w:w="563" w:type="pct"/>
            <w:vAlign w:val="center"/>
          </w:tcPr>
          <w:p w14:paraId="3EE6E06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3A3C8FB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40630CD8">
            <w:pPr>
              <w:spacing w:line="260" w:lineRule="exact"/>
              <w:ind w:firstLine="0" w:firstLineChars="0"/>
              <w:jc w:val="center"/>
              <w:rPr>
                <w:rFonts w:eastAsia="宋体" w:cs="宋体"/>
                <w:sz w:val="21"/>
                <w14:ligatures w14:val="none"/>
              </w:rPr>
            </w:pPr>
            <w:r>
              <w:rPr>
                <w:rFonts w:eastAsia="宋体" w:cs="宋体"/>
                <w:sz w:val="21"/>
                <w14:ligatures w14:val="none"/>
              </w:rPr>
              <w:t>[-33%]</w:t>
            </w:r>
          </w:p>
        </w:tc>
        <w:tc>
          <w:tcPr>
            <w:tcW w:w="561" w:type="pct"/>
            <w:noWrap/>
            <w:vAlign w:val="center"/>
          </w:tcPr>
          <w:p w14:paraId="32F0836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4FECC999">
            <w:pPr>
              <w:spacing w:line="260" w:lineRule="exact"/>
              <w:ind w:firstLine="0" w:firstLineChars="0"/>
              <w:jc w:val="center"/>
              <w:rPr>
                <w:rFonts w:eastAsia="宋体" w:cs="宋体"/>
                <w:sz w:val="21"/>
                <w14:ligatures w14:val="none"/>
              </w:rPr>
            </w:pPr>
            <w:r>
              <w:rPr>
                <w:rFonts w:eastAsia="宋体" w:cs="宋体"/>
                <w:sz w:val="21"/>
                <w14:ligatures w14:val="none"/>
              </w:rPr>
              <w:t>[-54.03%]</w:t>
            </w:r>
          </w:p>
        </w:tc>
      </w:tr>
      <w:tr w14:paraId="501A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8"/>
            <w:vAlign w:val="center"/>
          </w:tcPr>
          <w:p w14:paraId="74684B10">
            <w:pPr>
              <w:spacing w:line="260" w:lineRule="exact"/>
              <w:ind w:firstLine="0" w:firstLineChars="0"/>
              <w:rPr>
                <w:rFonts w:hint="eastAsia" w:ascii="楷体_GB2312" w:hAnsi="楷体_GB2312" w:eastAsia="楷体_GB2312" w:cs="楷体_GB2312"/>
                <w:b/>
                <w:bCs/>
                <w:sz w:val="21"/>
              </w:rPr>
            </w:pPr>
            <w:r>
              <w:rPr>
                <w:rFonts w:hint="eastAsia" w:ascii="楷体_GB2312" w:hAnsi="楷体_GB2312" w:eastAsia="楷体_GB2312" w:cs="楷体_GB2312"/>
                <w:b/>
                <w:bCs/>
                <w:sz w:val="21"/>
              </w:rPr>
              <w:t>注：</w:t>
            </w:r>
          </w:p>
          <w:p w14:paraId="60148DA3">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1.</w:t>
            </w:r>
            <w:r>
              <w:rPr>
                <w:rFonts w:cs="Times New Roman"/>
                <w:color w:val="000000"/>
                <w:kern w:val="0"/>
                <w:sz w:val="21"/>
                <w14:ligatures w14:val="none"/>
              </w:rPr>
              <w:t>[ ]</w:t>
            </w:r>
            <w:r>
              <w:rPr>
                <w:rFonts w:hint="eastAsia" w:cs="Times New Roman"/>
                <w:color w:val="000000"/>
                <w:kern w:val="0"/>
                <w:sz w:val="21"/>
                <w14:ligatures w14:val="none"/>
              </w:rPr>
              <w:t>为</w:t>
            </w:r>
            <w:r>
              <w:rPr>
                <w:rFonts w:cs="Times New Roman"/>
                <w:color w:val="000000"/>
                <w:kern w:val="0"/>
                <w:sz w:val="21"/>
                <w14:ligatures w14:val="none"/>
              </w:rPr>
              <w:t>5</w:t>
            </w:r>
            <w:r>
              <w:rPr>
                <w:rFonts w:hint="eastAsia" w:cs="Times New Roman"/>
                <w:color w:val="000000"/>
                <w:kern w:val="0"/>
                <w:sz w:val="21"/>
                <w14:ligatures w14:val="none"/>
              </w:rPr>
              <w:t>年累计数。</w:t>
            </w:r>
          </w:p>
          <w:p w14:paraId="0F8A848E">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2.根据国家统计局统一部署，不再公布省市层面的最终消费支出对地区生产总值贡献率。</w:t>
            </w:r>
          </w:p>
          <w:p w14:paraId="500BE2FF">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3.2022年底按照国家林业和草原局要求，采用了新的森林覆盖率统计范围和统计方法，全省包括我市2021年以后的森林覆盖率数据均有所下降，但森林覆盖率并未实质性下降。若按照原有的森林覆盖率计算方法，我市已按照预期完成“十四五”森林覆盖率指标。</w:t>
            </w:r>
          </w:p>
          <w:p w14:paraId="768B110D">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4.2019年我市城镇化率为50.9%，但2020年第七次人口普查永州市城镇化率为46.94%，较2019年下降了3.96个百分点，2025年达51.7%，“十四五”期间我市城镇化率总体提升4.8个百分点，平均每年增长0.95个百分点，高于省0.9个百分点的平均增长，应视为完成目标任务。</w:t>
            </w:r>
          </w:p>
        </w:tc>
      </w:tr>
    </w:tbl>
    <w:p w14:paraId="12EED3F4">
      <w:pPr>
        <w:pStyle w:val="6"/>
        <w:spacing w:before="435" w:after="217"/>
      </w:pPr>
      <w:bookmarkStart w:id="9" w:name="_Toc232094380"/>
      <w:bookmarkStart w:id="10" w:name="_Toc212282377"/>
      <w:bookmarkStart w:id="11" w:name="_Toc214617126"/>
      <w:r>
        <w:rPr>
          <w:rFonts w:hint="eastAsia"/>
        </w:rPr>
        <w:t>发展环境</w:t>
      </w:r>
      <w:bookmarkEnd w:id="9"/>
      <w:bookmarkEnd w:id="10"/>
      <w:bookmarkEnd w:id="11"/>
    </w:p>
    <w:p w14:paraId="6F45E38C">
      <w:pPr>
        <w:ind w:firstLine="640"/>
        <w:rPr>
          <w:rFonts w:hint="eastAsia" w:ascii="等线" w:hAnsi="等线" w:cs="Times New Roman"/>
          <w:szCs w:val="22"/>
        </w:rPr>
      </w:pPr>
      <w:bookmarkStart w:id="12" w:name="_Hlk216736994"/>
      <w:r>
        <w:rPr>
          <w:rFonts w:hint="eastAsia" w:ascii="等线" w:hAnsi="等线" w:cs="Times New Roman"/>
          <w:szCs w:val="22"/>
        </w:rPr>
        <w:t>“十五五”时期，永州发展环境面临深刻复杂变化，处于战略机遇与挑战并存、不确定难预料因素增多的时期。</w:t>
      </w:r>
    </w:p>
    <w:p w14:paraId="67375CA1">
      <w:pPr>
        <w:ind w:firstLine="643"/>
        <w:rPr>
          <w:rFonts w:hint="eastAsia" w:ascii="等线" w:hAnsi="等线" w:cs="Times New Roman"/>
          <w:b/>
          <w:szCs w:val="22"/>
        </w:rPr>
      </w:pPr>
      <w:r>
        <w:rPr>
          <w:rFonts w:hint="eastAsia" w:ascii="等线" w:hAnsi="等线" w:cs="Times New Roman"/>
          <w:b/>
          <w:bCs/>
          <w:szCs w:val="22"/>
        </w:rPr>
        <w:t>重大机遇</w:t>
      </w:r>
      <w:r>
        <w:rPr>
          <w:rFonts w:hint="eastAsia" w:ascii="等线" w:hAnsi="等线" w:cs="Times New Roman"/>
          <w:b/>
          <w:szCs w:val="22"/>
        </w:rPr>
        <w:t>。从国际看，</w:t>
      </w:r>
      <w:r>
        <w:rPr>
          <w:rFonts w:hint="eastAsia" w:ascii="等线" w:hAnsi="等线" w:cs="Times New Roman"/>
          <w:bCs/>
          <w:szCs w:val="22"/>
        </w:rPr>
        <w:t>百年未有之大变局加速演进，国际合作和竞争格局发生深刻变化，全球产业链供应链加速重构，新一轮科技革命和产业变革加速突破，全球科技创新进入空前密集活跃期，人工智能、生命科学、新能源等前沿技术快速迭代，提供了前所未有的发展机遇。</w:t>
      </w:r>
      <w:r>
        <w:rPr>
          <w:rFonts w:hint="eastAsia" w:ascii="等线" w:hAnsi="等线" w:cs="Times New Roman"/>
          <w:b/>
          <w:szCs w:val="22"/>
        </w:rPr>
        <w:t>从国内看，</w:t>
      </w:r>
      <w:r>
        <w:rPr>
          <w:rFonts w:hint="eastAsia" w:ascii="等线" w:hAnsi="等线" w:cs="Times New Roman"/>
          <w:bCs/>
          <w:szCs w:val="22"/>
        </w:rPr>
        <w:t>我国经济基础稳、优势多、韧性强、潜能大，长期向好的支撑条件和基本趋势没有改变，重大生产力布局持续优化，以国内大循环为主体、国内国际双循环相互促进的新发展格局加快构建。</w:t>
      </w:r>
      <w:r>
        <w:rPr>
          <w:rFonts w:hint="eastAsia" w:ascii="等线" w:hAnsi="等线" w:cs="Times New Roman"/>
          <w:b/>
          <w:szCs w:val="22"/>
        </w:rPr>
        <w:t>从省内看，</w:t>
      </w:r>
      <w:r>
        <w:rPr>
          <w:rFonts w:hint="eastAsia" w:ascii="等线" w:hAnsi="等线" w:cs="Times New Roman"/>
          <w:bCs/>
          <w:szCs w:val="22"/>
        </w:rPr>
        <w:t>我省拥有“一带一部”区位优势，产业基础坚实，科教和人才资源丰富，文化活力充沛，“三高四新”美好蓝图落地落实，正加速转变为高质量发展的生动实景。</w:t>
      </w:r>
      <w:r>
        <w:rPr>
          <w:rFonts w:hint="eastAsia" w:ascii="等线" w:hAnsi="等线" w:cs="Times New Roman"/>
          <w:b/>
          <w:szCs w:val="22"/>
        </w:rPr>
        <w:t>从我市看，</w:t>
      </w:r>
      <w:r>
        <w:rPr>
          <w:rFonts w:hint="eastAsia" w:ascii="等线" w:hAnsi="等线" w:cs="Times New Roman"/>
          <w:bCs/>
          <w:szCs w:val="22"/>
        </w:rPr>
        <w:t>国家层面实施推进粤港澳大湾区建设、中部地区崛起、海南自由贸易港建设、长江经济带发展、成渝地区双城经济圈建设等区域重大战略、叠加效应持续显现，将进一步释放永州作为湖南的“南大门”、湖南与粤港澳大湾区的重要连接点和对接东盟的“桥头堡”的区位优势。海南自由贸易港加快建设，与非洲、东盟及“一带一路”国家合作日益扩大，将为全市加快发展拓展新的空间。永清广高铁等重大工程项目加快推进，稀土、锂、锰等战略性矿产资源潜力不断激发，特色产业集群竞速发展，将为全市高质量发展注入强大动力。</w:t>
      </w:r>
    </w:p>
    <w:p w14:paraId="51E9868C">
      <w:pPr>
        <w:ind w:firstLine="643"/>
        <w:rPr>
          <w:rFonts w:hint="eastAsia" w:ascii="等线" w:hAnsi="等线" w:cs="Times New Roman"/>
          <w:bCs/>
          <w:szCs w:val="22"/>
        </w:rPr>
      </w:pPr>
      <w:r>
        <w:rPr>
          <w:rFonts w:hint="eastAsia" w:ascii="等线" w:hAnsi="等线" w:cs="Times New Roman"/>
          <w:b/>
          <w:bCs/>
          <w:szCs w:val="22"/>
        </w:rPr>
        <w:t>面临挑战</w:t>
      </w:r>
      <w:r>
        <w:rPr>
          <w:rFonts w:hint="eastAsia" w:ascii="等线" w:hAnsi="等线" w:cs="Times New Roman"/>
          <w:b/>
          <w:szCs w:val="22"/>
        </w:rPr>
        <w:t>。从国际看，</w:t>
      </w:r>
      <w:r>
        <w:rPr>
          <w:rFonts w:hint="eastAsia" w:ascii="等线" w:hAnsi="等线" w:cs="Times New Roman"/>
          <w:bCs/>
          <w:szCs w:val="22"/>
        </w:rPr>
        <w:t>世界变乱交织、动荡加剧，地缘冲突易发多发。单边主义、保护主义抬头，霸权主义和强权政治威胁上升，国际经济贸易秩序遇到严峻挑战，世界经济增长动能不足。大国博弈更加复杂激烈。</w:t>
      </w:r>
      <w:r>
        <w:rPr>
          <w:rFonts w:hint="eastAsia" w:ascii="等线" w:hAnsi="等线" w:cs="Times New Roman"/>
          <w:b/>
          <w:szCs w:val="22"/>
        </w:rPr>
        <w:t>从国内看，</w:t>
      </w:r>
      <w:r>
        <w:rPr>
          <w:rFonts w:hint="eastAsia" w:ascii="等线" w:hAnsi="等线" w:cs="Times New Roman"/>
          <w:bCs/>
          <w:szCs w:val="22"/>
        </w:rPr>
        <w:t>发展不平衡不充分问题仍然突出。有效需求不足，国内大循环存在卡点堵点，农业农村现代化相对滞后，就业和居民收入增长压力较大，民生保障存在短板弱项。</w:t>
      </w:r>
      <w:r>
        <w:rPr>
          <w:rFonts w:hint="eastAsia" w:ascii="等线" w:hAnsi="等线" w:cs="Times New Roman"/>
          <w:b/>
          <w:szCs w:val="22"/>
        </w:rPr>
        <w:t>从我市看，</w:t>
      </w:r>
      <w:r>
        <w:rPr>
          <w:rFonts w:hint="eastAsia" w:ascii="等线" w:hAnsi="等线" w:cs="Times New Roman"/>
          <w:bCs/>
          <w:szCs w:val="22"/>
        </w:rPr>
        <w:t>经济总量不大质量不高、发展不平衡不充分、发展结构不优等问题依然存在，产业层次不高、产业规模不大、新兴产业支撑作用不强，中心城区辐射带动能力不足，城镇化率偏低，基础设施与民生服务供给仍有短板弱项，人口结构变化给经济发展、社会治理等提出新课题，重点领域风险隐患不容忽视。</w:t>
      </w:r>
    </w:p>
    <w:p w14:paraId="06DB7E95">
      <w:pPr>
        <w:ind w:firstLine="643"/>
        <w:rPr>
          <w:rFonts w:hint="eastAsia" w:ascii="等线" w:hAnsi="等线" w:cs="Times New Roman"/>
          <w:szCs w:val="22"/>
        </w:rPr>
      </w:pPr>
      <w:r>
        <w:rPr>
          <w:rFonts w:hint="eastAsia" w:ascii="等线" w:hAnsi="等线" w:cs="Times New Roman"/>
          <w:b/>
          <w:szCs w:val="22"/>
        </w:rPr>
        <w:t>总的看，</w:t>
      </w:r>
      <w:r>
        <w:rPr>
          <w:rFonts w:hint="eastAsia" w:ascii="等线" w:hAnsi="等线" w:cs="Times New Roman"/>
          <w:bCs/>
          <w:szCs w:val="22"/>
        </w:rPr>
        <w:t>“十五五”时期永州发展机遇挑战并存，机遇大于挑战。我们要主动识变应变求变，主动服务国家重大战略，坚定不移聚焦全方位深度融入粤港澳大湾区这一首要路径，切实加强与成渝地区双城经济圈、长江经济带、北部湾城市群的对接，联动协同海南自由贸易港强化与非洲、东盟等区域经贸合作，实现国内国际双循环互促共进。坚定不移聚力新型工业化和新型城镇化两大主攻方向，加快构建具有永州特色的现代化产业体系，</w:t>
      </w:r>
      <w:r>
        <w:rPr>
          <w:rFonts w:hint="eastAsia" w:cs="Times New Roman"/>
          <w:szCs w:val="20"/>
          <w14:ligatures w14:val="none"/>
        </w:rPr>
        <w:t>建设创新、宜居、美丽、韧性、文明、智慧的现代化人民城市</w:t>
      </w:r>
      <w:r>
        <w:rPr>
          <w:rFonts w:hint="eastAsia" w:ascii="等线" w:hAnsi="等线" w:cs="Times New Roman"/>
          <w:bCs/>
          <w:szCs w:val="22"/>
        </w:rPr>
        <w:t>，奋力推动永州高质量发展迈上新台阶、实现新突破，为基本实现社会主义现代化奠定更加坚实的基础</w:t>
      </w:r>
      <w:r>
        <w:rPr>
          <w:rFonts w:hint="eastAsia" w:ascii="等线" w:hAnsi="等线" w:cs="Times New Roman"/>
          <w:szCs w:val="22"/>
        </w:rPr>
        <w:t>。</w:t>
      </w:r>
    </w:p>
    <w:bookmarkEnd w:id="12"/>
    <w:p w14:paraId="2D93C5D0">
      <w:pPr>
        <w:pStyle w:val="6"/>
        <w:spacing w:before="435" w:after="217"/>
      </w:pPr>
      <w:bookmarkStart w:id="13" w:name="_Toc216869250"/>
      <w:bookmarkEnd w:id="13"/>
      <w:bookmarkStart w:id="14" w:name="_Toc216830624"/>
      <w:bookmarkEnd w:id="14"/>
      <w:bookmarkStart w:id="15" w:name="_Toc216814587"/>
      <w:bookmarkEnd w:id="15"/>
      <w:bookmarkStart w:id="16" w:name="_Toc216770152"/>
      <w:bookmarkEnd w:id="16"/>
      <w:bookmarkStart w:id="17" w:name="_Toc216803033"/>
      <w:bookmarkEnd w:id="17"/>
      <w:bookmarkStart w:id="18" w:name="_Toc216806550"/>
      <w:bookmarkEnd w:id="18"/>
      <w:bookmarkStart w:id="19" w:name="_Toc212282378"/>
      <w:bookmarkStart w:id="20" w:name="_Toc232094381"/>
      <w:r>
        <w:rPr>
          <w:rFonts w:hint="eastAsia"/>
        </w:rPr>
        <w:t>指导</w:t>
      </w:r>
      <w:r>
        <w:t>方针</w:t>
      </w:r>
      <w:r>
        <w:rPr>
          <w:rFonts w:hint="eastAsia"/>
        </w:rPr>
        <w:t>和主要目标</w:t>
      </w:r>
      <w:bookmarkEnd w:id="19"/>
      <w:bookmarkEnd w:id="20"/>
    </w:p>
    <w:p w14:paraId="1918926F">
      <w:pPr>
        <w:pStyle w:val="7"/>
        <w:spacing w:before="217" w:after="217"/>
        <w:rPr>
          <w:b w:val="0"/>
          <w:color w:val="000000"/>
        </w:rPr>
      </w:pPr>
      <w:r>
        <w:rPr>
          <w:rFonts w:hint="eastAsia"/>
        </w:rPr>
        <w:t>第一节</w:t>
      </w:r>
      <w:r>
        <w:t xml:space="preserve"> </w:t>
      </w:r>
      <w:r>
        <w:rPr>
          <w:rFonts w:hint="eastAsia"/>
        </w:rPr>
        <w:t>指导思想和基本原则</w:t>
      </w:r>
    </w:p>
    <w:p w14:paraId="5EB665F1">
      <w:pPr>
        <w:ind w:firstLine="640"/>
      </w:pPr>
      <w:r>
        <w:rPr>
          <w:rFonts w:hint="eastAsia"/>
        </w:rPr>
        <w:t>坚持马克思列宁主义、毛泽东思想、邓小平理论、“三个代表”重要思想、科学发展观，全面贯彻习近平新时代中国特色社会主义思想，</w:t>
      </w:r>
      <w:r>
        <w:t>深入</w:t>
      </w:r>
      <w:r>
        <w:rPr>
          <w:rFonts w:hint="eastAsia"/>
        </w:rPr>
        <w:t>贯彻党的二十大</w:t>
      </w:r>
      <w:bookmarkStart w:id="21" w:name="_Hlk212229643"/>
      <w:r>
        <w:rPr>
          <w:rFonts w:hint="eastAsia"/>
        </w:rPr>
        <w:t>和二十届历次全会</w:t>
      </w:r>
      <w:bookmarkEnd w:id="21"/>
      <w:r>
        <w:rPr>
          <w:rFonts w:hint="eastAsia"/>
        </w:rPr>
        <w:t>精神，认真贯彻落实习近平总书记关于湖南工作的重要讲话和指示批示精神，锚定“三高四新”美好蓝图，统筹推进“五位一体”总体布局，协调推进“四个全面”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持续建设融入粤港澳大湾区引领区、湘南湘西承接产业转移示范区、对接东盟开放合作先行区、国家区域性综合交通枢纽城市、文化生态旅游名城，推动经济实现质的有效提升和量的合理增长，推动人的全面发展、全体人民共同富裕迈出坚实步伐，奋力推进中国式现代化</w:t>
      </w:r>
      <w:r>
        <w:t>永州实践，</w:t>
      </w:r>
      <w:r>
        <w:rPr>
          <w:rFonts w:hint="eastAsia"/>
        </w:rPr>
        <w:t>确保基本实现社会主义现代化取得决定性进展。</w:t>
      </w:r>
    </w:p>
    <w:p w14:paraId="1671C28B">
      <w:pPr>
        <w:ind w:firstLine="640"/>
      </w:pPr>
      <w:r>
        <w:rPr>
          <w:rFonts w:cs="Times New Roman"/>
          <w:bCs/>
          <w:color w:val="000000"/>
          <w:kern w:val="0"/>
          <w:szCs w:val="32"/>
          <w14:ligatures w14:val="none"/>
        </w:rPr>
        <w:t>——</w:t>
      </w:r>
      <w:r>
        <w:rPr>
          <w:rFonts w:hint="eastAsia"/>
          <w:b/>
        </w:rPr>
        <w:t>坚持党的全面领导。</w:t>
      </w:r>
      <w:r>
        <w:rPr>
          <w:rFonts w:hint="eastAsia"/>
        </w:rPr>
        <w:t>深刻领悟“两个确立”的决定性意义，增强“四个意识”</w:t>
      </w:r>
      <w:r>
        <w:t>、</w:t>
      </w:r>
      <w:r>
        <w:rPr>
          <w:rFonts w:hint="eastAsia"/>
        </w:rPr>
        <w:t>坚定“四个自信”、做到“两个维护”，把党的领导贯穿经济社会发展各</w:t>
      </w:r>
      <w:r>
        <w:t>方面全过程</w:t>
      </w:r>
      <w:r>
        <w:rPr>
          <w:rFonts w:hint="eastAsia"/>
        </w:rPr>
        <w:t>，</w:t>
      </w:r>
      <w:r>
        <w:t>为推进中国式现代化</w:t>
      </w:r>
      <w:r>
        <w:rPr>
          <w:rFonts w:hint="eastAsia"/>
        </w:rPr>
        <w:t>永州实践提供根本保证。</w:t>
      </w:r>
    </w:p>
    <w:p w14:paraId="254108DE">
      <w:pPr>
        <w:ind w:firstLine="640"/>
      </w:pPr>
      <w:r>
        <w:rPr>
          <w:rFonts w:cs="Times New Roman"/>
          <w:bCs/>
          <w:color w:val="000000"/>
          <w:kern w:val="0"/>
          <w:szCs w:val="32"/>
          <w14:ligatures w14:val="none"/>
        </w:rPr>
        <w:t>——</w:t>
      </w:r>
      <w:r>
        <w:rPr>
          <w:rFonts w:hint="eastAsia"/>
          <w:b/>
        </w:rPr>
        <w:t>坚持人民至上。</w:t>
      </w:r>
      <w:r>
        <w:rPr>
          <w:rFonts w:hint="eastAsia"/>
        </w:rPr>
        <w:t>尊重人民主体地位，一切为了人民，一切依靠人民，注重在发展中保障和改善民生，在满足民生需求中拓展发展空间，促进社会公平、推进共同富裕，让发展成果更多更公平惠及全体</w:t>
      </w:r>
      <w:r>
        <w:t>人</w:t>
      </w:r>
      <w:r>
        <w:rPr>
          <w:rFonts w:hint="eastAsia"/>
        </w:rPr>
        <w:t>民。</w:t>
      </w:r>
    </w:p>
    <w:p w14:paraId="4AFDF33B">
      <w:pPr>
        <w:ind w:firstLine="640"/>
      </w:pPr>
      <w:r>
        <w:rPr>
          <w:rFonts w:cs="Times New Roman"/>
          <w:bCs/>
          <w:color w:val="000000"/>
          <w:kern w:val="0"/>
          <w:szCs w:val="32"/>
          <w14:ligatures w14:val="none"/>
        </w:rPr>
        <w:t>——</w:t>
      </w:r>
      <w:r>
        <w:rPr>
          <w:rFonts w:hint="eastAsia"/>
          <w:b/>
        </w:rPr>
        <w:t>坚持高质量发展。</w:t>
      </w:r>
      <w:r>
        <w:rPr>
          <w:rFonts w:hint="eastAsia"/>
        </w:rPr>
        <w:t>完整准确全面贯彻新发展理念，统筹扩大内需和深化供给侧结构性改革，构建具有永州特色的现代化产业体系，促进经济结构优化升级，因地制宜发展新质生产力，推动经济持续健康发展和社会全面进步。</w:t>
      </w:r>
    </w:p>
    <w:p w14:paraId="0B68FC53">
      <w:pPr>
        <w:ind w:firstLine="640"/>
      </w:pPr>
      <w:r>
        <w:rPr>
          <w:rFonts w:cs="Times New Roman"/>
          <w:bCs/>
          <w:color w:val="000000"/>
          <w:kern w:val="0"/>
          <w:szCs w:val="32"/>
          <w14:ligatures w14:val="none"/>
        </w:rPr>
        <w:t>——</w:t>
      </w:r>
      <w:r>
        <w:rPr>
          <w:rFonts w:hint="eastAsia"/>
          <w:b/>
        </w:rPr>
        <w:t>坚持全面深化改革。</w:t>
      </w:r>
      <w:r>
        <w:rPr>
          <w:rFonts w:hint="eastAsia"/>
        </w:rPr>
        <w:t>坚定不移推进深层次改革、扩大高水平开放，坚决破除影响和制约高质量发展的体制机制弊端，不断解放和发展社会生产力、激发和增强社会活力。</w:t>
      </w:r>
    </w:p>
    <w:p w14:paraId="55A4A01E">
      <w:pPr>
        <w:ind w:firstLine="640"/>
      </w:pPr>
      <w:r>
        <w:rPr>
          <w:rFonts w:cs="Times New Roman"/>
          <w:bCs/>
          <w:color w:val="000000"/>
          <w:kern w:val="0"/>
          <w:szCs w:val="32"/>
          <w14:ligatures w14:val="none"/>
        </w:rPr>
        <w:t>——</w:t>
      </w:r>
      <w:r>
        <w:rPr>
          <w:rFonts w:hint="eastAsia"/>
          <w:b/>
        </w:rPr>
        <w:t>坚持有效市场和有为政府相结合。</w:t>
      </w:r>
      <w:r>
        <w:rPr>
          <w:rFonts w:hint="eastAsia"/>
        </w:rPr>
        <w:t>充分发挥市场在资源配置中的决定性作用，更好发挥政府作用，全面融入全国统一大市场建设，营造市场化、法治化、国际化一流营商环境，形成“放得活”又“管得好”的经济秩序。</w:t>
      </w:r>
    </w:p>
    <w:p w14:paraId="279F7FEF">
      <w:pPr>
        <w:ind w:firstLine="640"/>
      </w:pPr>
      <w:r>
        <w:rPr>
          <w:rFonts w:cs="Times New Roman"/>
          <w:bCs/>
          <w:color w:val="000000"/>
          <w:kern w:val="0"/>
          <w:szCs w:val="32"/>
          <w14:ligatures w14:val="none"/>
        </w:rPr>
        <w:t>——</w:t>
      </w:r>
      <w:r>
        <w:rPr>
          <w:rFonts w:hint="eastAsia"/>
          <w:b/>
        </w:rPr>
        <w:t>坚持统筹发展和安全。</w:t>
      </w:r>
      <w:r>
        <w:rPr>
          <w:rFonts w:hint="eastAsia"/>
        </w:rPr>
        <w:t>在发展中固安全，在安全中谋发展，注重标本兼治、远近结合，有效防范化解</w:t>
      </w:r>
      <w:r>
        <w:t>重点领域</w:t>
      </w:r>
      <w:r>
        <w:rPr>
          <w:rFonts w:hint="eastAsia"/>
        </w:rPr>
        <w:t>风险，增强经济和社会韧性，以新安全格局保障新发展格局。</w:t>
      </w:r>
    </w:p>
    <w:p w14:paraId="2CFBAFEB">
      <w:pPr>
        <w:pStyle w:val="7"/>
        <w:spacing w:before="217" w:after="217"/>
        <w:rPr>
          <w:b w:val="0"/>
        </w:rPr>
      </w:pPr>
      <w:r>
        <w:rPr>
          <w:rFonts w:hint="eastAsia"/>
        </w:rPr>
        <w:t>第二节 发展定位</w:t>
      </w:r>
    </w:p>
    <w:p w14:paraId="1331308F">
      <w:pPr>
        <w:ind w:firstLine="640"/>
      </w:pPr>
      <w:r>
        <w:rPr>
          <w:rFonts w:hint="eastAsia"/>
        </w:rPr>
        <w:t>立足永州作为湖南的“南大门”、湖南与粤港澳大湾区的重要“连接点”和对接东盟的“桥头堡”战略定位，坚持向南向海向外发展，一以贯之建设“三区两城”，全面提高永州经济社会发展水平。</w:t>
      </w:r>
    </w:p>
    <w:p w14:paraId="6120AC9F">
      <w:pPr>
        <w:ind w:firstLine="640"/>
      </w:pPr>
      <w:r>
        <w:rPr>
          <w:rFonts w:cs="Times New Roman"/>
          <w:bCs/>
          <w:color w:val="000000"/>
          <w:kern w:val="0"/>
          <w:szCs w:val="32"/>
          <w14:ligatures w14:val="none"/>
        </w:rPr>
        <w:t>——</w:t>
      </w:r>
      <w:r>
        <w:rPr>
          <w:rFonts w:hint="eastAsia"/>
          <w:b/>
        </w:rPr>
        <w:t>融入粤港澳大湾区引领区。</w:t>
      </w:r>
      <w:r>
        <w:rPr>
          <w:rFonts w:hint="eastAsia"/>
        </w:rPr>
        <w:t>“大湾区所需+永州所长”和“永州所需+大湾区所长”模式全面推行，与粤港澳大湾区的对接合作全方位、全领域加强，交通互联、产业互兴</w:t>
      </w:r>
      <w:r>
        <w:t>、科技互促、市场互融、机制互通水平进一步提升，</w:t>
      </w:r>
      <w:r>
        <w:rPr>
          <w:rFonts w:hint="eastAsia"/>
        </w:rPr>
        <w:t>融入粤港澳大湾区产业发展共生圈、宜居宜业宜游优质生活圈、1.5小时经济圈。</w:t>
      </w:r>
    </w:p>
    <w:p w14:paraId="3D8B4553">
      <w:pPr>
        <w:ind w:firstLine="640"/>
      </w:pPr>
      <w:r>
        <w:rPr>
          <w:rFonts w:cs="Times New Roman"/>
          <w:bCs/>
          <w:color w:val="000000"/>
          <w:kern w:val="0"/>
          <w:szCs w:val="32"/>
          <w14:ligatures w14:val="none"/>
        </w:rPr>
        <w:t>——</w:t>
      </w:r>
      <w:r>
        <w:rPr>
          <w:rFonts w:hint="eastAsia"/>
          <w:b/>
        </w:rPr>
        <w:t>湘南湘西承接产业转移示范区。</w:t>
      </w:r>
      <w:r>
        <w:rPr>
          <w:rFonts w:hint="eastAsia"/>
        </w:rPr>
        <w:t>抢抓先进地区产业转移机遇，以招“大”引“强”为核心，全力推动“五好”园区建设，以营商环境优化为着力点强化核心竞争优势，支撑千亿产业集群建设与现代服务业发展迈出坚实步伐。</w:t>
      </w:r>
    </w:p>
    <w:p w14:paraId="22EF5AC5">
      <w:pPr>
        <w:ind w:firstLine="640"/>
      </w:pPr>
      <w:r>
        <w:rPr>
          <w:rFonts w:cs="Times New Roman"/>
          <w:bCs/>
          <w:color w:val="000000"/>
          <w:kern w:val="0"/>
          <w:szCs w:val="32"/>
          <w14:ligatures w14:val="none"/>
        </w:rPr>
        <w:t>——</w:t>
      </w:r>
      <w:r>
        <w:rPr>
          <w:rFonts w:hint="eastAsia"/>
          <w:b/>
        </w:rPr>
        <w:t>对接东盟开放合作先行区。</w:t>
      </w:r>
      <w:r>
        <w:rPr>
          <w:rFonts w:hint="eastAsia"/>
        </w:rPr>
        <w:t>抢抓区域全面经济伙伴关系协定（RCEP）实施和西部陆海新通道建设机遇，进一步深</w:t>
      </w:r>
      <w:r>
        <w:rPr>
          <w:rFonts w:hint="eastAsia"/>
          <w:spacing w:val="-6"/>
        </w:rPr>
        <w:t>化</w:t>
      </w:r>
      <w:r>
        <w:rPr>
          <w:rFonts w:hint="eastAsia"/>
        </w:rPr>
        <w:t>与东盟国家在产业投资、经贸合作、人文交流等重点领域的开放合作</w:t>
      </w:r>
      <w:r>
        <w:rPr>
          <w:rFonts w:hint="eastAsia"/>
          <w:spacing w:val="-6"/>
        </w:rPr>
        <w:t>，一体推进“桥头堡+承载地”建设，当好湖南对接东盟主力军。</w:t>
      </w:r>
    </w:p>
    <w:p w14:paraId="5379F455">
      <w:pPr>
        <w:ind w:firstLine="640"/>
      </w:pPr>
      <w:r>
        <w:rPr>
          <w:rFonts w:cs="Times New Roman"/>
          <w:bCs/>
          <w:color w:val="000000"/>
          <w:kern w:val="0"/>
          <w:szCs w:val="32"/>
          <w14:ligatures w14:val="none"/>
        </w:rPr>
        <w:t>——</w:t>
      </w:r>
      <w:r>
        <w:rPr>
          <w:rFonts w:hint="eastAsia"/>
          <w:b/>
        </w:rPr>
        <w:t>国家区域性综合交通枢纽城市。</w:t>
      </w:r>
      <w:r>
        <w:rPr>
          <w:rFonts w:hint="eastAsia"/>
        </w:rPr>
        <w:t>陆海空三位一体交通运输体系更加完善，将三省交界的区位优势切实转变为三省通衢的交通优势，打造西部陆海新通道关键节点和湘粤桂区域商贸物流中心，构建承东启西、联南通北的综合交通枢纽。</w:t>
      </w:r>
    </w:p>
    <w:p w14:paraId="19A84088">
      <w:pPr>
        <w:ind w:firstLine="640"/>
      </w:pPr>
      <w:bookmarkStart w:id="22" w:name="OLE_LINK25"/>
      <w:r>
        <w:rPr>
          <w:rFonts w:cs="Times New Roman"/>
          <w:bCs/>
          <w:color w:val="000000"/>
          <w:kern w:val="0"/>
          <w:szCs w:val="32"/>
          <w14:ligatures w14:val="none"/>
        </w:rPr>
        <w:t>——</w:t>
      </w:r>
      <w:r>
        <w:rPr>
          <w:rFonts w:hint="eastAsia"/>
          <w:b/>
        </w:rPr>
        <w:t>文化生态旅游名城</w:t>
      </w:r>
      <w:bookmarkEnd w:id="22"/>
      <w:r>
        <w:rPr>
          <w:rFonts w:hint="eastAsia"/>
          <w:b/>
        </w:rPr>
        <w:t>。</w:t>
      </w:r>
      <w:r>
        <w:rPr>
          <w:rFonts w:hint="eastAsia"/>
        </w:rPr>
        <w:t>永州“国家历史文化名城”和“湘江源头”“</w:t>
      </w:r>
      <w:r>
        <w:t>千年鸟道</w:t>
      </w:r>
      <w:r>
        <w:rPr>
          <w:rFonts w:hint="eastAsia"/>
        </w:rPr>
        <w:t>”等文化生态资源优势更加彰显，</w:t>
      </w:r>
      <w:bookmarkStart w:id="23" w:name="OLE_LINK7"/>
      <w:r>
        <w:rPr>
          <w:rFonts w:hint="eastAsia"/>
        </w:rPr>
        <w:t>舜文化、柳文化、理学文化、瑶文化、女书文化、红色文化</w:t>
      </w:r>
      <w:bookmarkEnd w:id="23"/>
      <w:r>
        <w:rPr>
          <w:rFonts w:hint="eastAsia"/>
        </w:rPr>
        <w:t>发扬光大，“烟雨潇湘”城市品牌挖掘、打造、宣传效果显著，打造粤港澳大湾区重要休闲度假旅游目的地、全国知名旅游目的地城市。</w:t>
      </w:r>
    </w:p>
    <w:p w14:paraId="66C057E1">
      <w:pPr>
        <w:pStyle w:val="7"/>
        <w:spacing w:before="217" w:after="217"/>
        <w:rPr>
          <w:b w:val="0"/>
          <w:color w:val="000000"/>
        </w:rPr>
      </w:pPr>
      <w:r>
        <w:rPr>
          <w:rFonts w:hint="eastAsia"/>
        </w:rPr>
        <w:t>第三节</w:t>
      </w:r>
      <w:r>
        <w:t xml:space="preserve"> </w:t>
      </w:r>
      <w:r>
        <w:rPr>
          <w:rFonts w:hint="eastAsia"/>
        </w:rPr>
        <w:t>主要目标</w:t>
      </w:r>
    </w:p>
    <w:p w14:paraId="0ADAC862">
      <w:pPr>
        <w:ind w:firstLine="640"/>
      </w:pPr>
      <w:bookmarkStart w:id="24" w:name="_Hlk215085725"/>
      <w:r>
        <w:rPr>
          <w:rFonts w:cs="Times New Roman"/>
          <w:bCs/>
          <w:color w:val="000000"/>
          <w:kern w:val="0"/>
          <w:szCs w:val="32"/>
          <w14:ligatures w14:val="none"/>
        </w:rPr>
        <w:t>——</w:t>
      </w:r>
      <w:r>
        <w:rPr>
          <w:rFonts w:hint="eastAsia"/>
          <w:b/>
        </w:rPr>
        <w:t>发展质效明显提升。</w:t>
      </w:r>
      <w:r>
        <w:rPr>
          <w:rFonts w:hint="eastAsia"/>
        </w:rPr>
        <w:t>经济增长保持在合理区间，</w:t>
      </w:r>
      <w:r>
        <w:t>新型工业化、信息化、城镇化、农业现代化取得重大进展</w:t>
      </w:r>
      <w:r>
        <w:rPr>
          <w:rFonts w:hint="eastAsia"/>
        </w:rPr>
        <w:t>，经济结构更加优化，内需对经济增长</w:t>
      </w:r>
      <w:r>
        <w:t>的支撑</w:t>
      </w:r>
      <w:r>
        <w:rPr>
          <w:rFonts w:hint="eastAsia"/>
        </w:rPr>
        <w:t>作用</w:t>
      </w:r>
      <w:r>
        <w:t>明显</w:t>
      </w:r>
      <w:r>
        <w:rPr>
          <w:rFonts w:hint="eastAsia"/>
        </w:rPr>
        <w:t>增强，在质量效益明显提升的基础上，全市地区生产总值年均增长5%—5.5%，到2030年突破3600亿元。</w:t>
      </w:r>
    </w:p>
    <w:p w14:paraId="06461220">
      <w:pPr>
        <w:ind w:firstLine="640"/>
      </w:pPr>
      <w:r>
        <w:rPr>
          <w:rFonts w:cs="Times New Roman"/>
          <w:bCs/>
          <w:color w:val="000000"/>
          <w:kern w:val="0"/>
          <w:szCs w:val="32"/>
          <w14:ligatures w14:val="none"/>
        </w:rPr>
        <w:t>——</w:t>
      </w:r>
      <w:r>
        <w:rPr>
          <w:rFonts w:hint="eastAsia"/>
          <w:b/>
        </w:rPr>
        <w:t>创新能力不断增强。</w:t>
      </w:r>
      <w:r>
        <w:rPr>
          <w:rFonts w:hint="eastAsia"/>
        </w:rPr>
        <w:t>科技创新综合实力和创新体系整体效能大幅提升，教育科技人才一体发展格局基本形成，全社会研发投入强度、高新技术企业数、万人发明专利拥有量等主要创新指标明显上升，科技创新和产业创新深度融合，</w:t>
      </w:r>
      <w:r>
        <w:t>重点领域、</w:t>
      </w:r>
      <w:r>
        <w:rPr>
          <w:rFonts w:hint="eastAsia"/>
        </w:rPr>
        <w:t>关键技术取得突破，创新驱动作用明显增强。</w:t>
      </w:r>
    </w:p>
    <w:p w14:paraId="493203C8">
      <w:pPr>
        <w:ind w:firstLine="640"/>
      </w:pPr>
      <w:r>
        <w:rPr>
          <w:rFonts w:cs="Times New Roman"/>
          <w:bCs/>
          <w:color w:val="000000"/>
          <w:kern w:val="0"/>
          <w:szCs w:val="32"/>
          <w14:ligatures w14:val="none"/>
        </w:rPr>
        <w:t>——</w:t>
      </w:r>
      <w:r>
        <w:rPr>
          <w:rFonts w:hint="eastAsia"/>
          <w:b/>
        </w:rPr>
        <w:t>改革开放持续深化。</w:t>
      </w:r>
      <w:r>
        <w:rPr>
          <w:rFonts w:hint="eastAsia"/>
        </w:rPr>
        <w:t>市域治理体系和治理能力现代化深入推进，社会主义市场经济体制更加健全，高水平对外开放进一步扩大，开放型经济发展水平明显提升。</w:t>
      </w:r>
    </w:p>
    <w:p w14:paraId="1EC7E54D">
      <w:pPr>
        <w:ind w:firstLine="640"/>
      </w:pPr>
      <w:r>
        <w:rPr>
          <w:rFonts w:cs="Times New Roman"/>
          <w:bCs/>
          <w:color w:val="000000"/>
          <w:kern w:val="0"/>
          <w:szCs w:val="32"/>
          <w14:ligatures w14:val="none"/>
        </w:rPr>
        <w:t>——</w:t>
      </w:r>
      <w:r>
        <w:rPr>
          <w:rFonts w:hint="eastAsia"/>
          <w:b/>
        </w:rPr>
        <w:t>文明程度显著提高。</w:t>
      </w:r>
      <w:r>
        <w:rPr>
          <w:rFonts w:hint="eastAsia"/>
        </w:rPr>
        <w:t>文化和科技、文化和旅游有效深度融合，永州优秀传统文化创造性转化、创新性发展成效明显，文化品牌和影响力不断增强，社会主义核心价值观广泛践行，人民精神文化生活更加丰富，社会文明程度持续提高。</w:t>
      </w:r>
    </w:p>
    <w:p w14:paraId="75B4860C">
      <w:pPr>
        <w:ind w:firstLine="640"/>
      </w:pPr>
      <w:r>
        <w:rPr>
          <w:rFonts w:cs="Times New Roman"/>
          <w:bCs/>
          <w:color w:val="000000"/>
          <w:kern w:val="0"/>
          <w:szCs w:val="32"/>
          <w14:ligatures w14:val="none"/>
        </w:rPr>
        <w:t>——</w:t>
      </w:r>
      <w:r>
        <w:rPr>
          <w:rFonts w:hint="eastAsia"/>
          <w:b/>
        </w:rPr>
        <w:t>民生保障更加有力。</w:t>
      </w:r>
      <w:r>
        <w:rPr>
          <w:rFonts w:hint="eastAsia"/>
        </w:rPr>
        <w:t>高质量充分就业取得新进展，居民收入增长与经济发展同步，基本公共服务均等化水平明显提升，多层次社会保障体系更加健全，</w:t>
      </w:r>
      <w:r>
        <w:t>人民生活品质明显</w:t>
      </w:r>
      <w:r>
        <w:rPr>
          <w:rFonts w:hint="eastAsia"/>
        </w:rPr>
        <w:t>改善</w:t>
      </w:r>
      <w:r>
        <w:t>。</w:t>
      </w:r>
    </w:p>
    <w:p w14:paraId="29877AB7">
      <w:pPr>
        <w:ind w:firstLine="640"/>
      </w:pPr>
      <w:r>
        <w:rPr>
          <w:rFonts w:cs="Times New Roman"/>
          <w:bCs/>
          <w:color w:val="000000"/>
          <w:kern w:val="0"/>
          <w:szCs w:val="32"/>
          <w14:ligatures w14:val="none"/>
        </w:rPr>
        <w:t>——</w:t>
      </w:r>
      <w:r>
        <w:rPr>
          <w:rFonts w:hint="eastAsia"/>
          <w:b/>
        </w:rPr>
        <w:t>生态环境全面改善。</w:t>
      </w:r>
      <w:r>
        <w:rPr>
          <w:rFonts w:hint="eastAsia"/>
          <w:bCs/>
        </w:rPr>
        <w:t>生</w:t>
      </w:r>
      <w:r>
        <w:rPr>
          <w:rFonts w:hint="eastAsia"/>
        </w:rPr>
        <w:t>产生活方式绿色转型取得显著成效，碳达峰目标如期实现，新型能源体系初步建成，主要污染物排放总量持续减少，生态系统多样性稳定性持续性不断增强，美丽永州建设迈出坚实步伐。</w:t>
      </w:r>
    </w:p>
    <w:p w14:paraId="4D7B77CD">
      <w:pPr>
        <w:ind w:firstLine="640"/>
        <w:rPr>
          <w:rFonts w:cs="Times New Roman"/>
          <w:szCs w:val="32"/>
        </w:rPr>
      </w:pPr>
      <w:r>
        <w:rPr>
          <w:rFonts w:cs="Times New Roman"/>
          <w:bCs/>
          <w:color w:val="000000"/>
          <w:kern w:val="0"/>
          <w:szCs w:val="32"/>
          <w14:ligatures w14:val="none"/>
        </w:rPr>
        <w:t>——</w:t>
      </w:r>
      <w:r>
        <w:rPr>
          <w:rFonts w:hint="eastAsia"/>
          <w:b/>
        </w:rPr>
        <w:t>安全底板有效加固。</w:t>
      </w:r>
      <w:bookmarkStart w:id="25" w:name="OLE_LINK16"/>
      <w:r>
        <w:rPr>
          <w:rFonts w:hint="eastAsia" w:cs="Times New Roman"/>
          <w:szCs w:val="32"/>
        </w:rPr>
        <w:t>国家安全体系和能力现代化加快推进，</w:t>
      </w:r>
      <w:bookmarkEnd w:id="25"/>
      <w:r>
        <w:rPr>
          <w:rFonts w:hint="eastAsia" w:cs="Times New Roman"/>
          <w:szCs w:val="32"/>
        </w:rPr>
        <w:t>重点领域安全保障体系更加健全，自然灾害防御水平显著提升，社会治理和公共安全治理水平持续提高，发展安全保障更加有力，更高水平平安永州扎实推进。</w:t>
      </w:r>
    </w:p>
    <w:p w14:paraId="52BBD8BF">
      <w:pPr>
        <w:ind w:firstLine="640"/>
        <w:rPr>
          <w:rFonts w:cs="Times New Roman"/>
          <w:szCs w:val="32"/>
        </w:rPr>
      </w:pPr>
      <w:r>
        <w:rPr>
          <w:rFonts w:hint="eastAsia" w:cs="Times New Roman"/>
          <w:szCs w:val="32"/>
        </w:rPr>
        <w:t>在此基础上再奋斗五年，到2035年实现全市经济实力、科技实力和综合实力大幅跃升，人民生活更加美好，与全省同步基本实现“三高四新”美好蓝图、基本实现社会主义现代化。</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582"/>
        <w:gridCol w:w="2030"/>
        <w:gridCol w:w="2044"/>
        <w:gridCol w:w="1453"/>
        <w:gridCol w:w="1598"/>
        <w:gridCol w:w="924"/>
      </w:tblGrid>
      <w:tr w14:paraId="6C72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trPr>
        <w:tc>
          <w:tcPr>
            <w:tcW w:w="5000" w:type="pct"/>
            <w:gridSpan w:val="7"/>
            <w:tcBorders>
              <w:right w:val="single" w:color="auto" w:sz="4" w:space="0"/>
            </w:tcBorders>
          </w:tcPr>
          <w:p w14:paraId="0B76ED1C">
            <w:pPr>
              <w:spacing w:before="217" w:beforeLines="50" w:after="217" w:afterLines="50" w:line="33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w:t>
            </w:r>
            <w:r>
              <w:rPr>
                <w:rFonts w:hint="eastAsia" w:cs="Times New Roman"/>
                <w:b/>
                <w:color w:val="000000"/>
                <w:szCs w:val="28"/>
              </w:rPr>
              <w:fldChar w:fldCharType="end"/>
            </w:r>
            <w:r>
              <w:rPr>
                <w:rFonts w:hint="eastAsia" w:cs="Times New Roman"/>
                <w:b/>
                <w:color w:val="000000"/>
                <w:szCs w:val="28"/>
              </w:rPr>
              <w:t xml:space="preserve"> 永州市“十五五”时期经济社会发展主要指标</w:t>
            </w:r>
          </w:p>
        </w:tc>
      </w:tr>
      <w:tr w14:paraId="51ED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trPr>
        <w:tc>
          <w:tcPr>
            <w:tcW w:w="237" w:type="pct"/>
            <w:vAlign w:val="center"/>
          </w:tcPr>
          <w:p w14:paraId="1175056E">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类别</w:t>
            </w:r>
          </w:p>
        </w:tc>
        <w:tc>
          <w:tcPr>
            <w:tcW w:w="321" w:type="pct"/>
            <w:tcBorders>
              <w:top w:val="single" w:color="auto" w:sz="4" w:space="0"/>
              <w:left w:val="single" w:color="auto" w:sz="4" w:space="0"/>
              <w:bottom w:val="single" w:color="auto" w:sz="4" w:space="0"/>
              <w:right w:val="single" w:color="auto" w:sz="4" w:space="0"/>
            </w:tcBorders>
            <w:vAlign w:val="center"/>
          </w:tcPr>
          <w:p w14:paraId="515E06BB">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序号</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F350F8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指标名称</w:t>
            </w:r>
          </w:p>
        </w:tc>
        <w:tc>
          <w:tcPr>
            <w:tcW w:w="802" w:type="pct"/>
            <w:tcBorders>
              <w:top w:val="single" w:color="auto" w:sz="4" w:space="0"/>
              <w:left w:val="single" w:color="auto" w:sz="4" w:space="0"/>
              <w:bottom w:val="single" w:color="auto" w:sz="4" w:space="0"/>
              <w:right w:val="single" w:color="auto" w:sz="4" w:space="0"/>
            </w:tcBorders>
            <w:vAlign w:val="center"/>
          </w:tcPr>
          <w:p w14:paraId="51A053A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基期值</w:t>
            </w:r>
          </w:p>
          <w:p w14:paraId="0EB50ED3">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（2025年）</w:t>
            </w:r>
          </w:p>
        </w:tc>
        <w:tc>
          <w:tcPr>
            <w:tcW w:w="882" w:type="pct"/>
            <w:tcBorders>
              <w:top w:val="single" w:color="auto" w:sz="4" w:space="0"/>
              <w:left w:val="single" w:color="auto" w:sz="4" w:space="0"/>
              <w:bottom w:val="single" w:color="auto" w:sz="4" w:space="0"/>
              <w:right w:val="single" w:color="auto" w:sz="4" w:space="0"/>
            </w:tcBorders>
            <w:vAlign w:val="center"/>
          </w:tcPr>
          <w:p w14:paraId="53066521">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sz w:val="21"/>
                <w14:ligatures w14:val="none"/>
              </w:rPr>
              <w:t>目标值</w:t>
            </w:r>
          </w:p>
          <w:p w14:paraId="376290D6">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sz w:val="21"/>
                <w14:ligatures w14:val="none"/>
              </w:rPr>
              <w:t>（</w:t>
            </w:r>
            <w:r>
              <w:rPr>
                <w:rFonts w:hint="eastAsia" w:ascii="黑体" w:hAnsi="黑体" w:eastAsia="黑体" w:cs="Times New Roman"/>
                <w:color w:val="000000"/>
                <w:kern w:val="0"/>
                <w:sz w:val="21"/>
                <w14:ligatures w14:val="none"/>
              </w:rPr>
              <w:t>2030年</w:t>
            </w:r>
            <w:r>
              <w:rPr>
                <w:rFonts w:hint="eastAsia" w:ascii="黑体" w:hAnsi="黑体" w:eastAsia="黑体" w:cs="Times New Roman"/>
                <w:color w:val="000000"/>
                <w:sz w:val="21"/>
                <w14:ligatures w14:val="none"/>
              </w:rPr>
              <w:t>）</w:t>
            </w:r>
          </w:p>
        </w:tc>
        <w:tc>
          <w:tcPr>
            <w:tcW w:w="510" w:type="pct"/>
            <w:tcBorders>
              <w:top w:val="single" w:color="auto" w:sz="4" w:space="0"/>
              <w:left w:val="single" w:color="auto" w:sz="4" w:space="0"/>
              <w:bottom w:val="single" w:color="auto" w:sz="4" w:space="0"/>
              <w:right w:val="single" w:color="auto" w:sz="4" w:space="0"/>
            </w:tcBorders>
            <w:vAlign w:val="center"/>
          </w:tcPr>
          <w:p w14:paraId="5B5B2028">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属性</w:t>
            </w:r>
          </w:p>
        </w:tc>
      </w:tr>
      <w:tr w14:paraId="49AD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1FF2F1E2">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经济发展</w:t>
            </w:r>
          </w:p>
        </w:tc>
        <w:tc>
          <w:tcPr>
            <w:tcW w:w="321" w:type="pct"/>
            <w:tcBorders>
              <w:top w:val="single" w:color="auto" w:sz="4" w:space="0"/>
              <w:left w:val="single" w:color="auto" w:sz="4" w:space="0"/>
              <w:bottom w:val="single" w:color="auto" w:sz="4" w:space="0"/>
              <w:right w:val="single" w:color="auto" w:sz="4" w:space="0"/>
            </w:tcBorders>
            <w:vAlign w:val="center"/>
          </w:tcPr>
          <w:p w14:paraId="4636234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5F4FD4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地区生产总值（</w:t>
            </w:r>
            <w:r>
              <w:rPr>
                <w:rFonts w:cs="Times New Roman"/>
                <w:color w:val="000000"/>
                <w:kern w:val="0"/>
                <w:sz w:val="21"/>
                <w14:ligatures w14:val="none"/>
              </w:rPr>
              <w:t>GDP</w:t>
            </w:r>
            <w:r>
              <w:rPr>
                <w:rFonts w:hint="eastAsia" w:cs="Times New Roman"/>
                <w:color w:val="000000"/>
                <w:kern w:val="0"/>
                <w:sz w:val="21"/>
                <w14:ligatures w14:val="none"/>
              </w:rPr>
              <w:t>）增长（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42A5E23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882" w:type="pct"/>
            <w:tcBorders>
              <w:top w:val="single" w:color="auto" w:sz="4" w:space="0"/>
              <w:left w:val="single" w:color="auto" w:sz="4" w:space="0"/>
              <w:bottom w:val="single" w:color="auto" w:sz="4" w:space="0"/>
              <w:right w:val="single" w:color="auto" w:sz="4" w:space="0"/>
            </w:tcBorders>
            <w:vAlign w:val="center"/>
          </w:tcPr>
          <w:p w14:paraId="70E3314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r>
              <w:rPr>
                <w:rFonts w:hint="eastAsia" w:cs="Times New Roman"/>
                <w:color w:val="000000"/>
                <w:kern w:val="0"/>
                <w:sz w:val="21"/>
                <w14:ligatures w14:val="none"/>
              </w:rPr>
              <w:t>—</w:t>
            </w:r>
            <w:r>
              <w:rPr>
                <w:rFonts w:cs="Times New Roman"/>
                <w:color w:val="000000"/>
                <w:kern w:val="0"/>
                <w:sz w:val="21"/>
                <w14:ligatures w14:val="none"/>
              </w:rPr>
              <w:t>5.5</w:t>
            </w:r>
          </w:p>
        </w:tc>
        <w:tc>
          <w:tcPr>
            <w:tcW w:w="510" w:type="pct"/>
            <w:tcBorders>
              <w:top w:val="single" w:color="auto" w:sz="4" w:space="0"/>
              <w:left w:val="single" w:color="auto" w:sz="4" w:space="0"/>
              <w:bottom w:val="single" w:color="auto" w:sz="4" w:space="0"/>
              <w:right w:val="single" w:color="auto" w:sz="4" w:space="0"/>
            </w:tcBorders>
            <w:vAlign w:val="center"/>
          </w:tcPr>
          <w:p w14:paraId="56E5D1C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8F5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1CF94E2C">
            <w:pPr>
              <w:autoSpaceDE w:val="0"/>
              <w:spacing w:line="330" w:lineRule="exact"/>
              <w:ind w:firstLine="42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338BD7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2CA0D2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全员劳动生产率增长（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C6823A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882" w:type="pct"/>
            <w:tcBorders>
              <w:top w:val="single" w:color="auto" w:sz="4" w:space="0"/>
              <w:left w:val="single" w:color="auto" w:sz="4" w:space="0"/>
              <w:bottom w:val="single" w:color="auto" w:sz="4" w:space="0"/>
              <w:right w:val="single" w:color="auto" w:sz="4" w:space="0"/>
            </w:tcBorders>
            <w:vAlign w:val="center"/>
          </w:tcPr>
          <w:p w14:paraId="322BBEBE">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高于</w:t>
            </w:r>
            <w:r>
              <w:rPr>
                <w:rFonts w:cs="Times New Roman"/>
                <w:color w:val="000000"/>
                <w:kern w:val="0"/>
                <w:sz w:val="21"/>
                <w14:ligatures w14:val="none"/>
              </w:rPr>
              <w:t>GDP</w:t>
            </w:r>
            <w:r>
              <w:rPr>
                <w:rFonts w:hint="eastAsia" w:cs="Times New Roman"/>
                <w:color w:val="000000"/>
                <w:kern w:val="0"/>
                <w:sz w:val="21"/>
                <w14:ligatures w14:val="none"/>
              </w:rPr>
              <w:t>增长</w:t>
            </w:r>
          </w:p>
        </w:tc>
        <w:tc>
          <w:tcPr>
            <w:tcW w:w="510" w:type="pct"/>
            <w:tcBorders>
              <w:top w:val="single" w:color="auto" w:sz="4" w:space="0"/>
              <w:left w:val="single" w:color="auto" w:sz="4" w:space="0"/>
              <w:bottom w:val="single" w:color="auto" w:sz="4" w:space="0"/>
              <w:right w:val="single" w:color="auto" w:sz="4" w:space="0"/>
            </w:tcBorders>
            <w:vAlign w:val="center"/>
          </w:tcPr>
          <w:p w14:paraId="53413E0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B1F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A296689">
            <w:pPr>
              <w:autoSpaceDE w:val="0"/>
              <w:spacing w:line="330" w:lineRule="exact"/>
              <w:ind w:firstLine="42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014F775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0A198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常住人口城镇化率（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3251F5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51.7</w:t>
            </w:r>
          </w:p>
        </w:tc>
        <w:tc>
          <w:tcPr>
            <w:tcW w:w="882" w:type="pct"/>
            <w:tcBorders>
              <w:top w:val="single" w:color="auto" w:sz="4" w:space="0"/>
              <w:left w:val="single" w:color="auto" w:sz="4" w:space="0"/>
              <w:bottom w:val="single" w:color="auto" w:sz="4" w:space="0"/>
              <w:right w:val="single" w:color="auto" w:sz="4" w:space="0"/>
            </w:tcBorders>
            <w:vAlign w:val="center"/>
          </w:tcPr>
          <w:p w14:paraId="0D349A0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57</w:t>
            </w:r>
          </w:p>
        </w:tc>
        <w:tc>
          <w:tcPr>
            <w:tcW w:w="510" w:type="pct"/>
            <w:tcBorders>
              <w:top w:val="single" w:color="auto" w:sz="4" w:space="0"/>
              <w:left w:val="single" w:color="auto" w:sz="4" w:space="0"/>
              <w:bottom w:val="single" w:color="auto" w:sz="4" w:space="0"/>
              <w:right w:val="single" w:color="auto" w:sz="4" w:space="0"/>
            </w:tcBorders>
            <w:vAlign w:val="center"/>
          </w:tcPr>
          <w:p w14:paraId="3604A44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297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2144ED6A">
            <w:pPr>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C54C3D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AE8E74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spacing w:val="-17"/>
                <w:kern w:val="0"/>
                <w:sz w:val="21"/>
                <w14:ligatures w14:val="none"/>
              </w:rPr>
              <w:t>高技术制造业增加值占规模工业增加值比重（</w:t>
            </w:r>
            <w:r>
              <w:rPr>
                <w:rFonts w:cs="Times New Roman"/>
                <w:color w:val="000000"/>
                <w:spacing w:val="-17"/>
                <w:kern w:val="0"/>
                <w:sz w:val="21"/>
                <w14:ligatures w14:val="none"/>
              </w:rPr>
              <w:t>%</w:t>
            </w:r>
            <w:r>
              <w:rPr>
                <w:rFonts w:hint="eastAsia" w:cs="Times New Roman"/>
                <w:color w:val="000000"/>
                <w:spacing w:val="-17"/>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3FCFA5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w:t>
            </w:r>
          </w:p>
        </w:tc>
        <w:tc>
          <w:tcPr>
            <w:tcW w:w="882" w:type="pct"/>
            <w:tcBorders>
              <w:top w:val="single" w:color="auto" w:sz="4" w:space="0"/>
              <w:left w:val="single" w:color="auto" w:sz="4" w:space="0"/>
              <w:bottom w:val="single" w:color="auto" w:sz="4" w:space="0"/>
              <w:right w:val="single" w:color="auto" w:sz="4" w:space="0"/>
            </w:tcBorders>
            <w:vAlign w:val="center"/>
          </w:tcPr>
          <w:p w14:paraId="3B1C9EE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15</w:t>
            </w:r>
          </w:p>
        </w:tc>
        <w:tc>
          <w:tcPr>
            <w:tcW w:w="510" w:type="pct"/>
            <w:tcBorders>
              <w:top w:val="single" w:color="auto" w:sz="4" w:space="0"/>
              <w:left w:val="single" w:color="auto" w:sz="4" w:space="0"/>
              <w:bottom w:val="single" w:color="auto" w:sz="4" w:space="0"/>
              <w:right w:val="single" w:color="auto" w:sz="4" w:space="0"/>
            </w:tcBorders>
            <w:vAlign w:val="center"/>
          </w:tcPr>
          <w:p w14:paraId="54086F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3E16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left w:val="single" w:color="auto" w:sz="4" w:space="0"/>
              <w:right w:val="single" w:color="auto" w:sz="4" w:space="0"/>
            </w:tcBorders>
            <w:vAlign w:val="center"/>
          </w:tcPr>
          <w:p w14:paraId="6FB989CB">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创新驱动</w:t>
            </w:r>
          </w:p>
        </w:tc>
        <w:tc>
          <w:tcPr>
            <w:tcW w:w="321" w:type="pct"/>
            <w:tcBorders>
              <w:top w:val="single" w:color="auto" w:sz="4" w:space="0"/>
              <w:left w:val="single" w:color="auto" w:sz="4" w:space="0"/>
              <w:bottom w:val="single" w:color="auto" w:sz="4" w:space="0"/>
              <w:right w:val="single" w:color="auto" w:sz="4" w:space="0"/>
            </w:tcBorders>
            <w:vAlign w:val="center"/>
          </w:tcPr>
          <w:p w14:paraId="3BE814B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16EFCD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全社会研发经费投入增长（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9E731A1">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w:t>
            </w:r>
          </w:p>
        </w:tc>
        <w:tc>
          <w:tcPr>
            <w:tcW w:w="882" w:type="pct"/>
            <w:tcBorders>
              <w:top w:val="single" w:color="auto" w:sz="4" w:space="0"/>
              <w:left w:val="single" w:color="auto" w:sz="4" w:space="0"/>
              <w:bottom w:val="single" w:color="auto" w:sz="4" w:space="0"/>
              <w:right w:val="single" w:color="auto" w:sz="4" w:space="0"/>
            </w:tcBorders>
            <w:vAlign w:val="center"/>
          </w:tcPr>
          <w:p w14:paraId="2567BFB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年均</w:t>
            </w:r>
            <w:r>
              <w:rPr>
                <w:rFonts w:cs="Times New Roman"/>
                <w:color w:val="000000"/>
                <w:kern w:val="0"/>
                <w:sz w:val="21"/>
                <w14:ligatures w14:val="none"/>
              </w:rPr>
              <w:t>10</w:t>
            </w:r>
          </w:p>
        </w:tc>
        <w:tc>
          <w:tcPr>
            <w:tcW w:w="510" w:type="pct"/>
            <w:tcBorders>
              <w:top w:val="single" w:color="auto" w:sz="4" w:space="0"/>
              <w:left w:val="single" w:color="auto" w:sz="4" w:space="0"/>
              <w:bottom w:val="single" w:color="auto" w:sz="4" w:space="0"/>
              <w:right w:val="single" w:color="auto" w:sz="4" w:space="0"/>
            </w:tcBorders>
            <w:vAlign w:val="center"/>
          </w:tcPr>
          <w:p w14:paraId="18318062">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A2D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EC1CB9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3BAB06A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B2A8551">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每万人口高价值发明专利拥有量（件）</w:t>
            </w:r>
          </w:p>
        </w:tc>
        <w:tc>
          <w:tcPr>
            <w:tcW w:w="802" w:type="pct"/>
            <w:tcBorders>
              <w:top w:val="single" w:color="auto" w:sz="4" w:space="0"/>
              <w:left w:val="single" w:color="auto" w:sz="4" w:space="0"/>
              <w:bottom w:val="single" w:color="auto" w:sz="4" w:space="0"/>
              <w:right w:val="single" w:color="auto" w:sz="4" w:space="0"/>
            </w:tcBorders>
            <w:vAlign w:val="center"/>
          </w:tcPr>
          <w:p w14:paraId="19492FB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1.25</w:t>
            </w:r>
          </w:p>
        </w:tc>
        <w:tc>
          <w:tcPr>
            <w:tcW w:w="882" w:type="pct"/>
            <w:tcBorders>
              <w:top w:val="single" w:color="auto" w:sz="4" w:space="0"/>
              <w:left w:val="single" w:color="auto" w:sz="4" w:space="0"/>
              <w:bottom w:val="single" w:color="auto" w:sz="4" w:space="0"/>
              <w:right w:val="single" w:color="auto" w:sz="4" w:space="0"/>
            </w:tcBorders>
            <w:vAlign w:val="center"/>
          </w:tcPr>
          <w:p w14:paraId="27B78D2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p>
        </w:tc>
        <w:tc>
          <w:tcPr>
            <w:tcW w:w="510" w:type="pct"/>
            <w:tcBorders>
              <w:top w:val="single" w:color="auto" w:sz="4" w:space="0"/>
              <w:left w:val="single" w:color="auto" w:sz="4" w:space="0"/>
              <w:bottom w:val="single" w:color="auto" w:sz="4" w:space="0"/>
              <w:right w:val="single" w:color="auto" w:sz="4" w:space="0"/>
            </w:tcBorders>
            <w:vAlign w:val="center"/>
          </w:tcPr>
          <w:p w14:paraId="47AE70E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8CD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7DD351A9">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EF0B82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3D4AE04">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数字经济核心产业增加值占</w:t>
            </w:r>
            <w:r>
              <w:rPr>
                <w:rFonts w:cs="Times New Roman"/>
                <w:color w:val="000000"/>
                <w:kern w:val="0"/>
                <w:sz w:val="21"/>
                <w14:ligatures w14:val="none"/>
              </w:rPr>
              <w:t>GDP</w:t>
            </w:r>
            <w:r>
              <w:rPr>
                <w:rFonts w:hint="eastAsia" w:cs="Times New Roman"/>
                <w:color w:val="000000"/>
                <w:kern w:val="0"/>
                <w:sz w:val="21"/>
                <w14:ligatures w14:val="none"/>
              </w:rPr>
              <w:t>比重（</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124BC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4.5</w:t>
            </w:r>
          </w:p>
        </w:tc>
        <w:tc>
          <w:tcPr>
            <w:tcW w:w="882" w:type="pct"/>
            <w:tcBorders>
              <w:top w:val="single" w:color="auto" w:sz="4" w:space="0"/>
              <w:left w:val="single" w:color="auto" w:sz="4" w:space="0"/>
              <w:bottom w:val="single" w:color="auto" w:sz="4" w:space="0"/>
              <w:right w:val="single" w:color="auto" w:sz="4" w:space="0"/>
            </w:tcBorders>
            <w:vAlign w:val="center"/>
          </w:tcPr>
          <w:p w14:paraId="2950F37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w:t>
            </w:r>
          </w:p>
        </w:tc>
        <w:tc>
          <w:tcPr>
            <w:tcW w:w="510" w:type="pct"/>
            <w:tcBorders>
              <w:top w:val="single" w:color="auto" w:sz="4" w:space="0"/>
              <w:left w:val="single" w:color="auto" w:sz="4" w:space="0"/>
              <w:bottom w:val="single" w:color="auto" w:sz="4" w:space="0"/>
              <w:right w:val="single" w:color="auto" w:sz="4" w:space="0"/>
            </w:tcBorders>
            <w:vAlign w:val="center"/>
          </w:tcPr>
          <w:p w14:paraId="2198AA6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148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04394571">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民生福祉</w:t>
            </w:r>
          </w:p>
        </w:tc>
        <w:tc>
          <w:tcPr>
            <w:tcW w:w="321" w:type="pct"/>
            <w:tcBorders>
              <w:top w:val="single" w:color="auto" w:sz="4" w:space="0"/>
              <w:left w:val="single" w:color="auto" w:sz="4" w:space="0"/>
              <w:bottom w:val="single" w:color="auto" w:sz="4" w:space="0"/>
              <w:right w:val="single" w:color="auto" w:sz="4" w:space="0"/>
            </w:tcBorders>
            <w:vAlign w:val="center"/>
          </w:tcPr>
          <w:p w14:paraId="2429AD3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DE79E9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城镇调查失业率（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69BB6E0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r>
              <w:rPr>
                <w:rFonts w:cs="Times New Roman"/>
                <w:color w:val="000000"/>
                <w:kern w:val="0"/>
                <w:sz w:val="21"/>
                <w14:ligatures w14:val="none"/>
              </w:rPr>
              <w:t>5.5</w:t>
            </w:r>
          </w:p>
        </w:tc>
        <w:tc>
          <w:tcPr>
            <w:tcW w:w="882" w:type="pct"/>
            <w:tcBorders>
              <w:top w:val="single" w:color="auto" w:sz="4" w:space="0"/>
              <w:left w:val="single" w:color="auto" w:sz="4" w:space="0"/>
              <w:bottom w:val="single" w:color="auto" w:sz="4" w:space="0"/>
              <w:right w:val="single" w:color="auto" w:sz="4" w:space="0"/>
            </w:tcBorders>
            <w:vAlign w:val="center"/>
          </w:tcPr>
          <w:p w14:paraId="5679E44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r>
              <w:rPr>
                <w:rFonts w:cs="Times New Roman"/>
                <w:color w:val="000000"/>
                <w:kern w:val="0"/>
                <w:sz w:val="21"/>
                <w14:ligatures w14:val="none"/>
              </w:rPr>
              <w:t>5.5</w:t>
            </w:r>
          </w:p>
        </w:tc>
        <w:tc>
          <w:tcPr>
            <w:tcW w:w="510" w:type="pct"/>
            <w:tcBorders>
              <w:top w:val="single" w:color="auto" w:sz="4" w:space="0"/>
              <w:left w:val="single" w:color="auto" w:sz="4" w:space="0"/>
              <w:bottom w:val="single" w:color="auto" w:sz="4" w:space="0"/>
              <w:right w:val="single" w:color="auto" w:sz="4" w:space="0"/>
            </w:tcBorders>
            <w:vAlign w:val="center"/>
          </w:tcPr>
          <w:p w14:paraId="1D3765C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2B0A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F6383A9">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77BEAA7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9</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89E2FF4">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居民人均可支配收入增长（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17A2A1B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6.2</w:t>
            </w:r>
          </w:p>
        </w:tc>
        <w:tc>
          <w:tcPr>
            <w:tcW w:w="882" w:type="pct"/>
            <w:tcBorders>
              <w:top w:val="single" w:color="auto" w:sz="4" w:space="0"/>
              <w:left w:val="single" w:color="auto" w:sz="4" w:space="0"/>
              <w:bottom w:val="single" w:color="auto" w:sz="4" w:space="0"/>
              <w:right w:val="single" w:color="auto" w:sz="4" w:space="0"/>
            </w:tcBorders>
            <w:vAlign w:val="center"/>
          </w:tcPr>
          <w:p w14:paraId="5523EAC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与</w:t>
            </w:r>
            <w:r>
              <w:rPr>
                <w:rFonts w:cs="Times New Roman"/>
                <w:color w:val="000000"/>
                <w:kern w:val="0"/>
                <w:sz w:val="21"/>
                <w14:ligatures w14:val="none"/>
              </w:rPr>
              <w:t>GDP</w:t>
            </w:r>
            <w:r>
              <w:rPr>
                <w:rFonts w:hint="eastAsia" w:cs="Times New Roman"/>
                <w:color w:val="000000"/>
                <w:kern w:val="0"/>
                <w:sz w:val="21"/>
                <w14:ligatures w14:val="none"/>
              </w:rPr>
              <w:t>增长同步</w:t>
            </w:r>
          </w:p>
        </w:tc>
        <w:tc>
          <w:tcPr>
            <w:tcW w:w="510" w:type="pct"/>
            <w:tcBorders>
              <w:top w:val="single" w:color="auto" w:sz="4" w:space="0"/>
              <w:left w:val="single" w:color="auto" w:sz="4" w:space="0"/>
              <w:bottom w:val="single" w:color="auto" w:sz="4" w:space="0"/>
              <w:right w:val="single" w:color="auto" w:sz="4" w:space="0"/>
            </w:tcBorders>
            <w:vAlign w:val="center"/>
          </w:tcPr>
          <w:p w14:paraId="5DF2148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59CD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49706BB6">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78E0F29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8C784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劳动年龄人口平均受教育年限（年）</w:t>
            </w:r>
          </w:p>
        </w:tc>
        <w:tc>
          <w:tcPr>
            <w:tcW w:w="802" w:type="pct"/>
            <w:tcBorders>
              <w:top w:val="single" w:color="auto" w:sz="4" w:space="0"/>
              <w:left w:val="single" w:color="auto" w:sz="4" w:space="0"/>
              <w:bottom w:val="single" w:color="auto" w:sz="4" w:space="0"/>
              <w:right w:val="single" w:color="auto" w:sz="4" w:space="0"/>
            </w:tcBorders>
            <w:vAlign w:val="center"/>
          </w:tcPr>
          <w:p w14:paraId="49205C5A">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10.68</w:t>
            </w:r>
          </w:p>
        </w:tc>
        <w:tc>
          <w:tcPr>
            <w:tcW w:w="882" w:type="pct"/>
            <w:tcBorders>
              <w:top w:val="single" w:color="auto" w:sz="4" w:space="0"/>
              <w:left w:val="single" w:color="auto" w:sz="4" w:space="0"/>
              <w:bottom w:val="single" w:color="auto" w:sz="4" w:space="0"/>
              <w:right w:val="single" w:color="auto" w:sz="4" w:space="0"/>
            </w:tcBorders>
            <w:vAlign w:val="center"/>
          </w:tcPr>
          <w:p w14:paraId="7983CCC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11.5</w:t>
            </w:r>
          </w:p>
        </w:tc>
        <w:tc>
          <w:tcPr>
            <w:tcW w:w="510" w:type="pct"/>
            <w:tcBorders>
              <w:top w:val="single" w:color="auto" w:sz="4" w:space="0"/>
              <w:left w:val="single" w:color="auto" w:sz="4" w:space="0"/>
              <w:bottom w:val="single" w:color="auto" w:sz="4" w:space="0"/>
              <w:right w:val="single" w:color="auto" w:sz="4" w:space="0"/>
            </w:tcBorders>
            <w:vAlign w:val="center"/>
          </w:tcPr>
          <w:p w14:paraId="5054A1B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4A7E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2C7FDBE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vMerge w:val="restart"/>
            <w:tcBorders>
              <w:top w:val="single" w:color="auto" w:sz="4" w:space="0"/>
              <w:left w:val="single" w:color="auto" w:sz="4" w:space="0"/>
              <w:right w:val="single" w:color="auto" w:sz="4" w:space="0"/>
            </w:tcBorders>
            <w:vAlign w:val="center"/>
          </w:tcPr>
          <w:p w14:paraId="4024EAFD">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11</w:t>
            </w:r>
          </w:p>
        </w:tc>
        <w:tc>
          <w:tcPr>
            <w:tcW w:w="1120" w:type="pct"/>
            <w:vMerge w:val="restart"/>
            <w:tcBorders>
              <w:top w:val="single" w:color="auto" w:sz="4" w:space="0"/>
              <w:left w:val="single" w:color="auto" w:sz="4" w:space="0"/>
              <w:right w:val="single" w:color="auto" w:sz="4" w:space="0"/>
            </w:tcBorders>
            <w:vAlign w:val="center"/>
          </w:tcPr>
          <w:p w14:paraId="6357C83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每千人口拥有</w:t>
            </w:r>
          </w:p>
          <w:p w14:paraId="39A9042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医护人员数</w:t>
            </w:r>
          </w:p>
        </w:tc>
        <w:tc>
          <w:tcPr>
            <w:tcW w:w="1128" w:type="pct"/>
            <w:tcBorders>
              <w:top w:val="single" w:color="auto" w:sz="4" w:space="0"/>
              <w:left w:val="single" w:color="auto" w:sz="4" w:space="0"/>
              <w:bottom w:val="single" w:color="auto" w:sz="4" w:space="0"/>
              <w:right w:val="single" w:color="auto" w:sz="4" w:space="0"/>
            </w:tcBorders>
            <w:vAlign w:val="center"/>
          </w:tcPr>
          <w:p w14:paraId="241137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执业医师数（人）</w:t>
            </w:r>
          </w:p>
        </w:tc>
        <w:tc>
          <w:tcPr>
            <w:tcW w:w="802" w:type="pct"/>
            <w:tcBorders>
              <w:top w:val="single" w:color="auto" w:sz="4" w:space="0"/>
              <w:left w:val="single" w:color="auto" w:sz="4" w:space="0"/>
              <w:bottom w:val="single" w:color="auto" w:sz="4" w:space="0"/>
              <w:right w:val="single" w:color="auto" w:sz="4" w:space="0"/>
            </w:tcBorders>
            <w:vAlign w:val="center"/>
          </w:tcPr>
          <w:p w14:paraId="43786F0B">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2.67</w:t>
            </w:r>
          </w:p>
        </w:tc>
        <w:tc>
          <w:tcPr>
            <w:tcW w:w="882" w:type="pct"/>
            <w:tcBorders>
              <w:top w:val="single" w:color="auto" w:sz="4" w:space="0"/>
              <w:left w:val="single" w:color="auto" w:sz="4" w:space="0"/>
              <w:bottom w:val="single" w:color="auto" w:sz="4" w:space="0"/>
              <w:right w:val="single" w:color="auto" w:sz="4" w:space="0"/>
            </w:tcBorders>
            <w:vAlign w:val="center"/>
          </w:tcPr>
          <w:p w14:paraId="7E48C39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r>
              <w:rPr>
                <w:rFonts w:hint="eastAsia" w:cs="Times New Roman"/>
                <w:color w:val="000000"/>
                <w:kern w:val="0"/>
                <w:sz w:val="21"/>
                <w14:ligatures w14:val="none"/>
              </w:rPr>
              <w:t>左右</w:t>
            </w:r>
          </w:p>
        </w:tc>
        <w:tc>
          <w:tcPr>
            <w:tcW w:w="510" w:type="pct"/>
            <w:tcBorders>
              <w:top w:val="single" w:color="auto" w:sz="4" w:space="0"/>
              <w:left w:val="single" w:color="auto" w:sz="4" w:space="0"/>
              <w:bottom w:val="single" w:color="auto" w:sz="4" w:space="0"/>
              <w:right w:val="single" w:color="auto" w:sz="4" w:space="0"/>
            </w:tcBorders>
            <w:vAlign w:val="center"/>
          </w:tcPr>
          <w:p w14:paraId="4885A7A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7A4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6331D07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vMerge w:val="continue"/>
            <w:tcBorders>
              <w:left w:val="single" w:color="auto" w:sz="4" w:space="0"/>
              <w:bottom w:val="single" w:color="auto" w:sz="4" w:space="0"/>
              <w:right w:val="single" w:color="auto" w:sz="4" w:space="0"/>
            </w:tcBorders>
            <w:vAlign w:val="center"/>
          </w:tcPr>
          <w:p w14:paraId="09182B66">
            <w:pPr>
              <w:widowControl/>
              <w:autoSpaceDE w:val="0"/>
              <w:spacing w:line="330" w:lineRule="exact"/>
              <w:ind w:firstLine="0" w:firstLineChars="0"/>
              <w:jc w:val="center"/>
              <w:textAlignment w:val="center"/>
              <w:rPr>
                <w:rFonts w:cs="Times New Roman"/>
                <w:color w:val="000000"/>
                <w:kern w:val="0"/>
                <w:sz w:val="21"/>
                <w14:ligatures w14:val="none"/>
              </w:rPr>
            </w:pPr>
          </w:p>
        </w:tc>
        <w:tc>
          <w:tcPr>
            <w:tcW w:w="1120" w:type="pct"/>
            <w:vMerge w:val="continue"/>
            <w:tcBorders>
              <w:left w:val="single" w:color="auto" w:sz="4" w:space="0"/>
              <w:bottom w:val="single" w:color="auto" w:sz="4" w:space="0"/>
              <w:right w:val="single" w:color="auto" w:sz="4" w:space="0"/>
            </w:tcBorders>
            <w:vAlign w:val="center"/>
          </w:tcPr>
          <w:p w14:paraId="7F458F50">
            <w:pPr>
              <w:widowControl/>
              <w:autoSpaceDE w:val="0"/>
              <w:spacing w:line="330" w:lineRule="exact"/>
              <w:ind w:firstLine="0" w:firstLineChars="0"/>
              <w:jc w:val="center"/>
              <w:textAlignment w:val="center"/>
              <w:rPr>
                <w:rFonts w:cs="Times New Roman"/>
                <w:color w:val="000000"/>
                <w:kern w:val="0"/>
                <w:sz w:val="21"/>
                <w14:ligatures w14:val="none"/>
              </w:rPr>
            </w:pPr>
          </w:p>
        </w:tc>
        <w:tc>
          <w:tcPr>
            <w:tcW w:w="1128" w:type="pct"/>
            <w:tcBorders>
              <w:top w:val="single" w:color="auto" w:sz="4" w:space="0"/>
              <w:left w:val="single" w:color="auto" w:sz="4" w:space="0"/>
              <w:bottom w:val="single" w:color="auto" w:sz="4" w:space="0"/>
              <w:right w:val="single" w:color="auto" w:sz="4" w:space="0"/>
            </w:tcBorders>
            <w:vAlign w:val="center"/>
          </w:tcPr>
          <w:p w14:paraId="2A97F72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注册护士数（人）</w:t>
            </w:r>
          </w:p>
        </w:tc>
        <w:tc>
          <w:tcPr>
            <w:tcW w:w="802" w:type="pct"/>
            <w:tcBorders>
              <w:top w:val="single" w:color="auto" w:sz="4" w:space="0"/>
              <w:left w:val="single" w:color="auto" w:sz="4" w:space="0"/>
              <w:bottom w:val="single" w:color="auto" w:sz="4" w:space="0"/>
              <w:right w:val="single" w:color="auto" w:sz="4" w:space="0"/>
            </w:tcBorders>
            <w:vAlign w:val="center"/>
          </w:tcPr>
          <w:p w14:paraId="22F1A68E">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4.5</w:t>
            </w:r>
          </w:p>
        </w:tc>
        <w:tc>
          <w:tcPr>
            <w:tcW w:w="882" w:type="pct"/>
            <w:tcBorders>
              <w:top w:val="single" w:color="auto" w:sz="4" w:space="0"/>
              <w:left w:val="single" w:color="auto" w:sz="4" w:space="0"/>
              <w:bottom w:val="single" w:color="auto" w:sz="4" w:space="0"/>
              <w:right w:val="single" w:color="auto" w:sz="4" w:space="0"/>
            </w:tcBorders>
            <w:vAlign w:val="center"/>
          </w:tcPr>
          <w:p w14:paraId="2B8F541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r>
              <w:rPr>
                <w:rFonts w:hint="eastAsia" w:cs="Times New Roman"/>
                <w:color w:val="000000"/>
                <w:kern w:val="0"/>
                <w:sz w:val="21"/>
                <w14:ligatures w14:val="none"/>
              </w:rPr>
              <w:t>左右</w:t>
            </w:r>
          </w:p>
        </w:tc>
        <w:tc>
          <w:tcPr>
            <w:tcW w:w="510" w:type="pct"/>
            <w:tcBorders>
              <w:top w:val="single" w:color="auto" w:sz="4" w:space="0"/>
              <w:left w:val="single" w:color="auto" w:sz="4" w:space="0"/>
              <w:bottom w:val="single" w:color="auto" w:sz="4" w:space="0"/>
              <w:right w:val="single" w:color="auto" w:sz="4" w:space="0"/>
            </w:tcBorders>
            <w:vAlign w:val="center"/>
          </w:tcPr>
          <w:p w14:paraId="3499497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C64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7E1036B7">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F10101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645A4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养老机构护理型床位占比（</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8B1CB4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77.6</w:t>
            </w:r>
          </w:p>
        </w:tc>
        <w:tc>
          <w:tcPr>
            <w:tcW w:w="882" w:type="pct"/>
            <w:tcBorders>
              <w:top w:val="single" w:color="auto" w:sz="4" w:space="0"/>
              <w:left w:val="single" w:color="auto" w:sz="4" w:space="0"/>
              <w:bottom w:val="single" w:color="auto" w:sz="4" w:space="0"/>
              <w:right w:val="single" w:color="auto" w:sz="4" w:space="0"/>
            </w:tcBorders>
            <w:vAlign w:val="center"/>
          </w:tcPr>
          <w:p w14:paraId="47D0218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80</w:t>
            </w:r>
          </w:p>
        </w:tc>
        <w:tc>
          <w:tcPr>
            <w:tcW w:w="510" w:type="pct"/>
            <w:tcBorders>
              <w:top w:val="single" w:color="auto" w:sz="4" w:space="0"/>
              <w:left w:val="single" w:color="auto" w:sz="4" w:space="0"/>
              <w:bottom w:val="single" w:color="auto" w:sz="4" w:space="0"/>
              <w:right w:val="single" w:color="auto" w:sz="4" w:space="0"/>
            </w:tcBorders>
            <w:vAlign w:val="center"/>
          </w:tcPr>
          <w:p w14:paraId="16A2535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53F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439915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3F8A718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13</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D32329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r>
              <w:rPr>
                <w:rFonts w:hint="eastAsia" w:cs="Times New Roman"/>
                <w:color w:val="000000"/>
                <w:kern w:val="0"/>
                <w:sz w:val="21"/>
                <w14:ligatures w14:val="none"/>
              </w:rPr>
              <w:t>岁以下婴幼儿入托率提高（百分点）</w:t>
            </w:r>
          </w:p>
        </w:tc>
        <w:tc>
          <w:tcPr>
            <w:tcW w:w="802" w:type="pct"/>
            <w:tcBorders>
              <w:top w:val="single" w:color="auto" w:sz="4" w:space="0"/>
              <w:left w:val="single" w:color="auto" w:sz="4" w:space="0"/>
              <w:bottom w:val="single" w:color="auto" w:sz="4" w:space="0"/>
              <w:right w:val="single" w:color="auto" w:sz="4" w:space="0"/>
            </w:tcBorders>
            <w:vAlign w:val="center"/>
          </w:tcPr>
          <w:p w14:paraId="49CBAFEF">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p>
        </w:tc>
        <w:tc>
          <w:tcPr>
            <w:tcW w:w="882" w:type="pct"/>
            <w:tcBorders>
              <w:top w:val="single" w:color="auto" w:sz="4" w:space="0"/>
              <w:left w:val="single" w:color="auto" w:sz="4" w:space="0"/>
              <w:bottom w:val="single" w:color="auto" w:sz="4" w:space="0"/>
              <w:right w:val="single" w:color="auto" w:sz="4" w:space="0"/>
            </w:tcBorders>
            <w:vAlign w:val="center"/>
          </w:tcPr>
          <w:p w14:paraId="26293EF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w:t>
            </w:r>
            <w:r>
              <w:rPr>
                <w:rFonts w:hint="eastAsia" w:cs="Times New Roman"/>
                <w:color w:val="000000"/>
                <w:kern w:val="0"/>
                <w:sz w:val="21"/>
                <w14:ligatures w14:val="none"/>
              </w:rPr>
              <w:t>6</w:t>
            </w:r>
            <w:r>
              <w:rPr>
                <w:rFonts w:cs="Times New Roman"/>
                <w:color w:val="000000"/>
                <w:kern w:val="0"/>
                <w:sz w:val="21"/>
                <w14:ligatures w14:val="none"/>
              </w:rPr>
              <w:t>]</w:t>
            </w:r>
          </w:p>
        </w:tc>
        <w:tc>
          <w:tcPr>
            <w:tcW w:w="510" w:type="pct"/>
            <w:tcBorders>
              <w:top w:val="single" w:color="auto" w:sz="4" w:space="0"/>
              <w:left w:val="single" w:color="auto" w:sz="4" w:space="0"/>
              <w:bottom w:val="single" w:color="auto" w:sz="4" w:space="0"/>
              <w:right w:val="single" w:color="auto" w:sz="4" w:space="0"/>
            </w:tcBorders>
            <w:vAlign w:val="center"/>
          </w:tcPr>
          <w:p w14:paraId="1760523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E44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5057935E">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ABD59C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14</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D2954C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人均预期寿命（岁）</w:t>
            </w:r>
          </w:p>
        </w:tc>
        <w:tc>
          <w:tcPr>
            <w:tcW w:w="802" w:type="pct"/>
            <w:tcBorders>
              <w:top w:val="single" w:color="auto" w:sz="4" w:space="0"/>
              <w:left w:val="single" w:color="auto" w:sz="4" w:space="0"/>
              <w:bottom w:val="single" w:color="auto" w:sz="4" w:space="0"/>
              <w:right w:val="single" w:color="auto" w:sz="4" w:space="0"/>
            </w:tcBorders>
            <w:vAlign w:val="center"/>
          </w:tcPr>
          <w:p w14:paraId="15A6F07A">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78.5</w:t>
            </w:r>
          </w:p>
        </w:tc>
        <w:tc>
          <w:tcPr>
            <w:tcW w:w="882" w:type="pct"/>
            <w:tcBorders>
              <w:top w:val="single" w:color="auto" w:sz="4" w:space="0"/>
              <w:left w:val="single" w:color="auto" w:sz="4" w:space="0"/>
              <w:bottom w:val="single" w:color="auto" w:sz="4" w:space="0"/>
              <w:right w:val="single" w:color="auto" w:sz="4" w:space="0"/>
            </w:tcBorders>
            <w:vAlign w:val="center"/>
          </w:tcPr>
          <w:p w14:paraId="40642E0B">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80.2</w:t>
            </w:r>
          </w:p>
        </w:tc>
        <w:tc>
          <w:tcPr>
            <w:tcW w:w="510" w:type="pct"/>
            <w:tcBorders>
              <w:top w:val="single" w:color="auto" w:sz="4" w:space="0"/>
              <w:left w:val="single" w:color="auto" w:sz="4" w:space="0"/>
              <w:bottom w:val="single" w:color="auto" w:sz="4" w:space="0"/>
              <w:right w:val="single" w:color="auto" w:sz="4" w:space="0"/>
            </w:tcBorders>
            <w:vAlign w:val="center"/>
          </w:tcPr>
          <w:p w14:paraId="5E473EE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45B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666EDCAA">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绿色低碳</w:t>
            </w:r>
          </w:p>
        </w:tc>
        <w:tc>
          <w:tcPr>
            <w:tcW w:w="321" w:type="pct"/>
            <w:tcBorders>
              <w:top w:val="single" w:color="auto" w:sz="4" w:space="0"/>
              <w:left w:val="single" w:color="auto" w:sz="4" w:space="0"/>
              <w:bottom w:val="single" w:color="auto" w:sz="4" w:space="0"/>
              <w:right w:val="single" w:color="auto" w:sz="4" w:space="0"/>
            </w:tcBorders>
            <w:vAlign w:val="center"/>
          </w:tcPr>
          <w:p w14:paraId="4614617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15</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6EBE7C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单位</w:t>
            </w:r>
            <w:r>
              <w:rPr>
                <w:rFonts w:cs="Times New Roman"/>
                <w:color w:val="000000"/>
                <w:kern w:val="0"/>
                <w:sz w:val="21"/>
                <w14:ligatures w14:val="none"/>
              </w:rPr>
              <w:t>GDP</w:t>
            </w:r>
            <w:r>
              <w:rPr>
                <w:rFonts w:hint="eastAsia" w:cs="Times New Roman"/>
                <w:color w:val="000000"/>
                <w:kern w:val="0"/>
                <w:sz w:val="21"/>
                <w14:ligatures w14:val="none"/>
              </w:rPr>
              <w:t>二氧化碳排放降低（</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328679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25.9</w:t>
            </w:r>
          </w:p>
        </w:tc>
        <w:tc>
          <w:tcPr>
            <w:tcW w:w="882" w:type="pct"/>
            <w:tcBorders>
              <w:top w:val="single" w:color="auto" w:sz="4" w:space="0"/>
              <w:left w:val="single" w:color="auto" w:sz="4" w:space="0"/>
              <w:bottom w:val="single" w:color="auto" w:sz="4" w:space="0"/>
              <w:right w:val="single" w:color="auto" w:sz="4" w:space="0"/>
            </w:tcBorders>
            <w:vAlign w:val="center"/>
          </w:tcPr>
          <w:p w14:paraId="701A9D3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以省下达任务为准</w:t>
            </w:r>
          </w:p>
        </w:tc>
        <w:tc>
          <w:tcPr>
            <w:tcW w:w="510" w:type="pct"/>
            <w:tcBorders>
              <w:top w:val="single" w:color="auto" w:sz="4" w:space="0"/>
              <w:left w:val="single" w:color="auto" w:sz="4" w:space="0"/>
              <w:bottom w:val="single" w:color="auto" w:sz="4" w:space="0"/>
              <w:right w:val="single" w:color="auto" w:sz="4" w:space="0"/>
            </w:tcBorders>
            <w:vAlign w:val="center"/>
          </w:tcPr>
          <w:p w14:paraId="480F0C6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019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3E9CB3DF">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1CAD571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16</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40F2E87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非化石能源占能源消费总量比重（</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41CD18A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27.7</w:t>
            </w:r>
          </w:p>
        </w:tc>
        <w:tc>
          <w:tcPr>
            <w:tcW w:w="882" w:type="pct"/>
            <w:tcBorders>
              <w:top w:val="single" w:color="auto" w:sz="4" w:space="0"/>
              <w:left w:val="single" w:color="auto" w:sz="4" w:space="0"/>
              <w:bottom w:val="single" w:color="auto" w:sz="4" w:space="0"/>
              <w:right w:val="single" w:color="auto" w:sz="4" w:space="0"/>
            </w:tcBorders>
            <w:vAlign w:val="center"/>
          </w:tcPr>
          <w:p w14:paraId="7437054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p>
        </w:tc>
        <w:tc>
          <w:tcPr>
            <w:tcW w:w="510" w:type="pct"/>
            <w:tcBorders>
              <w:top w:val="single" w:color="auto" w:sz="4" w:space="0"/>
              <w:left w:val="single" w:color="auto" w:sz="4" w:space="0"/>
              <w:bottom w:val="single" w:color="auto" w:sz="4" w:space="0"/>
              <w:right w:val="single" w:color="auto" w:sz="4" w:space="0"/>
            </w:tcBorders>
            <w:vAlign w:val="center"/>
          </w:tcPr>
          <w:p w14:paraId="7DD223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2E46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4CE07A7">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F08488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17</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BD2D3C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地级及以上城市细颗粒物（</w:t>
            </w:r>
            <w:r>
              <w:rPr>
                <w:rFonts w:cs="Times New Roman"/>
                <w:color w:val="000000"/>
                <w:kern w:val="0"/>
                <w:sz w:val="21"/>
                <w14:ligatures w14:val="none"/>
              </w:rPr>
              <w:t>PM</w:t>
            </w:r>
            <w:r>
              <w:rPr>
                <w:rFonts w:cs="Times New Roman"/>
                <w:color w:val="000000"/>
                <w:kern w:val="0"/>
                <w:sz w:val="21"/>
                <w:vertAlign w:val="subscript"/>
                <w14:ligatures w14:val="none"/>
              </w:rPr>
              <w:t>2.5</w:t>
            </w:r>
            <w:r>
              <w:rPr>
                <w:rFonts w:hint="eastAsia" w:cs="Times New Roman"/>
                <w:color w:val="000000"/>
                <w:kern w:val="0"/>
                <w:sz w:val="21"/>
                <w14:ligatures w14:val="none"/>
              </w:rPr>
              <w:t>）浓度（微克</w:t>
            </w:r>
            <w:r>
              <w:rPr>
                <w:rFonts w:cs="Times New Roman"/>
                <w:color w:val="000000"/>
                <w:kern w:val="0"/>
                <w:sz w:val="21"/>
                <w14:ligatures w14:val="none"/>
              </w:rPr>
              <w:t>/</w:t>
            </w:r>
            <w:r>
              <w:rPr>
                <w:rFonts w:hint="eastAsia" w:cs="Times New Roman"/>
                <w:color w:val="000000"/>
                <w:kern w:val="0"/>
                <w:sz w:val="21"/>
                <w14:ligatures w14:val="none"/>
              </w:rPr>
              <w:t>立方米）</w:t>
            </w:r>
          </w:p>
        </w:tc>
        <w:tc>
          <w:tcPr>
            <w:tcW w:w="802" w:type="pct"/>
            <w:tcBorders>
              <w:top w:val="single" w:color="auto" w:sz="4" w:space="0"/>
              <w:left w:val="single" w:color="auto" w:sz="4" w:space="0"/>
              <w:bottom w:val="single" w:color="auto" w:sz="4" w:space="0"/>
              <w:right w:val="single" w:color="auto" w:sz="4" w:space="0"/>
            </w:tcBorders>
            <w:vAlign w:val="center"/>
          </w:tcPr>
          <w:p w14:paraId="5213D34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p>
        </w:tc>
        <w:tc>
          <w:tcPr>
            <w:tcW w:w="882" w:type="pct"/>
            <w:tcBorders>
              <w:top w:val="single" w:color="auto" w:sz="4" w:space="0"/>
              <w:left w:val="single" w:color="auto" w:sz="4" w:space="0"/>
              <w:bottom w:val="single" w:color="auto" w:sz="4" w:space="0"/>
              <w:right w:val="single" w:color="auto" w:sz="4" w:space="0"/>
            </w:tcBorders>
            <w:vAlign w:val="center"/>
          </w:tcPr>
          <w:p w14:paraId="5D9C73E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以省下达任务为准</w:t>
            </w:r>
          </w:p>
        </w:tc>
        <w:tc>
          <w:tcPr>
            <w:tcW w:w="510" w:type="pct"/>
            <w:tcBorders>
              <w:top w:val="single" w:color="auto" w:sz="4" w:space="0"/>
              <w:left w:val="single" w:color="auto" w:sz="4" w:space="0"/>
              <w:bottom w:val="single" w:color="auto" w:sz="4" w:space="0"/>
              <w:right w:val="single" w:color="auto" w:sz="4" w:space="0"/>
            </w:tcBorders>
            <w:vAlign w:val="center"/>
          </w:tcPr>
          <w:p w14:paraId="56163D9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61A9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42C747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87BCD7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18</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0874EB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优良水体比例（</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1E28FB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100</w:t>
            </w:r>
          </w:p>
        </w:tc>
        <w:tc>
          <w:tcPr>
            <w:tcW w:w="882" w:type="pct"/>
            <w:tcBorders>
              <w:top w:val="single" w:color="auto" w:sz="4" w:space="0"/>
              <w:left w:val="single" w:color="auto" w:sz="4" w:space="0"/>
              <w:bottom w:val="single" w:color="auto" w:sz="4" w:space="0"/>
              <w:right w:val="single" w:color="auto" w:sz="4" w:space="0"/>
            </w:tcBorders>
            <w:vAlign w:val="center"/>
          </w:tcPr>
          <w:p w14:paraId="1BAFB7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100</w:t>
            </w:r>
          </w:p>
        </w:tc>
        <w:tc>
          <w:tcPr>
            <w:tcW w:w="510" w:type="pct"/>
            <w:tcBorders>
              <w:top w:val="single" w:color="auto" w:sz="4" w:space="0"/>
              <w:left w:val="single" w:color="auto" w:sz="4" w:space="0"/>
              <w:bottom w:val="single" w:color="auto" w:sz="4" w:space="0"/>
              <w:right w:val="single" w:color="auto" w:sz="4" w:space="0"/>
            </w:tcBorders>
            <w:vAlign w:val="center"/>
          </w:tcPr>
          <w:p w14:paraId="3F0FF14E">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315B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2E2A53B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8D9418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19</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1B3D9E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森林覆盖率（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5BBAF7B6">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55</w:t>
            </w:r>
          </w:p>
        </w:tc>
        <w:tc>
          <w:tcPr>
            <w:tcW w:w="882" w:type="pct"/>
            <w:tcBorders>
              <w:top w:val="single" w:color="auto" w:sz="4" w:space="0"/>
              <w:left w:val="single" w:color="auto" w:sz="4" w:space="0"/>
              <w:bottom w:val="single" w:color="auto" w:sz="4" w:space="0"/>
              <w:right w:val="single" w:color="auto" w:sz="4" w:space="0"/>
            </w:tcBorders>
            <w:vAlign w:val="center"/>
          </w:tcPr>
          <w:p w14:paraId="2EBDF2E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510" w:type="pct"/>
            <w:tcBorders>
              <w:top w:val="single" w:color="auto" w:sz="4" w:space="0"/>
              <w:left w:val="single" w:color="auto" w:sz="4" w:space="0"/>
              <w:bottom w:val="single" w:color="auto" w:sz="4" w:space="0"/>
              <w:right w:val="single" w:color="auto" w:sz="4" w:space="0"/>
            </w:tcBorders>
            <w:vAlign w:val="center"/>
          </w:tcPr>
          <w:p w14:paraId="481D914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3ADA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26452B46">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安全保障</w:t>
            </w:r>
          </w:p>
        </w:tc>
        <w:tc>
          <w:tcPr>
            <w:tcW w:w="321" w:type="pct"/>
            <w:tcBorders>
              <w:top w:val="single" w:color="auto" w:sz="4" w:space="0"/>
              <w:left w:val="single" w:color="auto" w:sz="4" w:space="0"/>
              <w:bottom w:val="single" w:color="auto" w:sz="4" w:space="0"/>
              <w:right w:val="single" w:color="auto" w:sz="4" w:space="0"/>
            </w:tcBorders>
            <w:vAlign w:val="center"/>
          </w:tcPr>
          <w:p w14:paraId="4699D9C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20</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74537E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粮食综合生产能力（万吨）</w:t>
            </w:r>
          </w:p>
        </w:tc>
        <w:tc>
          <w:tcPr>
            <w:tcW w:w="802" w:type="pct"/>
            <w:tcBorders>
              <w:top w:val="single" w:color="auto" w:sz="4" w:space="0"/>
              <w:left w:val="single" w:color="auto" w:sz="4" w:space="0"/>
              <w:bottom w:val="single" w:color="auto" w:sz="4" w:space="0"/>
              <w:right w:val="single" w:color="auto" w:sz="4" w:space="0"/>
            </w:tcBorders>
            <w:vAlign w:val="center"/>
          </w:tcPr>
          <w:p w14:paraId="557DAB9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310</w:t>
            </w:r>
          </w:p>
        </w:tc>
        <w:tc>
          <w:tcPr>
            <w:tcW w:w="882" w:type="pct"/>
            <w:tcBorders>
              <w:top w:val="single" w:color="auto" w:sz="4" w:space="0"/>
              <w:left w:val="single" w:color="auto" w:sz="4" w:space="0"/>
              <w:bottom w:val="single" w:color="auto" w:sz="4" w:space="0"/>
              <w:right w:val="single" w:color="auto" w:sz="4" w:space="0"/>
            </w:tcBorders>
            <w:vAlign w:val="center"/>
          </w:tcPr>
          <w:p w14:paraId="512CE5E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310</w:t>
            </w:r>
          </w:p>
        </w:tc>
        <w:tc>
          <w:tcPr>
            <w:tcW w:w="510" w:type="pct"/>
            <w:tcBorders>
              <w:top w:val="single" w:color="auto" w:sz="4" w:space="0"/>
              <w:left w:val="single" w:color="auto" w:sz="4" w:space="0"/>
              <w:bottom w:val="single" w:color="auto" w:sz="4" w:space="0"/>
              <w:right w:val="single" w:color="auto" w:sz="4" w:space="0"/>
            </w:tcBorders>
            <w:vAlign w:val="center"/>
          </w:tcPr>
          <w:p w14:paraId="427C6FD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45CE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63FFEA4A">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BCBFD4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21</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BC0C2A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能源综合生产能力（万吨标准煤）</w:t>
            </w:r>
          </w:p>
        </w:tc>
        <w:tc>
          <w:tcPr>
            <w:tcW w:w="802" w:type="pct"/>
            <w:tcBorders>
              <w:top w:val="single" w:color="auto" w:sz="4" w:space="0"/>
              <w:left w:val="single" w:color="auto" w:sz="4" w:space="0"/>
              <w:bottom w:val="single" w:color="auto" w:sz="4" w:space="0"/>
              <w:right w:val="single" w:color="auto" w:sz="4" w:space="0"/>
            </w:tcBorders>
            <w:vAlign w:val="center"/>
          </w:tcPr>
          <w:p w14:paraId="7CF807C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537</w:t>
            </w:r>
          </w:p>
        </w:tc>
        <w:tc>
          <w:tcPr>
            <w:tcW w:w="882" w:type="pct"/>
            <w:tcBorders>
              <w:top w:val="single" w:color="auto" w:sz="4" w:space="0"/>
              <w:left w:val="single" w:color="auto" w:sz="4" w:space="0"/>
              <w:bottom w:val="single" w:color="auto" w:sz="4" w:space="0"/>
              <w:right w:val="single" w:color="auto" w:sz="4" w:space="0"/>
            </w:tcBorders>
            <w:vAlign w:val="center"/>
          </w:tcPr>
          <w:p w14:paraId="524F8DA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600</w:t>
            </w:r>
          </w:p>
        </w:tc>
        <w:tc>
          <w:tcPr>
            <w:tcW w:w="510" w:type="pct"/>
            <w:tcBorders>
              <w:top w:val="single" w:color="auto" w:sz="4" w:space="0"/>
              <w:left w:val="single" w:color="auto" w:sz="4" w:space="0"/>
              <w:bottom w:val="single" w:color="auto" w:sz="4" w:space="0"/>
              <w:right w:val="single" w:color="auto" w:sz="4" w:space="0"/>
            </w:tcBorders>
            <w:vAlign w:val="center"/>
          </w:tcPr>
          <w:p w14:paraId="50FAEFC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2AE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1BAC8D3E">
            <w:pPr>
              <w:widowControl/>
              <w:autoSpaceDE w:val="0"/>
              <w:spacing w:line="330" w:lineRule="exact"/>
              <w:ind w:left="179" w:leftChars="56"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5B34F0D">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AEC832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亿元</w:t>
            </w:r>
            <w:r>
              <w:rPr>
                <w:rFonts w:cs="Times New Roman"/>
                <w:color w:val="000000"/>
                <w:kern w:val="0"/>
                <w:sz w:val="21"/>
                <w14:ligatures w14:val="none"/>
              </w:rPr>
              <w:t>GDP</w:t>
            </w:r>
            <w:r>
              <w:rPr>
                <w:rFonts w:hint="eastAsia" w:cs="Times New Roman"/>
                <w:color w:val="000000"/>
                <w:kern w:val="0"/>
                <w:sz w:val="21"/>
                <w14:ligatures w14:val="none"/>
              </w:rPr>
              <w:t>生产安全事故死亡率（人</w:t>
            </w:r>
            <w:r>
              <w:rPr>
                <w:rFonts w:cs="Times New Roman"/>
                <w:color w:val="000000"/>
                <w:kern w:val="0"/>
                <w:sz w:val="21"/>
                <w14:ligatures w14:val="none"/>
              </w:rPr>
              <w:t>/</w:t>
            </w:r>
            <w:r>
              <w:rPr>
                <w:rFonts w:hint="eastAsia" w:cs="Times New Roman"/>
                <w:color w:val="000000"/>
                <w:kern w:val="0"/>
                <w:sz w:val="21"/>
                <w14:ligatures w14:val="none"/>
              </w:rPr>
              <w:t>亿元）</w:t>
            </w:r>
          </w:p>
        </w:tc>
        <w:tc>
          <w:tcPr>
            <w:tcW w:w="802" w:type="pct"/>
            <w:tcBorders>
              <w:top w:val="single" w:color="auto" w:sz="4" w:space="0"/>
              <w:left w:val="single" w:color="auto" w:sz="4" w:space="0"/>
              <w:bottom w:val="single" w:color="auto" w:sz="4" w:space="0"/>
              <w:right w:val="single" w:color="auto" w:sz="4" w:space="0"/>
            </w:tcBorders>
            <w:vAlign w:val="center"/>
          </w:tcPr>
          <w:p w14:paraId="2E7082C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0.0334</w:t>
            </w:r>
          </w:p>
        </w:tc>
        <w:tc>
          <w:tcPr>
            <w:tcW w:w="882" w:type="pct"/>
            <w:tcBorders>
              <w:top w:val="single" w:color="auto" w:sz="4" w:space="0"/>
              <w:left w:val="single" w:color="auto" w:sz="4" w:space="0"/>
              <w:bottom w:val="single" w:color="auto" w:sz="4" w:space="0"/>
              <w:right w:val="single" w:color="auto" w:sz="4" w:space="0"/>
            </w:tcBorders>
            <w:vAlign w:val="center"/>
          </w:tcPr>
          <w:p w14:paraId="2D55DFB1">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0.0217</w:t>
            </w:r>
          </w:p>
        </w:tc>
        <w:tc>
          <w:tcPr>
            <w:tcW w:w="510" w:type="pct"/>
            <w:tcBorders>
              <w:top w:val="single" w:color="auto" w:sz="4" w:space="0"/>
              <w:left w:val="single" w:color="auto" w:sz="4" w:space="0"/>
              <w:bottom w:val="single" w:color="auto" w:sz="4" w:space="0"/>
              <w:right w:val="single" w:color="auto" w:sz="4" w:space="0"/>
            </w:tcBorders>
            <w:vAlign w:val="center"/>
          </w:tcPr>
          <w:p w14:paraId="5273432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7E44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000" w:type="pct"/>
            <w:gridSpan w:val="7"/>
            <w:tcBorders>
              <w:left w:val="single" w:color="auto" w:sz="4" w:space="0"/>
              <w:right w:val="single" w:color="auto" w:sz="4" w:space="0"/>
            </w:tcBorders>
            <w:vAlign w:val="center"/>
          </w:tcPr>
          <w:p w14:paraId="7F0858D3">
            <w:pPr>
              <w:widowControl/>
              <w:autoSpaceDE w:val="0"/>
              <w:spacing w:line="330" w:lineRule="exact"/>
              <w:ind w:firstLine="420"/>
              <w:textAlignment w:val="center"/>
              <w:rPr>
                <w:rFonts w:cs="Times New Roman"/>
                <w:color w:val="000000"/>
                <w:kern w:val="0"/>
                <w:sz w:val="21"/>
                <w14:ligatures w14:val="none"/>
              </w:rPr>
            </w:pPr>
            <w:r>
              <w:rPr>
                <w:rFonts w:hint="eastAsia" w:cs="Times New Roman"/>
                <w:color w:val="000000"/>
                <w:kern w:val="0"/>
                <w:sz w:val="21"/>
                <w14:ligatures w14:val="none"/>
              </w:rPr>
              <w:t>注：</w:t>
            </w:r>
            <w:r>
              <w:rPr>
                <w:rFonts w:cs="Times New Roman"/>
                <w:color w:val="000000"/>
                <w:kern w:val="0"/>
                <w:sz w:val="21"/>
                <w14:ligatures w14:val="none"/>
              </w:rPr>
              <w:t>[ ]</w:t>
            </w:r>
            <w:r>
              <w:rPr>
                <w:rFonts w:hint="eastAsia" w:cs="Times New Roman"/>
                <w:color w:val="000000"/>
                <w:kern w:val="0"/>
                <w:sz w:val="21"/>
                <w14:ligatures w14:val="none"/>
              </w:rPr>
              <w:t>为</w:t>
            </w:r>
            <w:r>
              <w:rPr>
                <w:rFonts w:cs="Times New Roman"/>
                <w:color w:val="000000"/>
                <w:kern w:val="0"/>
                <w:sz w:val="21"/>
                <w14:ligatures w14:val="none"/>
              </w:rPr>
              <w:t>5</w:t>
            </w:r>
            <w:r>
              <w:rPr>
                <w:rFonts w:hint="eastAsia" w:cs="Times New Roman"/>
                <w:color w:val="000000"/>
                <w:kern w:val="0"/>
                <w:sz w:val="21"/>
                <w14:ligatures w14:val="none"/>
              </w:rPr>
              <w:t>年累计数</w:t>
            </w:r>
          </w:p>
        </w:tc>
      </w:tr>
      <w:bookmarkEnd w:id="24"/>
    </w:tbl>
    <w:p w14:paraId="25A4809B">
      <w:pPr>
        <w:widowControl/>
        <w:spacing w:line="240" w:lineRule="auto"/>
        <w:ind w:firstLine="0" w:firstLineChars="0"/>
        <w:jc w:val="left"/>
      </w:pPr>
    </w:p>
    <w:p w14:paraId="32E6743B">
      <w:pPr>
        <w:pStyle w:val="7"/>
        <w:spacing w:before="217" w:after="217" w:line="540" w:lineRule="exact"/>
        <w:rPr>
          <w:b w:val="0"/>
          <w:color w:val="000000"/>
        </w:rPr>
      </w:pPr>
      <w:r>
        <w:rPr>
          <w:rFonts w:hint="eastAsia"/>
        </w:rPr>
        <w:t>第四节</w:t>
      </w:r>
      <w:r>
        <w:t xml:space="preserve"> </w:t>
      </w:r>
      <w:r>
        <w:rPr>
          <w:rFonts w:hint="eastAsia"/>
        </w:rPr>
        <w:t>关键抓手</w:t>
      </w:r>
    </w:p>
    <w:p w14:paraId="4E05BE92">
      <w:pPr>
        <w:pStyle w:val="97"/>
        <w:ind w:firstLine="640"/>
      </w:pPr>
      <w:r>
        <w:rPr>
          <w:rFonts w:hint="eastAsia"/>
        </w:rPr>
        <w:t>产业发展是实现“十五五”宏伟目标的关键抓手，要立足资源禀赋、产业基础、区位优势、科研条件，坚持产业转移和产业转型同步推进，加快构建具有永州特色和比较优势的“</w:t>
      </w:r>
      <w:r>
        <w:t>3</w:t>
      </w:r>
      <w:r>
        <w:rPr>
          <w:rFonts w:hint="eastAsia"/>
        </w:rPr>
        <w:t>×</w:t>
      </w:r>
      <w:r>
        <w:t>2</w:t>
      </w:r>
      <w:r>
        <w:rPr>
          <w:rFonts w:hint="eastAsia"/>
        </w:rPr>
        <w:t>”现代化产业体系。</w:t>
      </w:r>
    </w:p>
    <w:p w14:paraId="4D6CB749">
      <w:pPr>
        <w:adjustRightInd w:val="0"/>
        <w:snapToGrid w:val="0"/>
        <w:ind w:left="3" w:leftChars="1" w:firstLine="640"/>
        <w:rPr>
          <w:rFonts w:cs="Times New Roman"/>
          <w:b/>
          <w:bCs/>
          <w:szCs w:val="20"/>
          <w14:ligatures w14:val="none"/>
        </w:rPr>
      </w:pPr>
      <w:r>
        <w:rPr>
          <w:rFonts w:cs="Times New Roman"/>
          <w:bCs/>
          <w:color w:val="000000"/>
          <w:kern w:val="0"/>
          <w:szCs w:val="32"/>
          <w14:ligatures w14:val="none"/>
        </w:rPr>
        <w:t>——</w:t>
      </w:r>
      <w:r>
        <w:rPr>
          <w:rFonts w:hint="eastAsia"/>
          <w:b/>
        </w:rPr>
        <w:t>现代农业。</w:t>
      </w:r>
      <w:r>
        <w:rPr>
          <w:rFonts w:hint="eastAsia" w:cs="Times New Roman"/>
          <w:szCs w:val="20"/>
          <w14:ligatures w14:val="none"/>
        </w:rPr>
        <w:t>持续巩固“老三样”、壮大“新三样”，延伸产业链、补齐供应链、提升价值链，不断提升现代农业综合生产能力和质量效益，打造粤港澳大湾区优质农产品供应基地、湘粤港桂农副产品集散中心，到2030年，现代农业产值突破1500亿元。</w:t>
      </w:r>
    </w:p>
    <w:p w14:paraId="5EC059F6">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新能源。</w:t>
      </w:r>
      <w:r>
        <w:rPr>
          <w:rFonts w:hint="eastAsia" w:cs="Times New Roman"/>
          <w:szCs w:val="20"/>
          <w14:ligatures w14:val="none"/>
        </w:rPr>
        <w:t>坚持风光水储多能并举，积极布局分布式储能、虚拟电厂、微电网，加快构建以新能源为主体的新型电力系统，</w:t>
      </w:r>
      <w:r>
        <w:rPr>
          <w:rFonts w:cs="Times New Roman"/>
          <w:szCs w:val="20"/>
          <w14:ligatures w14:val="none"/>
        </w:rPr>
        <w:t>打造湖南南部综合能源基地</w:t>
      </w:r>
      <w:r>
        <w:rPr>
          <w:rFonts w:hint="eastAsia" w:cs="Times New Roman"/>
          <w:szCs w:val="20"/>
          <w14:ligatures w14:val="none"/>
        </w:rPr>
        <w:t>。</w:t>
      </w:r>
    </w:p>
    <w:p w14:paraId="14482888">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先进功能材料。</w:t>
      </w:r>
      <w:r>
        <w:rPr>
          <w:rFonts w:hint="eastAsia" w:cs="Times New Roman"/>
          <w:szCs w:val="20"/>
          <w14:ligatures w14:val="none"/>
        </w:rPr>
        <w:t>充分发挥稀土、锂、锰等矿产资源富集优势，强化矿产资源战略备份功能，建设一批专业化特色园区，培育集聚一批龙头领军企业，奋力打造国家重要先进功能材料产业基地。</w:t>
      </w:r>
    </w:p>
    <w:p w14:paraId="2F47AE0B">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文化旅游。</w:t>
      </w:r>
      <w:r>
        <w:rPr>
          <w:rFonts w:hint="eastAsia" w:cs="Times New Roman"/>
          <w:szCs w:val="20"/>
          <w14:ligatures w14:val="none"/>
        </w:rPr>
        <w:t>擦亮国家历史文化名城金字招牌，答好两道“融合命题”永州答卷，推动形成点面联动、串珠成链、客源互济、资源共享的全域旅游发展模式，打造粤港澳大湾区旅游目的地，建设文化生态旅游名城。</w:t>
      </w:r>
    </w:p>
    <w:p w14:paraId="6BEC9E28">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潜力产业。</w:t>
      </w:r>
      <w:r>
        <w:rPr>
          <w:rFonts w:cs="Times New Roman"/>
          <w:szCs w:val="20"/>
          <w14:ligatures w14:val="none"/>
        </w:rPr>
        <w:t>加快通用机场</w:t>
      </w:r>
      <w:r>
        <w:rPr>
          <w:rFonts w:hint="eastAsia" w:cs="Times New Roman"/>
          <w:szCs w:val="20"/>
          <w14:ligatures w14:val="none"/>
        </w:rPr>
        <w:t>、低空基础设施建设，以“</w:t>
      </w:r>
      <w:r>
        <w:rPr>
          <w:rFonts w:cs="Times New Roman"/>
          <w:szCs w:val="20"/>
          <w14:ligatures w14:val="none"/>
        </w:rPr>
        <w:t>低空+</w:t>
      </w:r>
      <w:r>
        <w:rPr>
          <w:rFonts w:hint="eastAsia" w:cs="Times New Roman"/>
          <w:szCs w:val="20"/>
          <w14:ligatures w14:val="none"/>
        </w:rPr>
        <w:t>”多元</w:t>
      </w:r>
      <w:r>
        <w:rPr>
          <w:rFonts w:cs="Times New Roman"/>
          <w:szCs w:val="20"/>
          <w14:ligatures w14:val="none"/>
        </w:rPr>
        <w:t>场景应用</w:t>
      </w:r>
      <w:r>
        <w:rPr>
          <w:rFonts w:hint="eastAsia" w:cs="Times New Roman"/>
          <w:szCs w:val="20"/>
          <w14:ligatures w14:val="none"/>
        </w:rPr>
        <w:t>为牵引，延伸低空飞行器生产、适航审定服务等产业链条，打造区域低空经济创新发展高地。积极推动资源高效循环利用，发展再制造产业，构建从综合回收到新材料制品的产业链条。</w:t>
      </w:r>
    </w:p>
    <w:p w14:paraId="6F7C4D47">
      <w:pPr>
        <w:adjustRightInd w:val="0"/>
        <w:snapToGrid w:val="0"/>
        <w:ind w:left="3" w:leftChars="1" w:firstLine="640"/>
        <w:rPr>
          <w:rFonts w:cs="Times New Roman"/>
          <w:szCs w:val="20"/>
          <w14:ligatures w14:val="none"/>
        </w:rPr>
      </w:pPr>
      <w:r>
        <w:rPr>
          <w:rFonts w:hint="eastAsia" w:cs="Times New Roman"/>
          <w:szCs w:val="20"/>
          <w14:ligatures w14:val="none"/>
        </w:rPr>
        <w:t>鼓励支持各地发展“一主一特”产业，做长做强产业链条。推动</w:t>
      </w:r>
      <w:r>
        <w:rPr>
          <w:rFonts w:hint="eastAsia" w:cs="Times New Roman"/>
          <w:bCs/>
          <w:szCs w:val="20"/>
          <w14:ligatures w14:val="none"/>
        </w:rPr>
        <w:t>零陵从稀土矿到新材料、祁阳从面料到雨伞、双牌从竹木到高端复合材料、道县从开采到锂电材料、江永从废铝回收到汽车部件</w:t>
      </w:r>
      <w:r>
        <w:rPr>
          <w:rFonts w:hint="eastAsia" w:cs="Times New Roman"/>
          <w:szCs w:val="20"/>
          <w14:ligatures w14:val="none"/>
        </w:rPr>
        <w:t>、</w:t>
      </w:r>
      <w:r>
        <w:rPr>
          <w:rFonts w:hint="eastAsia" w:cs="Times New Roman"/>
          <w:bCs/>
          <w:szCs w:val="20"/>
          <w14:ligatures w14:val="none"/>
        </w:rPr>
        <w:t>新田从绿色板材到智能家居、</w:t>
      </w:r>
      <w:r>
        <w:rPr>
          <w:rFonts w:hint="eastAsia" w:cs="Times New Roman"/>
          <w:szCs w:val="20"/>
          <w14:ligatures w14:val="none"/>
        </w:rPr>
        <w:t>江华从电机到电器，延伸产业链、提升附加值</w:t>
      </w:r>
      <w:r>
        <w:rPr>
          <w:rFonts w:hint="eastAsia" w:cs="Times New Roman"/>
          <w:bCs/>
          <w:szCs w:val="20"/>
          <w14:ligatures w14:val="none"/>
        </w:rPr>
        <w:t>。</w:t>
      </w:r>
      <w:r>
        <w:rPr>
          <w:rFonts w:hint="eastAsia" w:cs="Times New Roman"/>
          <w:szCs w:val="20"/>
          <w14:ligatures w14:val="none"/>
        </w:rPr>
        <w:t>支持蓝山皮具箱包、东安吉他、冷水滩智能小家电发展自有品牌，实现价值链跃升。</w:t>
      </w:r>
      <w:r>
        <w:rPr>
          <w:rFonts w:hint="eastAsia" w:cs="Times New Roman"/>
          <w:bCs/>
          <w:szCs w:val="20"/>
          <w14:ligatures w14:val="none"/>
        </w:rPr>
        <w:t>壮大宁远锂电、永州经开区电子信息产业规模，促进智能化高端化发展。</w:t>
      </w:r>
    </w:p>
    <w:p w14:paraId="0EAD9A9A">
      <w:pPr>
        <w:widowControl/>
        <w:spacing w:line="240" w:lineRule="auto"/>
        <w:ind w:firstLine="0" w:firstLineChars="0"/>
        <w:jc w:val="left"/>
      </w:pPr>
      <w:r>
        <w:br w:type="page"/>
      </w:r>
    </w:p>
    <w:p w14:paraId="3510B886">
      <w:pPr>
        <w:pStyle w:val="5"/>
        <w:rPr>
          <w:spacing w:val="-6"/>
        </w:rPr>
      </w:pPr>
      <w:bookmarkStart w:id="26" w:name="_Toc232094382"/>
      <w:bookmarkStart w:id="27" w:name="_Hlk215085829"/>
      <w:bookmarkStart w:id="28" w:name="_Hlk215736643"/>
      <w:r>
        <w:rPr>
          <w:rFonts w:hint="eastAsia"/>
          <w:spacing w:val="-6"/>
        </w:rPr>
        <w:t>巩固壮大实体经济根基，全力服务全省建设国家重要先进制造业高地</w:t>
      </w:r>
      <w:bookmarkEnd w:id="26"/>
    </w:p>
    <w:bookmarkEnd w:id="27"/>
    <w:p w14:paraId="5D83B775">
      <w:pPr>
        <w:ind w:firstLine="640"/>
      </w:pPr>
    </w:p>
    <w:p w14:paraId="2121E7FC">
      <w:pPr>
        <w:ind w:firstLine="640"/>
      </w:pPr>
      <w:r>
        <w:rPr>
          <w:rFonts w:hint="eastAsia"/>
        </w:rPr>
        <w:t>坚持把发展产业当使命，始终把发展经济的着力点放在实体经济上，</w:t>
      </w:r>
      <w:r>
        <w:t>积极承接粤港澳大湾区产业转移，</w:t>
      </w:r>
      <w:r>
        <w:rPr>
          <w:rFonts w:hint="eastAsia"/>
        </w:rPr>
        <w:t>深入推进延链补链强链，做大做强先进制造业。</w:t>
      </w:r>
    </w:p>
    <w:p w14:paraId="2CCD7847">
      <w:pPr>
        <w:pStyle w:val="6"/>
        <w:spacing w:before="435" w:after="217"/>
      </w:pPr>
      <w:bookmarkStart w:id="29" w:name="_Toc232094383"/>
      <w:r>
        <w:rPr>
          <w:rFonts w:hint="eastAsia"/>
        </w:rPr>
        <w:t>推动重点产业倍增</w:t>
      </w:r>
      <w:bookmarkEnd w:id="29"/>
    </w:p>
    <w:p w14:paraId="618C0B71">
      <w:pPr>
        <w:ind w:firstLine="643"/>
      </w:pPr>
      <w:r>
        <w:rPr>
          <w:rFonts w:hint="eastAsia"/>
          <w:b/>
          <w:bCs/>
        </w:rPr>
        <w:t>新能源产业。</w:t>
      </w:r>
      <w:r>
        <w:rPr>
          <w:rFonts w:hint="eastAsia"/>
        </w:rPr>
        <w:t>依托锂、锰、稀土等优势资源，聚焦新能源产业链关键环节，加快推动先进功能材料和装备制造等领域取得突破性发展。推进碳酸锂、磷酸铁锂等产品提级和生产扩能，大力承接沿海地区锂电池及先进储能材料产业转移，超前布局固态电池、钠离子电池等新型电池项目。推动锰矿资源从低端开采向精深加工升级，打造锰系新材料产业园。依托湖南稀土新材料产业园和离子型稀土产业示范基地，构建稀土采选、冶炼分离、精深加工、材料制备、终端应用、回收利用的全产业链。扩大风电装备、新能源电工机械、充电桩等装备生产规模。推进新能源新增装机高效并网和消纳，推动源网荷储一体化、智能微电网等新能源就地消纳新业态发展。到2030年，全市新能源产业产值突破1000亿元。</w:t>
      </w:r>
    </w:p>
    <w:p w14:paraId="549FCB1C">
      <w:pPr>
        <w:ind w:firstLine="643"/>
      </w:pPr>
      <w:r>
        <w:rPr>
          <w:rFonts w:hint="eastAsia"/>
          <w:b/>
          <w:bCs/>
        </w:rPr>
        <w:t>数字产业。</w:t>
      </w:r>
      <w:r>
        <w:rPr>
          <w:rFonts w:hint="eastAsia"/>
        </w:rPr>
        <w:t>围绕绿色智能计算产业，加快发展新一代半导体和新型显示产业，扩大数字经济核心产业规模。加快永州（祁阳）表面处理产业园建设，加速电感、电容、电阻等电子元器件模组生产企业集聚，打造粤港澳大湾区新一代半导体产业链配套基地。做大做强显示器材及显示组件产业，形成全尺寸显示组件生产能力，着力招引一批显示终端项目。主动承接粤港澳大湾区算力外溢需求，打造湘南绿色智算中心集群。依托永州数据要素服务中心，大力发展数据采集、标注、交易等新业态，积极创建省级数据产业集聚区。到2030年，全市数字产业产值突破</w:t>
      </w:r>
      <w:r>
        <w:t>400</w:t>
      </w:r>
      <w:r>
        <w:rPr>
          <w:rFonts w:hint="eastAsia"/>
        </w:rPr>
        <w:t>亿元，</w:t>
      </w:r>
      <w:r>
        <w:rPr>
          <w:rFonts w:hint="eastAsia" w:cs="Times New Roman"/>
        </w:rPr>
        <w:t>打造湘南数字产业高地</w:t>
      </w:r>
      <w:r>
        <w:rPr>
          <w:rFonts w:hint="eastAsia"/>
        </w:rPr>
        <w:t>。</w:t>
      </w:r>
    </w:p>
    <w:p w14:paraId="113FE1F1">
      <w:pPr>
        <w:ind w:firstLine="643"/>
      </w:pPr>
      <w:r>
        <w:rPr>
          <w:rFonts w:hint="eastAsia"/>
          <w:b/>
          <w:bCs/>
        </w:rPr>
        <w:t>智能家居产业。</w:t>
      </w:r>
      <w:r>
        <w:rPr>
          <w:rFonts w:hint="eastAsia"/>
        </w:rPr>
        <w:t>推动家具、家装、家电多元发展，培育一批“三品”标杆企业，打造特色产业集群和加工贸易梯度转移重点承接地。支持新型功能纺织材料开发利用</w:t>
      </w:r>
      <w:r>
        <w:rPr>
          <w:rFonts w:hint="eastAsia"/>
          <w:bCs/>
        </w:rPr>
        <w:t>，促进“纺—织—印—染—整—用”全链条贯通发展</w:t>
      </w:r>
      <w:r>
        <w:rPr>
          <w:rFonts w:hint="eastAsia"/>
        </w:rPr>
        <w:t>。积极探索皮具箱包制鞋自有品牌建设。加快绿色板材及智能家居产业发展，大力推进以竹代木、代塑、代钢，开发推广各类型竹家居产品。加强吉他制造及上下游配套企业招引，稳步提升中高端产品市场份额。持续推进电机产业向电器产业延伸链条，大力发展智能家电产业。到2030年，全市智能家居产业产值规模突破1000亿元。</w:t>
      </w:r>
    </w:p>
    <w:p w14:paraId="5ACB9C30">
      <w:pPr>
        <w:adjustRightInd w:val="0"/>
        <w:snapToGrid w:val="0"/>
        <w:ind w:firstLine="643"/>
        <w:rPr>
          <w:rFonts w:cs="Times New Roman"/>
          <w:szCs w:val="20"/>
          <w14:ligatures w14:val="none"/>
        </w:rPr>
      </w:pPr>
      <w:r>
        <w:rPr>
          <w:rFonts w:hint="eastAsia" w:cs="Times New Roman"/>
          <w:b/>
          <w:bCs/>
          <w:szCs w:val="20"/>
          <w14:ligatures w14:val="none"/>
        </w:rPr>
        <w:t>食品加工产业。</w:t>
      </w:r>
      <w:r>
        <w:rPr>
          <w:rFonts w:hint="eastAsia" w:cs="Times New Roman"/>
          <w:szCs w:val="20"/>
          <w14:ligatures w14:val="none"/>
        </w:rPr>
        <w:t>夯实农副食品加工产业基础，积极拓展高成长性食品制造领域，加快构建链条完整、品类全面的食品加工体系。持续推进食品初加工行业发展，做优大米、茶油、净菜、果切、鲜肉等初加工产品。大力推进食品精细化加工，壮大酱板鸭、豆制品、花生等休闲食品生产规模，发展“东安鸡”“永州血鸭”等特色预制食品。积极推进新兴食品研发应用，支持开发以中药材、益生菌等为主要原料的功能性食品。加快推进永州陆港世界食品港建设，打造“国字号”“永字号”食品品牌。推动食品加工企业向园区和产地集中，建设一批高标准食品加工产区。到2030年，全市绿色农产品及食品加工规模以上工业企业总营收突破900亿元。</w:t>
      </w:r>
    </w:p>
    <w:p w14:paraId="5033BBC6">
      <w:pPr>
        <w:ind w:firstLine="643"/>
      </w:pPr>
      <w:r>
        <w:rPr>
          <w:rFonts w:hint="eastAsia"/>
          <w:b/>
          <w:bCs/>
        </w:rPr>
        <w:t>生物医药产业。</w:t>
      </w:r>
      <w:r>
        <w:rPr>
          <w:rFonts w:hint="eastAsia"/>
        </w:rPr>
        <w:t>聚焦厚朴、青蒿、玉竹等特色优势中药材，建设一批中药材基地。围绕“湘九味”及本地优势特色中药材品类，壮大永州特色药材、道地药材产业及深加工规模，持续培育中药制造领域专精特新企业和制造业“三品”标杆企业。开发推广一批植物提取物、特色药膳、药饮、药妆、保健食品、医用及保健器械等中医药大健康产品。支持企业开发中药多糖、黄酮类等功能性成分提取物，研发具有抗疲劳、增强免疫力等功效的保健食品。支持医药零售连锁企业健康发展，规范发展专业化第三方医药配送服务，加快形成覆盖全市的连锁网络。加强瑶医药标准制定与产品研发，促进瑶医药传承创新发展，打造瑶医药产品生产基地。持续推进中古生物技术中心建设，重点在靶向分子治疗、重组蛋白抗原及黏膜接种疫苗、基因重组表达等领域开展研发和成果转化应用。</w:t>
      </w:r>
    </w:p>
    <w:p w14:paraId="6BB768B4">
      <w:pPr>
        <w:ind w:firstLine="643"/>
      </w:pPr>
      <w:r>
        <w:rPr>
          <w:rFonts w:hint="eastAsia"/>
          <w:b/>
          <w:bCs/>
        </w:rPr>
        <w:t>低空经济产业。</w:t>
      </w:r>
      <w:r>
        <w:rPr>
          <w:rFonts w:hint="eastAsia"/>
        </w:rPr>
        <w:t>坚持“场景牵引产业”，充分发挥全省最优Ⅲ类空域资源优势，重点打造“低空+”四大应用场景。发展“低空+物流”，积极申请跨省低空物流航线，探索在快递、外卖、邮政、医疗等领域开展无人机物流配送，打通山区物流配送“最后一公里”。发展“低空+文旅”，构建“城区—景区”“景区—景区”空中旅游通道，争取与粤港澳大湾区实现直飞直连，支持开设景区直升机、滑翔伞、热气球等项目。发展“低空+农业”，推进北斗导航在智慧农业的规模化应用，推广农用无人机植保飞防作业，探索拓展特色农作物播种、畜禽养殖场消费及水产养殖投喂等应用场景。发展“低空+应急救援”，构建“直升机+无人机”高低互配的应急救援体系，推动森林防火实现立体监测、智能预警、快速处置。建设低空航空器试验试飞基地，带动低空航空器整机、组装、零部件生产等企业落户，做长低空经济产业链条。加快建设低空经济产业园，推动低空经济集聚发展。强化无人驾驶航空器备案管理，提升低空经济行业安全治理水平。</w:t>
      </w:r>
    </w:p>
    <w:p w14:paraId="7638B00F">
      <w:pPr>
        <w:ind w:firstLine="643"/>
      </w:pPr>
      <w:r>
        <w:rPr>
          <w:b/>
          <w:bCs/>
        </w:rPr>
        <w:t>循环经济</w:t>
      </w:r>
      <w:r>
        <w:rPr>
          <w:rFonts w:hint="eastAsia"/>
          <w:b/>
          <w:bCs/>
        </w:rPr>
        <w:t>产业</w:t>
      </w:r>
      <w:r>
        <w:rPr>
          <w:b/>
          <w:bCs/>
        </w:rPr>
        <w:t>。</w:t>
      </w:r>
      <w:r>
        <w:rPr>
          <w:rFonts w:hint="eastAsia"/>
        </w:rPr>
        <w:t>聚焦废旧物资回收、资源循环利用、再生资源精深加工等环节精准发力，推动全市循环经济体系提级、提档、提质、提效。合理布局“点站场”建设，支持供销合作社企业等各类经营主体参与回收体系建设，推动现有回收站（点）和分拣中心规范化、绿色化、智能化升级改造，健全全市再生资源回收利用体系。充分挖掘各类废弃物资源价值，重点突出废旧动力电池、大宗固废综合利用等领域。推进汽车零部件等领域再制造产业发展，建设湘南地区新能源汽车轻量化新材料基地，打造“废铝回收利用—铝合金材料再制造—铝合金压延加工—铝制品汽车配件加工”的产业链条。</w:t>
      </w:r>
    </w:p>
    <w:tbl>
      <w:tblPr>
        <w:tblStyle w:val="30"/>
        <w:tblW w:w="8712" w:type="dxa"/>
        <w:jc w:val="center"/>
        <w:tblLayout w:type="fixed"/>
        <w:tblCellMar>
          <w:top w:w="0" w:type="dxa"/>
          <w:left w:w="0" w:type="dxa"/>
          <w:bottom w:w="0" w:type="dxa"/>
          <w:right w:w="0" w:type="dxa"/>
        </w:tblCellMar>
      </w:tblPr>
      <w:tblGrid>
        <w:gridCol w:w="8712"/>
      </w:tblGrid>
      <w:tr w14:paraId="2B5FDAC0">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77C7143A">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3</w:t>
            </w:r>
            <w:r>
              <w:rPr>
                <w:rFonts w:hint="eastAsia"/>
              </w:rPr>
              <w:fldChar w:fldCharType="end"/>
            </w:r>
            <w:r>
              <w:rPr>
                <w:rFonts w:hint="eastAsia"/>
              </w:rPr>
              <w:t xml:space="preserve"> 重点产业倍增计划</w:t>
            </w:r>
          </w:p>
        </w:tc>
      </w:tr>
      <w:tr w14:paraId="565574E9">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1757BDF6">
            <w:pPr>
              <w:pStyle w:val="68"/>
              <w:spacing w:line="440" w:lineRule="exact"/>
              <w:ind w:firstLine="482"/>
            </w:pPr>
            <w:r>
              <w:rPr>
                <w:rFonts w:hint="eastAsia"/>
                <w:b/>
              </w:rPr>
              <w:t>智能家居</w:t>
            </w:r>
            <w:r>
              <w:rPr>
                <w:b/>
              </w:rPr>
              <w:t>。</w:t>
            </w:r>
            <w:r>
              <w:rPr>
                <w:rFonts w:hint="eastAsia"/>
              </w:rPr>
              <w:t>加快推动鲁丽家居配套产业园、大坪塘家居产业园等项目</w:t>
            </w:r>
            <w:r>
              <w:rPr>
                <w:rFonts w:hint="eastAsia" w:ascii="仿宋_GB2312" w:hAnsi="仿宋_GB2312" w:cs="仿宋_GB2312"/>
              </w:rPr>
              <w:t>谋划建设，延伸板材、家具、五金、皮革、</w:t>
            </w:r>
            <w:r>
              <w:rPr>
                <w:rFonts w:hint="eastAsia"/>
              </w:rPr>
              <w:t>海绵、床垫</w:t>
            </w:r>
            <w:r>
              <w:rPr>
                <w:rFonts w:hint="eastAsia" w:ascii="仿宋_GB2312" w:hAnsi="仿宋_GB2312" w:cs="仿宋_GB2312"/>
              </w:rPr>
              <w:t>、</w:t>
            </w:r>
            <w:r>
              <w:rPr>
                <w:rFonts w:hint="eastAsia"/>
              </w:rPr>
              <w:t>机械、</w:t>
            </w:r>
            <w:r>
              <w:rPr>
                <w:rFonts w:hint="eastAsia" w:ascii="仿宋_GB2312" w:hAnsi="仿宋_GB2312" w:cs="仿宋_GB2312"/>
              </w:rPr>
              <w:t>油漆</w:t>
            </w:r>
            <w:r>
              <w:rPr>
                <w:rFonts w:hint="eastAsia"/>
              </w:rPr>
              <w:t>等上下游环节，研发具有阻燃、轻量化等属性的新型竹木复合板材及工程材料。</w:t>
            </w:r>
          </w:p>
          <w:p w14:paraId="1C1F416A">
            <w:pPr>
              <w:pStyle w:val="68"/>
              <w:spacing w:line="440" w:lineRule="exact"/>
              <w:ind w:firstLine="482"/>
            </w:pPr>
            <w:r>
              <w:rPr>
                <w:rFonts w:hint="eastAsia"/>
                <w:b/>
              </w:rPr>
              <w:t>轻工纺织</w:t>
            </w:r>
            <w:r>
              <w:rPr>
                <w:b/>
              </w:rPr>
              <w:t>。</w:t>
            </w:r>
            <w:r>
              <w:rPr>
                <w:rFonts w:hint="eastAsia"/>
              </w:rPr>
              <w:t>加强防火耐高温布料、绝缘手套面料、高性能纤维材料、防水透气复合型纺织材料、荧光布等功能性面料开发，深化无水印染、超轻拒水涂层等自主创新技术应用，加快纺织产业集聚区建设。鼓励制鞋</w:t>
            </w:r>
            <w:r>
              <w:rPr>
                <w:rFonts w:hint="eastAsia"/>
                <w:spacing w:val="-6"/>
              </w:rPr>
              <w:t>企业从代工生产向自主研发升级，开发具有环保回收、轻便回弹等优势的鞋底、鞋面材料，做活做响制鞋品牌。</w:t>
            </w:r>
          </w:p>
          <w:p w14:paraId="761D3813">
            <w:pPr>
              <w:pStyle w:val="68"/>
              <w:spacing w:line="440" w:lineRule="exact"/>
              <w:ind w:firstLine="482"/>
            </w:pPr>
            <w:r>
              <w:rPr>
                <w:rFonts w:hint="eastAsia"/>
                <w:b/>
              </w:rPr>
              <w:t>皮具箱包玩具</w:t>
            </w:r>
            <w:r>
              <w:rPr>
                <w:b/>
              </w:rPr>
              <w:t>。</w:t>
            </w:r>
            <w:r>
              <w:rPr>
                <w:rFonts w:hint="eastAsia"/>
              </w:rPr>
              <w:t>加强设计、销售等环节企业招引，联合高校和科研院所，推进环保原辅材料和智能化生产技术研发，打造品牌矩阵，对接电商平台，持续扩大产品抱团出海规模。</w:t>
            </w:r>
          </w:p>
          <w:p w14:paraId="59FD366C">
            <w:pPr>
              <w:pStyle w:val="68"/>
              <w:spacing w:line="440" w:lineRule="exact"/>
              <w:ind w:firstLine="482"/>
            </w:pPr>
            <w:r>
              <w:rPr>
                <w:rFonts w:hint="eastAsia"/>
                <w:b/>
              </w:rPr>
              <w:t>新型竹制品（“以竹代塑”）</w:t>
            </w:r>
            <w:r>
              <w:rPr>
                <w:b/>
              </w:rPr>
              <w:t>。</w:t>
            </w:r>
            <w:r>
              <w:rPr>
                <w:rFonts w:hint="eastAsia"/>
              </w:rPr>
              <w:t>推动竹材往低成本、轻质化、可定制方向发展，加强竹材防腐、防霉等技术研发应用，发展竹建材、竹家具、竹房车、竹日用品、竹工艺品、竹食品等多元化竹产品</w:t>
            </w:r>
            <w:r>
              <w:t>。</w:t>
            </w:r>
          </w:p>
          <w:p w14:paraId="621DC172">
            <w:pPr>
              <w:pStyle w:val="68"/>
              <w:spacing w:line="440" w:lineRule="exact"/>
              <w:ind w:firstLine="482"/>
              <w:rPr>
                <w:b/>
              </w:rPr>
            </w:pPr>
            <w:r>
              <w:rPr>
                <w:rFonts w:hint="eastAsia"/>
                <w:b/>
              </w:rPr>
              <w:t>电机电器</w:t>
            </w:r>
            <w:r>
              <w:rPr>
                <w:b/>
              </w:rPr>
              <w:t>。</w:t>
            </w:r>
            <w:r>
              <w:rPr>
                <w:rFonts w:hint="eastAsia"/>
              </w:rPr>
              <w:t>做优串激电机、直流电机、罩极电机、同步电机、无刷电机等多品类电机产品，加快推进高功率密度永磁电机、电机智能控制系统、高效节能电器等研发与产业化，加强高端轴承、精密传感器等短板领域企业招引。</w:t>
            </w:r>
          </w:p>
          <w:p w14:paraId="2A93280E">
            <w:pPr>
              <w:pStyle w:val="68"/>
              <w:spacing w:line="440" w:lineRule="exact"/>
              <w:ind w:firstLine="482"/>
            </w:pPr>
            <w:r>
              <w:rPr>
                <w:rFonts w:hint="eastAsia"/>
                <w:b/>
              </w:rPr>
              <w:t>智能小家电</w:t>
            </w:r>
            <w:r>
              <w:rPr>
                <w:b/>
              </w:rPr>
              <w:t>。</w:t>
            </w:r>
            <w:r>
              <w:rPr>
                <w:rFonts w:hint="eastAsia"/>
              </w:rPr>
              <w:t>重点引进一批科技含量高、成长性能好的智能小家电项目，打通电子信息、注塑、五金、钣金、包装、后处理等全工艺链条，精准对接知名家电企业配套需求，发展智能厨电、清洁小家电等产品</w:t>
            </w:r>
            <w:r>
              <w:t>。</w:t>
            </w:r>
          </w:p>
          <w:p w14:paraId="6A745B4E">
            <w:pPr>
              <w:pStyle w:val="68"/>
              <w:spacing w:line="440" w:lineRule="exact"/>
              <w:ind w:firstLine="482"/>
            </w:pPr>
            <w:r>
              <w:rPr>
                <w:rFonts w:hint="eastAsia"/>
                <w:b/>
              </w:rPr>
              <w:t>吉他及其他乐器</w:t>
            </w:r>
            <w:r>
              <w:rPr>
                <w:b/>
              </w:rPr>
              <w:t>。</w:t>
            </w:r>
            <w:r>
              <w:rPr>
                <w:rFonts w:hint="eastAsia"/>
              </w:rPr>
              <w:t>支持企业布局智能机器臂、CNC数控加工中心、真空高频生产仪器等智能化生产线，持续引进高品质木材、五金配件、琴弦、连接线、效果器等配套企业。</w:t>
            </w:r>
          </w:p>
          <w:p w14:paraId="0CDF9E59">
            <w:pPr>
              <w:pStyle w:val="68"/>
              <w:spacing w:line="440" w:lineRule="exact"/>
              <w:ind w:firstLine="482"/>
            </w:pPr>
            <w:r>
              <w:rPr>
                <w:rFonts w:hint="eastAsia"/>
                <w:b/>
              </w:rPr>
              <w:t>现代食品</w:t>
            </w:r>
            <w:r>
              <w:rPr>
                <w:b/>
              </w:rPr>
              <w:t>。</w:t>
            </w:r>
            <w:r>
              <w:rPr>
                <w:rFonts w:hint="eastAsia"/>
              </w:rPr>
              <w:t>建设</w:t>
            </w:r>
            <w:r>
              <w:t>永州陆港绿色食品加工集聚区、江永</w:t>
            </w:r>
            <w:r>
              <w:rPr>
                <w:rFonts w:hint="eastAsia"/>
              </w:rPr>
              <w:t>“</w:t>
            </w:r>
            <w:r>
              <w:t>五香</w:t>
            </w:r>
            <w:r>
              <w:rPr>
                <w:rFonts w:hint="eastAsia"/>
              </w:rPr>
              <w:t>”</w:t>
            </w:r>
            <w:r>
              <w:t>传统优势食品产区、新田富硒农产品加工产区、祁阳绿色茶油加工产区等食品加工产</w:t>
            </w:r>
            <w:r>
              <w:rPr>
                <w:spacing w:val="-6"/>
              </w:rPr>
              <w:t>区。</w:t>
            </w:r>
            <w:r>
              <w:rPr>
                <w:rFonts w:hint="eastAsia"/>
                <w:spacing w:val="-6"/>
              </w:rPr>
              <w:t>拓展新污染物、非法添加剂、基因等食品安全检测能力。</w:t>
            </w:r>
          </w:p>
          <w:p w14:paraId="79CA7C18">
            <w:pPr>
              <w:pStyle w:val="68"/>
              <w:spacing w:line="440" w:lineRule="exact"/>
              <w:ind w:firstLine="482"/>
            </w:pPr>
            <w:r>
              <w:rPr>
                <w:rFonts w:hint="eastAsia"/>
                <w:b/>
              </w:rPr>
              <w:t>新能源</w:t>
            </w:r>
            <w:r>
              <w:rPr>
                <w:b/>
              </w:rPr>
              <w:t>。</w:t>
            </w:r>
            <w:r>
              <w:rPr>
                <w:rFonts w:hint="eastAsia"/>
              </w:rPr>
              <w:t>加大风电装备整机制造比例，培育壮大一批线路器材变压器等新能源电工机械企业，着力引进一批充电桩装备项目。实施小水电改造增容，合理配置新能源储能装置，探索氢能利用新模式。</w:t>
            </w:r>
          </w:p>
          <w:p w14:paraId="680794A9">
            <w:pPr>
              <w:pStyle w:val="68"/>
              <w:spacing w:line="440" w:lineRule="exact"/>
              <w:ind w:firstLine="482"/>
            </w:pPr>
            <w:r>
              <w:rPr>
                <w:rFonts w:hint="eastAsia"/>
                <w:b/>
              </w:rPr>
              <w:t>新能源汽车及其配套。</w:t>
            </w:r>
            <w:r>
              <w:rPr>
                <w:rFonts w:hint="eastAsia"/>
              </w:rPr>
              <w:t>提高汽车座椅及其他零部件供给水平，向智能座舱领域延伸。开发车载电机、电控系统，推动</w:t>
            </w:r>
            <w:r>
              <w:t>部件供应商向整体方案解决商转型</w:t>
            </w:r>
            <w:r>
              <w:rPr>
                <w:rFonts w:hint="eastAsia"/>
              </w:rPr>
              <w:t>。加快推进新能源汽车动力电池的设计、研发、制造和销售。</w:t>
            </w:r>
          </w:p>
          <w:p w14:paraId="05DEFFA0">
            <w:pPr>
              <w:pStyle w:val="68"/>
              <w:spacing w:line="440" w:lineRule="exact"/>
              <w:ind w:firstLine="482"/>
            </w:pPr>
            <w:r>
              <w:rPr>
                <w:rFonts w:hint="eastAsia"/>
                <w:b/>
              </w:rPr>
              <w:t>锂电</w:t>
            </w:r>
            <w:r>
              <w:rPr>
                <w:b/>
              </w:rPr>
              <w:t>。</w:t>
            </w:r>
            <w:r>
              <w:rPr>
                <w:rFonts w:hint="eastAsia"/>
              </w:rPr>
              <w:t>重点发展3C消费电池、小动力电池、无人机电池等产品，做强正负极材料、固态电解质涂覆隔膜、超轻铜铝膜、电解液等锂电材料，开发面向“低空+应急救援”等场景的高倍率、宽温域电池，应用真空锂电烤箱、激光切割设备优化锂电生产工艺，构建“锂矿资源—基础材料—关键材料—电池制造—终端应用”全产业链。</w:t>
            </w:r>
          </w:p>
          <w:p w14:paraId="570143A3">
            <w:pPr>
              <w:pStyle w:val="68"/>
              <w:spacing w:line="440" w:lineRule="exact"/>
              <w:ind w:firstLine="482"/>
            </w:pPr>
            <w:r>
              <w:rPr>
                <w:rFonts w:hint="eastAsia"/>
                <w:b/>
              </w:rPr>
              <w:t>功能材料</w:t>
            </w:r>
            <w:r>
              <w:rPr>
                <w:b/>
              </w:rPr>
              <w:t>。</w:t>
            </w:r>
            <w:r>
              <w:rPr>
                <w:rFonts w:hint="eastAsia"/>
              </w:rPr>
              <w:t>生产锰硅钙镁、电解金属锰、硅锰合金、富锰渣、锰酸锂等高值锰材料，开发高端稀土抛光粉、高性能烧结钕硼磁体、高性能粘结永磁材料、稀土高端合金材料等高端稀土材料，提升锰、稀土资源精深加工水平。</w:t>
            </w:r>
          </w:p>
          <w:p w14:paraId="668CABFD">
            <w:pPr>
              <w:pStyle w:val="68"/>
              <w:spacing w:line="440" w:lineRule="exact"/>
              <w:ind w:firstLine="482"/>
            </w:pPr>
            <w:r>
              <w:rPr>
                <w:rFonts w:hint="eastAsia"/>
                <w:b/>
              </w:rPr>
              <w:t>绿色智能计算</w:t>
            </w:r>
            <w:r>
              <w:rPr>
                <w:b/>
              </w:rPr>
              <w:t>。</w:t>
            </w:r>
            <w:r>
              <w:rPr>
                <w:rFonts w:hint="eastAsia"/>
              </w:rPr>
              <w:t>聚焦延链，串联整合磁性电子元器件、连接器、模组、机器人等产品资源，构建“基础元件—模组集成—终端产品”全产业链，聚焦补链，完善光电玻璃、SMT贴片、外壳、显示模组等配套矩阵，营造从原材料供应、核心部件制造到成品组装的一站式产业生态。依托潇湘算力中心，联合衡阳、郴州等周边城市算力节点，构建湘南绿色算力协同网络。</w:t>
            </w:r>
          </w:p>
          <w:p w14:paraId="3DAEF8B4">
            <w:pPr>
              <w:pStyle w:val="68"/>
              <w:spacing w:line="440" w:lineRule="exact"/>
              <w:ind w:firstLine="482"/>
            </w:pPr>
            <w:r>
              <w:rPr>
                <w:rFonts w:hint="eastAsia"/>
                <w:b/>
              </w:rPr>
              <w:t>新型显示器</w:t>
            </w:r>
            <w:r>
              <w:rPr>
                <w:b/>
              </w:rPr>
              <w:t>。</w:t>
            </w:r>
            <w:r>
              <w:rPr>
                <w:rFonts w:hint="eastAsia"/>
              </w:rPr>
              <w:t>重点发展“一屏（光电显示）”“一器（线路板、电子元器件、变压器）”，聚焦智能车载、工控医疗、航天航海及军用科技等高端光学领域，加强ITO导电玻璃、光学镀膜玻璃、AG（防眩光）+AR（防反射）+AF（防指纹）车载显示屏、工控触控显示屏等产品研发与产业化。</w:t>
            </w:r>
          </w:p>
          <w:p w14:paraId="7C87EB87">
            <w:pPr>
              <w:pStyle w:val="68"/>
              <w:spacing w:line="440" w:lineRule="exact"/>
              <w:ind w:firstLine="482"/>
            </w:pPr>
            <w:r>
              <w:rPr>
                <w:rFonts w:hint="eastAsia"/>
                <w:b/>
              </w:rPr>
              <w:t>大健康</w:t>
            </w:r>
            <w:r>
              <w:rPr>
                <w:b/>
              </w:rPr>
              <w:t>。</w:t>
            </w:r>
            <w:r>
              <w:t>围绕中医药资源开发、生物医药技术攻关</w:t>
            </w:r>
            <w:r>
              <w:rPr>
                <w:rFonts w:hint="eastAsia"/>
              </w:rPr>
              <w:t>、药食同源</w:t>
            </w:r>
            <w:r>
              <w:t>等领域深化产学研合作</w:t>
            </w:r>
            <w:r>
              <w:rPr>
                <w:rFonts w:hint="eastAsia"/>
              </w:rPr>
              <w:t>，支持本地特色中成药、经典名方与创新中药品种做大做强，提升市场竞争力。推进体外诊断设备、植介入治疗器械、医疗防护用品等医疗器械产品研制与产业化。利用玉竹、罗汉果、</w:t>
            </w:r>
            <w:r>
              <w:t>葛根、茯苓</w:t>
            </w:r>
            <w:r>
              <w:rPr>
                <w:rFonts w:hint="eastAsia"/>
              </w:rPr>
              <w:t>等药材资源，开发代用茶、即食膏方、养生汤料包等便捷化产品。</w:t>
            </w:r>
          </w:p>
          <w:p w14:paraId="05638798">
            <w:pPr>
              <w:pStyle w:val="68"/>
              <w:spacing w:line="440" w:lineRule="exact"/>
              <w:ind w:firstLine="482"/>
            </w:pPr>
            <w:r>
              <w:rPr>
                <w:rFonts w:hint="eastAsia"/>
                <w:b/>
                <w:bCs w:val="0"/>
              </w:rPr>
              <w:t>循环经济</w:t>
            </w:r>
            <w:r>
              <w:rPr>
                <w:b/>
                <w:bCs w:val="0"/>
              </w:rPr>
              <w:t>。</w:t>
            </w:r>
            <w:r>
              <w:rPr>
                <w:rFonts w:hint="eastAsia"/>
              </w:rPr>
              <w:t>推进再生铜铝、废旧锂电池、伴生矿等资源循环利用全</w:t>
            </w:r>
            <w:r>
              <w:t>产业</w:t>
            </w:r>
            <w:r>
              <w:rPr>
                <w:rFonts w:hint="eastAsia"/>
              </w:rPr>
              <w:t>链建设</w:t>
            </w:r>
            <w:r>
              <w:t>，</w:t>
            </w:r>
            <w:r>
              <w:rPr>
                <w:rFonts w:hint="eastAsia"/>
              </w:rPr>
              <w:t>构建“资源—产品—废旧产品—再制造产品”的循环经济模式</w:t>
            </w:r>
            <w:r>
              <w:t>。</w:t>
            </w:r>
          </w:p>
        </w:tc>
      </w:tr>
    </w:tbl>
    <w:p w14:paraId="2772EC4F">
      <w:pPr>
        <w:pStyle w:val="6"/>
        <w:spacing w:before="435" w:after="217"/>
      </w:pPr>
      <w:bookmarkStart w:id="30" w:name="_Toc214617410"/>
      <w:bookmarkStart w:id="31" w:name="_Toc212282381"/>
      <w:bookmarkStart w:id="32" w:name="_Toc232094384"/>
      <w:bookmarkStart w:id="33" w:name="_Toc215259563"/>
      <w:bookmarkStart w:id="34" w:name="_Toc215270533"/>
      <w:r>
        <w:rPr>
          <w:rFonts w:hint="eastAsia"/>
        </w:rPr>
        <w:t>推进制造业</w:t>
      </w:r>
      <w:bookmarkEnd w:id="30"/>
      <w:bookmarkEnd w:id="31"/>
      <w:r>
        <w:rPr>
          <w:rFonts w:hint="eastAsia"/>
        </w:rPr>
        <w:t>智能化绿色化融合化</w:t>
      </w:r>
      <w:bookmarkEnd w:id="32"/>
      <w:bookmarkEnd w:id="33"/>
      <w:bookmarkEnd w:id="34"/>
    </w:p>
    <w:p w14:paraId="7EE0481F">
      <w:pPr>
        <w:ind w:firstLine="640"/>
      </w:pPr>
      <w:r>
        <w:rPr>
          <w:rFonts w:hint="eastAsia"/>
        </w:rPr>
        <w:t>紧扣高质量发展主题，推动制造业从“物理集聚”向“化学融合”跃迁，以向智而行、向绿而转的奋进之姿，着力构建永州工业经济增长“第二曲线”，为全省打造国家重要先进制造业高地作出更大贡献。</w:t>
      </w:r>
    </w:p>
    <w:p w14:paraId="7D3BBAA7">
      <w:pPr>
        <w:pStyle w:val="7"/>
        <w:spacing w:before="217" w:after="217"/>
        <w:rPr>
          <w:b w:val="0"/>
        </w:rPr>
      </w:pPr>
      <w:bookmarkStart w:id="35" w:name="_Toc215259564"/>
      <w:r>
        <w:rPr>
          <w:rFonts w:hint="eastAsia"/>
        </w:rPr>
        <w:t>第一节 加快智能化</w:t>
      </w:r>
      <w:bookmarkEnd w:id="35"/>
      <w:r>
        <w:rPr>
          <w:rFonts w:hint="eastAsia"/>
        </w:rPr>
        <w:t>赋能</w:t>
      </w:r>
    </w:p>
    <w:p w14:paraId="7774A05C">
      <w:pPr>
        <w:ind w:firstLine="640"/>
      </w:pPr>
      <w:r>
        <w:rPr>
          <w:rFonts w:hint="eastAsia"/>
        </w:rPr>
        <w:t>推动数字技术在制造业大规模、全方位普及应用，提升永州制造“含智量”。深化“智赋万企”行动，开展制造业企业数字化转型评估诊断，推进传统企业“智改数转网联”，持续推动企业上云上平台。加快工业互联网创新发展，打造一批“</w:t>
      </w:r>
      <w:r>
        <w:t>5G+</w:t>
      </w:r>
      <w:r>
        <w:rPr>
          <w:rFonts w:hint="eastAsia"/>
        </w:rPr>
        <w:t>工业互联网”标杆工厂。加强工业机器人等智能制造装备推广应用，加快推进单机设备、制造单元、生产线、车间等智能化升级，梯度培育一批智能工厂。</w:t>
      </w:r>
      <w:r>
        <w:rPr>
          <w:rFonts w:hint="eastAsia"/>
          <w:bCs/>
        </w:rPr>
        <w:t>加快人工智能赋能新型工业化，推动人工智能技术在制造业研发设计、中试验证、生产制造、营销服务、运营管理等关键环节落地应用，打造一批省级典型应用场景。</w:t>
      </w:r>
      <w:r>
        <w:rPr>
          <w:rFonts w:hint="eastAsia"/>
        </w:rPr>
        <w:t>到2030年，全市规上工业企业数字化改造取得积极成效，数字赋能、管理创新步伐明显加快。</w:t>
      </w:r>
    </w:p>
    <w:p w14:paraId="5038E7D3">
      <w:pPr>
        <w:pStyle w:val="7"/>
        <w:spacing w:before="217" w:after="217"/>
        <w:rPr>
          <w:b w:val="0"/>
        </w:rPr>
      </w:pPr>
      <w:bookmarkStart w:id="36" w:name="_Toc215259565"/>
      <w:r>
        <w:rPr>
          <w:rFonts w:hint="eastAsia"/>
        </w:rPr>
        <w:t>第二节 推动绿色化</w:t>
      </w:r>
      <w:bookmarkEnd w:id="36"/>
      <w:r>
        <w:rPr>
          <w:rFonts w:hint="eastAsia"/>
        </w:rPr>
        <w:t>转型</w:t>
      </w:r>
    </w:p>
    <w:p w14:paraId="322273FA">
      <w:pPr>
        <w:ind w:firstLine="640"/>
      </w:pPr>
      <w:r>
        <w:rPr>
          <w:rFonts w:hint="eastAsia"/>
        </w:rPr>
        <w:t>加快产业结构、能源结构、原料结构优化调整和工艺流程再造，提升永州制造“含绿量”。严格落实行业产能治理调控要求，健全市场化法治化化解过剩产能长效机制，依法依规推动落后低效产能有序退出。推广绿色低碳先进适用技术和装备，推行清洁生产，加快重点行业改造升级。强化全生命周期绿色设计，提升绿色产品供给能力，打造绿色供应链。大力推进绿色工厂、绿色工业园区建设，积极探索建设零碳工厂、零碳园区，提升绿色电力消纳比例。加快发展绿色低碳导向的新产业、新业态和新商业模式。</w:t>
      </w:r>
    </w:p>
    <w:p w14:paraId="6EC80DFE">
      <w:pPr>
        <w:pStyle w:val="7"/>
        <w:spacing w:before="217" w:after="217"/>
        <w:rPr>
          <w:b w:val="0"/>
        </w:rPr>
      </w:pPr>
      <w:bookmarkStart w:id="37" w:name="_Toc215259566"/>
      <w:r>
        <w:rPr>
          <w:rFonts w:hint="eastAsia"/>
        </w:rPr>
        <w:t>第三节 促进融合化</w:t>
      </w:r>
      <w:bookmarkEnd w:id="37"/>
      <w:r>
        <w:rPr>
          <w:rFonts w:hint="eastAsia"/>
        </w:rPr>
        <w:t>发展</w:t>
      </w:r>
    </w:p>
    <w:p w14:paraId="0BCDB0C1">
      <w:pPr>
        <w:ind w:firstLine="640"/>
      </w:pPr>
      <w:r>
        <w:rPr>
          <w:rFonts w:hint="eastAsia"/>
        </w:rPr>
        <w:t>促进创新链产业链资金链人才链深度融合，构建创新引领产业、产业吸引资本、资本集聚人才、人才支撑创新的良性生态循环。推动产业区域协同发展，</w:t>
      </w:r>
      <w:r>
        <w:t>科学整合现有产业领域和要素资源，引导</w:t>
      </w:r>
      <w:r>
        <w:rPr>
          <w:rFonts w:hint="eastAsia"/>
        </w:rPr>
        <w:t>一批优质</w:t>
      </w:r>
      <w:r>
        <w:t>企业主动融入</w:t>
      </w:r>
      <w:r>
        <w:rPr>
          <w:rFonts w:hint="eastAsia"/>
        </w:rPr>
        <w:t>粤港澳大湾区及</w:t>
      </w:r>
      <w:r>
        <w:t>省</w:t>
      </w:r>
      <w:r>
        <w:rPr>
          <w:rFonts w:hint="eastAsia"/>
        </w:rPr>
        <w:t>内</w:t>
      </w:r>
      <w:r>
        <w:t>产业链供应链体系，通过业务关联、技术渗透、链条延伸，</w:t>
      </w:r>
      <w:r>
        <w:rPr>
          <w:rFonts w:hint="eastAsia"/>
        </w:rPr>
        <w:t>实现产业首尾相连、供需对接。促进</w:t>
      </w:r>
      <w:r>
        <w:t>先进制造业和现代服务业</w:t>
      </w:r>
      <w:r>
        <w:rPr>
          <w:rFonts w:hint="eastAsia"/>
        </w:rPr>
        <w:t>深度融合，探索嵌入式、强链式、延伸式等融合新模式，推动制造业企业向“产品+服务”解决方案提供商转型，鼓励服务业企业通过委托制造、品牌授权等方式向制造环节拓展</w:t>
      </w:r>
      <w:r>
        <w:t>，</w:t>
      </w:r>
      <w:r>
        <w:rPr>
          <w:rFonts w:hint="eastAsia"/>
        </w:rPr>
        <w:t>积极培育省级两业融合共进试点。推动新质生产力同新质战斗力高效融合、双向拉动，强化新兴前沿领域军民共用技术协同创新。</w:t>
      </w:r>
    </w:p>
    <w:p w14:paraId="6D0289BE">
      <w:pPr>
        <w:pStyle w:val="6"/>
        <w:spacing w:before="435" w:after="217"/>
      </w:pPr>
      <w:bookmarkStart w:id="38" w:name="_Toc212282382"/>
      <w:bookmarkStart w:id="39" w:name="_Toc214617411"/>
      <w:bookmarkStart w:id="40" w:name="_Toc215259567"/>
      <w:bookmarkStart w:id="41" w:name="_Toc215270534"/>
      <w:bookmarkStart w:id="42" w:name="_Toc232094385"/>
      <w:r>
        <w:rPr>
          <w:rFonts w:hint="eastAsia"/>
        </w:rPr>
        <w:t>促进服务业</w:t>
      </w:r>
      <w:bookmarkEnd w:id="38"/>
      <w:bookmarkEnd w:id="39"/>
      <w:r>
        <w:rPr>
          <w:rFonts w:hint="eastAsia"/>
        </w:rPr>
        <w:t>优质高效发展</w:t>
      </w:r>
      <w:bookmarkEnd w:id="40"/>
      <w:bookmarkEnd w:id="41"/>
      <w:bookmarkEnd w:id="42"/>
    </w:p>
    <w:p w14:paraId="156B2F9E">
      <w:pPr>
        <w:ind w:firstLine="640"/>
        <w:rPr>
          <w:spacing w:val="-6"/>
        </w:rPr>
      </w:pPr>
      <w:r>
        <w:rPr>
          <w:rFonts w:hint="eastAsia"/>
        </w:rPr>
        <w:t>坚持生产性服务业和生活性服务业协同并进，以高质量</w:t>
      </w:r>
      <w:r>
        <w:rPr>
          <w:rFonts w:hint="eastAsia"/>
          <w:spacing w:val="-6"/>
        </w:rPr>
        <w:t>生产性服务业助力推进新型工业化，以高质量生活性服务业提高人民生活品质，构建优质高效、布局优化、竞争力强的现代服务业体系。</w:t>
      </w:r>
    </w:p>
    <w:p w14:paraId="4C0E81F6">
      <w:pPr>
        <w:pStyle w:val="7"/>
        <w:spacing w:before="217" w:after="217"/>
        <w:rPr>
          <w:b w:val="0"/>
        </w:rPr>
      </w:pPr>
      <w:bookmarkStart w:id="43" w:name="_Toc215259568"/>
      <w:r>
        <w:rPr>
          <w:rFonts w:hint="eastAsia"/>
        </w:rPr>
        <w:t>第一节 推动生产性服务业专业化高端化发展</w:t>
      </w:r>
      <w:bookmarkEnd w:id="43"/>
    </w:p>
    <w:p w14:paraId="639C91BB">
      <w:pPr>
        <w:ind w:firstLine="640"/>
      </w:pPr>
      <w:r>
        <w:rPr>
          <w:rFonts w:hint="eastAsia"/>
        </w:rPr>
        <w:t>围绕现代化产业体系和16大产业联盟，促进前端转化、中端融合、后端增值，加快发展现代物流、科技服务、现代金融、商务服务等生产性服务业。做优高效便利的物流服务，推进物流枢纽、冷链物流基地等交通基础设施建设提速提质。做强创新驱动的科技服务，健全研发设计、科技成果转化、检验检测、认证计量、知识产权等全链条服务。做大多元实用的金融服务，加强支持制造业智能化绿色化融合化发展的金融体系建设，做实做细金融“五篇大文章”。提升人力资源、法律咨询、商务咨询、创业孵化、文化创意、广告会展等技术服务水平，发展高水平第三方专业机构。加快软件和信息服务创新发展，加强工业软件与人工智能大模型的应用。积极承接粤港澳大湾区现代服务业转移，促进优质服务资源向永州延伸。到2030年，生产性服务业增加值占服务业比重达45%。</w:t>
      </w:r>
    </w:p>
    <w:p w14:paraId="088FAB32">
      <w:pPr>
        <w:pStyle w:val="7"/>
        <w:spacing w:before="217" w:after="217"/>
        <w:rPr>
          <w:b w:val="0"/>
        </w:rPr>
      </w:pPr>
      <w:bookmarkStart w:id="44" w:name="_Toc215259569"/>
      <w:r>
        <w:rPr>
          <w:rFonts w:hint="eastAsia"/>
        </w:rPr>
        <w:t>第二节 加快生活性服务业品质化多样化升级</w:t>
      </w:r>
      <w:bookmarkEnd w:id="44"/>
    </w:p>
    <w:p w14:paraId="0AA76519">
      <w:pPr>
        <w:ind w:firstLine="640"/>
      </w:pPr>
      <w:r>
        <w:rPr>
          <w:rFonts w:hint="eastAsia"/>
        </w:rPr>
        <w:t>以满足人民日益增长的美好生活需要为导向，加强公益性、基础性服务供给，重点推动文化旅游、居民服务、健康养老、商贸服务等生活性服务业提质扩容。引导社会资本加大生活性服务业投入力度，鼓励市场主体创新服务业态和商业模式，深度开发覆盖全生命周期的各类服务，优化服务供给结构，构建功能完善、品质突出的多元化生活服务体系。强化企业诚信经营和质量</w:t>
      </w:r>
      <w:r>
        <w:rPr>
          <w:rFonts w:hint="eastAsia"/>
          <w:spacing w:val="-6"/>
        </w:rPr>
        <w:t>责任意识，培育一批服务质量高、社会信誉好的优质生活服务企业。</w:t>
      </w:r>
    </w:p>
    <w:tbl>
      <w:tblPr>
        <w:tblStyle w:val="30"/>
        <w:tblW w:w="8712" w:type="dxa"/>
        <w:jc w:val="center"/>
        <w:tblLayout w:type="fixed"/>
        <w:tblCellMar>
          <w:top w:w="0" w:type="dxa"/>
          <w:left w:w="0" w:type="dxa"/>
          <w:bottom w:w="0" w:type="dxa"/>
          <w:right w:w="0" w:type="dxa"/>
        </w:tblCellMar>
      </w:tblPr>
      <w:tblGrid>
        <w:gridCol w:w="8712"/>
      </w:tblGrid>
      <w:tr w14:paraId="312EDDCB">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52DE31F1">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4</w:t>
            </w:r>
            <w:r>
              <w:rPr>
                <w:rFonts w:hint="eastAsia"/>
              </w:rPr>
              <w:fldChar w:fldCharType="end"/>
            </w:r>
            <w:r>
              <w:rPr>
                <w:rFonts w:hint="eastAsia"/>
              </w:rPr>
              <w:t xml:space="preserve"> 服务业提质增效三大工程</w:t>
            </w:r>
          </w:p>
        </w:tc>
      </w:tr>
      <w:tr w14:paraId="7E041280">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DFF7628">
            <w:pPr>
              <w:pStyle w:val="68"/>
              <w:spacing w:line="440" w:lineRule="exact"/>
              <w:ind w:firstLine="482"/>
            </w:pPr>
            <w:r>
              <w:rPr>
                <w:rFonts w:hint="eastAsia"/>
                <w:b/>
                <w:bCs w:val="0"/>
              </w:rPr>
              <w:t>服务业强基础补短板工程。</w:t>
            </w:r>
            <w:r>
              <w:rPr>
                <w:rFonts w:hint="eastAsia"/>
              </w:rPr>
              <w:t>聚焦制造业共性需求，加快建设一批检验检测、技术推广、智能制造、供应链管理等生产性公共服务平台。深入推进两业</w:t>
            </w:r>
            <w:r>
              <w:t>融合</w:t>
            </w:r>
            <w:r>
              <w:rPr>
                <w:rFonts w:hint="eastAsia"/>
              </w:rPr>
              <w:t>共进</w:t>
            </w:r>
            <w:r>
              <w:t>试点</w:t>
            </w:r>
            <w:r>
              <w:rPr>
                <w:rFonts w:hint="eastAsia"/>
              </w:rPr>
              <w:t>建设</w:t>
            </w:r>
            <w:r>
              <w:t>，</w:t>
            </w:r>
            <w:r>
              <w:rPr>
                <w:rFonts w:hint="eastAsia"/>
              </w:rPr>
              <w:t>力争培育</w:t>
            </w:r>
            <w:r>
              <w:t>10</w:t>
            </w:r>
            <w:r>
              <w:rPr>
                <w:rFonts w:hint="eastAsia"/>
              </w:rPr>
              <w:t>家左右示范企业</w:t>
            </w:r>
            <w:r>
              <w:t>。以高质量发展为导向，重点培育租赁和商务服务、居民服务、文体娱乐等</w:t>
            </w:r>
            <w:r>
              <w:rPr>
                <w:rFonts w:hint="eastAsia"/>
              </w:rPr>
              <w:t>生活性服务业。积极推动服务业业态与模式创新，在产业升级、城市治理、生活服务三大领域协同发力，加快发展协同制造、个性定制、智慧物流、智能家居等新模式新业态。</w:t>
            </w:r>
          </w:p>
          <w:p w14:paraId="7C64CC52">
            <w:pPr>
              <w:pStyle w:val="68"/>
              <w:spacing w:line="440" w:lineRule="exact"/>
              <w:ind w:firstLine="482"/>
            </w:pPr>
            <w:bookmarkStart w:id="45" w:name="OLE_LINK31"/>
            <w:r>
              <w:rPr>
                <w:rFonts w:hint="eastAsia"/>
                <w:b/>
                <w:bCs w:val="0"/>
              </w:rPr>
              <w:t>市场主体育新培强工程</w:t>
            </w:r>
            <w:bookmarkEnd w:id="45"/>
            <w:r>
              <w:rPr>
                <w:rFonts w:hint="eastAsia"/>
                <w:b/>
                <w:bCs w:val="0"/>
              </w:rPr>
              <w:t>。</w:t>
            </w:r>
            <w:r>
              <w:rPr>
                <w:rFonts w:hint="eastAsia"/>
              </w:rPr>
              <w:t>加大服务业企业引育力度。到2030年，力争引进服务业龙头企业20家以上。支持互联网平台企业发展，完善规上服务业企业梯度培育机制，“十五五”期间，实现每年新增规模以上服务业企业40家以上，到2030年，全市规模以上服务业企业总数突破550家。</w:t>
            </w:r>
          </w:p>
          <w:p w14:paraId="41FF664B">
            <w:pPr>
              <w:pStyle w:val="68"/>
              <w:spacing w:line="440" w:lineRule="exact"/>
              <w:ind w:firstLine="482"/>
            </w:pPr>
            <w:r>
              <w:rPr>
                <w:rFonts w:hint="eastAsia"/>
                <w:b/>
                <w:bCs w:val="0"/>
              </w:rPr>
              <w:t>服务业布局优化工程。</w:t>
            </w:r>
            <w:r>
              <w:rPr>
                <w:rFonts w:hint="eastAsia"/>
              </w:rPr>
              <w:t>聚力打造以冷水滩区、零陵区为中心的高端服务业核心圈，建设沿潇水生态文化旅游带和制造业服务业融合示范带，深化北部对接长株潭、中部联动全域、南部联通粤港澳大湾区的服务业</w:t>
            </w:r>
            <w:r>
              <w:t>区域</w:t>
            </w:r>
            <w:r>
              <w:rPr>
                <w:rFonts w:hint="eastAsia"/>
              </w:rPr>
              <w:t>协同发展机制。支持各县市区立足“一主一特”产业定位和服务资源禀赋，培育特色鲜明、带动力强的服务经济新增长点。</w:t>
            </w:r>
          </w:p>
        </w:tc>
      </w:tr>
    </w:tbl>
    <w:p w14:paraId="7D46AEBC">
      <w:pPr>
        <w:pStyle w:val="6"/>
        <w:spacing w:before="435" w:after="217"/>
      </w:pPr>
      <w:bookmarkStart w:id="46" w:name="_Toc214617412"/>
      <w:bookmarkStart w:id="47" w:name="_Toc212282383"/>
      <w:bookmarkStart w:id="48" w:name="_Toc232094386"/>
      <w:bookmarkStart w:id="49" w:name="_Toc215270535"/>
      <w:bookmarkStart w:id="50" w:name="_Toc215259571"/>
      <w:r>
        <w:rPr>
          <w:rFonts w:hint="eastAsia"/>
        </w:rPr>
        <w:t>着力构建优质产业</w:t>
      </w:r>
      <w:bookmarkEnd w:id="46"/>
      <w:bookmarkEnd w:id="47"/>
      <w:r>
        <w:rPr>
          <w:rFonts w:hint="eastAsia"/>
        </w:rPr>
        <w:t>生态</w:t>
      </w:r>
      <w:bookmarkEnd w:id="48"/>
      <w:bookmarkEnd w:id="49"/>
      <w:bookmarkEnd w:id="50"/>
    </w:p>
    <w:p w14:paraId="1BAA546A">
      <w:pPr>
        <w:ind w:firstLine="640"/>
      </w:pPr>
      <w:r>
        <w:rPr>
          <w:rFonts w:hint="eastAsia"/>
        </w:rPr>
        <w:t>坚持企业引进、培育、生长等各环节贯通，全链条强化要素保障，跨周期服务产业成长，大力推动产业模式和企业组织形态变革，构建企业相互依存、相互融合的良好产业生态。</w:t>
      </w:r>
    </w:p>
    <w:p w14:paraId="7075328F">
      <w:pPr>
        <w:pStyle w:val="7"/>
        <w:spacing w:before="217" w:after="217"/>
        <w:rPr>
          <w:b w:val="0"/>
        </w:rPr>
      </w:pPr>
      <w:bookmarkStart w:id="51" w:name="_Toc215259572"/>
      <w:r>
        <w:rPr>
          <w:rFonts w:hint="eastAsia"/>
        </w:rPr>
        <w:t xml:space="preserve">第一节 </w:t>
      </w:r>
      <w:bookmarkEnd w:id="51"/>
      <w:r>
        <w:rPr>
          <w:rFonts w:hint="eastAsia"/>
        </w:rPr>
        <w:t>高质量承接产业转移</w:t>
      </w:r>
    </w:p>
    <w:p w14:paraId="5B217FCC">
      <w:pPr>
        <w:ind w:firstLine="640"/>
      </w:pPr>
      <w:r>
        <w:rPr>
          <w:rFonts w:hint="eastAsia"/>
        </w:rPr>
        <w:t>大力推进湘南湘西承接产业转移示范区建设</w:t>
      </w:r>
      <w:r>
        <w:t>，构建</w:t>
      </w:r>
      <w:r>
        <w:rPr>
          <w:rFonts w:hint="eastAsia"/>
        </w:rPr>
        <w:t>“</w:t>
      </w:r>
      <w:r>
        <w:t>选得准、引得来、接得稳、融得进、长得好</w:t>
      </w:r>
      <w:r>
        <w:rPr>
          <w:rFonts w:hint="eastAsia"/>
        </w:rPr>
        <w:t>”</w:t>
      </w:r>
      <w:r>
        <w:t>的全周期引</w:t>
      </w:r>
      <w:r>
        <w:rPr>
          <w:rFonts w:hint="eastAsia"/>
        </w:rPr>
        <w:t>建</w:t>
      </w:r>
      <w:r>
        <w:t>育闭环。</w:t>
      </w:r>
      <w:r>
        <w:rPr>
          <w:rFonts w:hint="eastAsia"/>
        </w:rPr>
        <w:t>探索设立产业发展引导基金，围绕产业链关键环节“引资本、引产业、引智力”。用好“永商荟”“永链荟”等平台，推进产业链招商、应用场景招商，抓好“湘商回归”“湘智兴湘”“校友回永”。聚焦16大产业联盟，依托“两图两库两队三池”</w:t>
      </w:r>
      <w:r>
        <w:t>，重点招引节点型、链主型企业</w:t>
      </w:r>
      <w:r>
        <w:rPr>
          <w:rFonts w:hint="eastAsia"/>
        </w:rPr>
        <w:t>，提升产业链供应链韧性和安全水平</w:t>
      </w:r>
      <w:r>
        <w:t>。突出</w:t>
      </w:r>
      <w:r>
        <w:rPr>
          <w:rFonts w:hint="eastAsia"/>
        </w:rPr>
        <w:t>“</w:t>
      </w:r>
      <w:r>
        <w:t>链主+配套</w:t>
      </w:r>
      <w:r>
        <w:rPr>
          <w:rFonts w:hint="eastAsia"/>
        </w:rPr>
        <w:t>”</w:t>
      </w:r>
      <w:r>
        <w:t>的组合模式，推</w:t>
      </w:r>
      <w:r>
        <w:rPr>
          <w:rFonts w:hint="eastAsia"/>
        </w:rPr>
        <w:t>进“延链”</w:t>
      </w:r>
      <w:r>
        <w:t>拓展协同服务链、</w:t>
      </w:r>
      <w:r>
        <w:rPr>
          <w:rFonts w:hint="eastAsia"/>
        </w:rPr>
        <w:t>“</w:t>
      </w:r>
      <w:r>
        <w:t>补链</w:t>
      </w:r>
      <w:r>
        <w:rPr>
          <w:rFonts w:hint="eastAsia"/>
        </w:rPr>
        <w:t>”</w:t>
      </w:r>
      <w:r>
        <w:t>精准弥合结构短板、</w:t>
      </w:r>
      <w:r>
        <w:rPr>
          <w:rFonts w:hint="eastAsia"/>
        </w:rPr>
        <w:t>“</w:t>
      </w:r>
      <w:r>
        <w:t>强链</w:t>
      </w:r>
      <w:r>
        <w:rPr>
          <w:rFonts w:hint="eastAsia"/>
        </w:rPr>
        <w:t>”</w:t>
      </w:r>
      <w:r>
        <w:t>提升整体竞争力</w:t>
      </w:r>
      <w:r>
        <w:rPr>
          <w:rFonts w:hint="eastAsia"/>
        </w:rPr>
        <w:t>，打造</w:t>
      </w:r>
      <w:r>
        <w:t>结构优化、功能完整的产业链生态圈。</w:t>
      </w:r>
      <w:r>
        <w:rPr>
          <w:rFonts w:hint="eastAsia"/>
        </w:rPr>
        <w:t>探索“飞地园区”合作模式，</w:t>
      </w:r>
      <w:r>
        <w:rPr>
          <w:rFonts w:hint="eastAsia"/>
          <w:bCs/>
        </w:rPr>
        <w:t>打造“总部+基地”“研发+制造”飞地样板</w:t>
      </w:r>
      <w:r>
        <w:rPr>
          <w:rFonts w:hint="eastAsia"/>
        </w:rPr>
        <w:t>。</w:t>
      </w:r>
    </w:p>
    <w:p w14:paraId="2F30AC0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bookmarkStart w:id="52" w:name="_Toc215259573"/>
      <w:r>
        <w:rPr>
          <w:rFonts w:hint="eastAsia" w:eastAsia="楷体_GB2312" w:cstheme="majorBidi"/>
          <w:b/>
          <w:color w:val="000000" w:themeColor="text1"/>
          <w:szCs w:val="32"/>
          <w14:textFill>
            <w14:solidFill>
              <w14:schemeClr w14:val="tx1"/>
            </w14:solidFill>
          </w14:textFill>
        </w:rPr>
        <w:t>第二节</w:t>
      </w:r>
      <w:r>
        <w:rPr>
          <w:rFonts w:eastAsia="楷体_GB2312" w:cstheme="majorBidi"/>
          <w:b/>
          <w:color w:val="000000" w:themeColor="text1"/>
          <w:szCs w:val="32"/>
          <w14:textFill>
            <w14:solidFill>
              <w14:schemeClr w14:val="tx1"/>
            </w14:solidFill>
          </w14:textFill>
        </w:rPr>
        <w:t xml:space="preserve"> </w:t>
      </w:r>
      <w:r>
        <w:rPr>
          <w:rFonts w:hint="eastAsia" w:eastAsia="楷体_GB2312" w:cstheme="majorBidi"/>
          <w:b/>
          <w:color w:val="000000" w:themeColor="text1"/>
          <w:szCs w:val="32"/>
          <w14:textFill>
            <w14:solidFill>
              <w14:schemeClr w14:val="tx1"/>
            </w14:solidFill>
          </w14:textFill>
        </w:rPr>
        <w:t>抓好市级“产业联盟”</w:t>
      </w:r>
    </w:p>
    <w:p w14:paraId="79441FC4">
      <w:pPr>
        <w:ind w:firstLine="640"/>
      </w:pPr>
      <w:r>
        <w:rPr>
          <w:rFonts w:hint="eastAsia"/>
        </w:rPr>
        <w:t>支持产业基础扎实、发展前景广阔的特色优势产业和新兴潜力产业组建产业联盟，打造要素共享、供应联动、市场协同的产业共同体，建设聚链成势、纵横联动的产业发展矩阵。</w:t>
      </w:r>
      <w:r>
        <w:t>常态化组织产业</w:t>
      </w:r>
      <w:r>
        <w:rPr>
          <w:rFonts w:hint="eastAsia"/>
        </w:rPr>
        <w:t>链</w:t>
      </w:r>
      <w:r>
        <w:t>供需对接活动，精准匹配上下游需求，</w:t>
      </w:r>
      <w:r>
        <w:rPr>
          <w:rFonts w:hint="eastAsia"/>
        </w:rPr>
        <w:t>促进</w:t>
      </w:r>
      <w:r>
        <w:t>跨区域资源要素高效整合</w:t>
      </w:r>
      <w:r>
        <w:rPr>
          <w:rFonts w:hint="eastAsia"/>
        </w:rPr>
        <w:t>，推动企业共同攻关瓶颈、引育人才、开拓市场</w:t>
      </w:r>
      <w:r>
        <w:t>。</w:t>
      </w:r>
      <w:r>
        <w:rPr>
          <w:rFonts w:hint="eastAsia"/>
        </w:rPr>
        <w:t>加强金融机构支持，持续深化“银盟合作”，推动制定“一盟一策”专属金融服务方案。更好发挥永州经开区在全市经济建设中的主阵地、主战场、主引擎作用，围绕先进电子器件、智能装备制造等主导产业，大力引进强链扩链型、集群配套型项目，加快建设具有影响力的绿色智能计算、智能小家电等产业联盟。</w:t>
      </w:r>
    </w:p>
    <w:p w14:paraId="4583AE3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第三节 </w:t>
      </w:r>
      <w:bookmarkEnd w:id="52"/>
      <w:r>
        <w:rPr>
          <w:rFonts w:hint="eastAsia" w:eastAsia="楷体_GB2312" w:cstheme="majorBidi"/>
          <w:b/>
          <w:color w:val="000000" w:themeColor="text1"/>
          <w:szCs w:val="32"/>
          <w14:textFill>
            <w14:solidFill>
              <w14:schemeClr w14:val="tx1"/>
            </w14:solidFill>
          </w14:textFill>
        </w:rPr>
        <w:t>做强县域“一主一特”</w:t>
      </w:r>
    </w:p>
    <w:p w14:paraId="67C06D18">
      <w:pPr>
        <w:ind w:firstLine="640"/>
      </w:pPr>
      <w:r>
        <w:rPr>
          <w:rFonts w:hint="eastAsia"/>
        </w:rPr>
        <w:t>引导各县市区瞄准切合实际的细分领域，聚焦前景广阔的新兴潜力产业，着力打造更具特色和优势的“一主一特”产业。到2030年，累计培育中小企业特色产业集群15个。突出产业园区经济发展重要增长极作用，</w:t>
      </w:r>
      <w:r>
        <w:t>加快</w:t>
      </w:r>
      <w:r>
        <w:rPr>
          <w:rFonts w:hint="eastAsia"/>
        </w:rPr>
        <w:t>推进</w:t>
      </w:r>
      <w:r>
        <w:t>国家级园区</w:t>
      </w:r>
      <w:r>
        <w:rPr>
          <w:rFonts w:hint="eastAsia"/>
        </w:rPr>
        <w:t>“</w:t>
      </w:r>
      <w:r>
        <w:t>两主一特</w:t>
      </w:r>
      <w:r>
        <w:rPr>
          <w:rFonts w:hint="eastAsia"/>
        </w:rPr>
        <w:t>”</w:t>
      </w:r>
      <w:r>
        <w:t>、省级园区</w:t>
      </w:r>
      <w:r>
        <w:rPr>
          <w:rFonts w:hint="eastAsia"/>
        </w:rPr>
        <w:t>“</w:t>
      </w:r>
      <w:r>
        <w:t>一主一特</w:t>
      </w:r>
      <w:r>
        <w:rPr>
          <w:rFonts w:hint="eastAsia"/>
        </w:rPr>
        <w:t>”产业</w:t>
      </w:r>
      <w:r>
        <w:t>发展</w:t>
      </w:r>
      <w:r>
        <w:rPr>
          <w:rFonts w:hint="eastAsia"/>
        </w:rPr>
        <w:t>。持续优化园区产业定位，做大做强特色突出、优势明显、效益显著的主导产业，构建“一个产业园区、一条重点产业链、一个地标产业”的发展格局。推进“五好”园区建设，进一步完善园区体制机制，提升园区承载能力。推进产城融合，完善园区基础设施、公共服务、生活娱乐等配套体系建设。到2030年，力争创建千亿级园区1家、产值过500亿元的园区2家。</w:t>
      </w:r>
    </w:p>
    <w:p w14:paraId="5C261320">
      <w:pPr>
        <w:pStyle w:val="7"/>
        <w:spacing w:before="217" w:after="217"/>
        <w:rPr>
          <w:b w:val="0"/>
        </w:rPr>
      </w:pPr>
      <w:bookmarkStart w:id="53" w:name="_Toc215259575"/>
      <w:r>
        <w:rPr>
          <w:rFonts w:hint="eastAsia"/>
        </w:rPr>
        <w:t>第四节 丰富拓展应用场景</w:t>
      </w:r>
      <w:bookmarkEnd w:id="53"/>
    </w:p>
    <w:p w14:paraId="3BB8918F">
      <w:pPr>
        <w:ind w:firstLine="640"/>
      </w:pPr>
      <w:r>
        <w:t>加大场景建设和开放力度，</w:t>
      </w:r>
      <w:r>
        <w:rPr>
          <w:rFonts w:hint="eastAsia"/>
        </w:rPr>
        <w:t>实施新技术新产品新场景大规模应用示范行动，构建“技术突破—场景验证—产业应用—体系升级”的发展路径。聚焦数字经济、人工智能、低空经济、清洁能源等潜力新赛道，围绕现代农业、文化旅游等优势领域，滚动发布应用场景“需求清单”和“能力清单”，建设一批综合性重大场景、行业领域集成式场景、高价值小切口场景，扩大生产场景、工作场景、生活场景供给。推进前沿技术在具体场景的应用验证，实现研发与市场贯通、技术与产业融合。</w:t>
      </w:r>
      <w:r>
        <w:t>深入挖掘场景资源，因地制宜培育早期场景，</w:t>
      </w:r>
      <w:r>
        <w:rPr>
          <w:rFonts w:hint="eastAsia"/>
        </w:rPr>
        <w:t>开展区域</w:t>
      </w:r>
      <w:r>
        <w:t>特色场景</w:t>
      </w:r>
      <w:r>
        <w:rPr>
          <w:rFonts w:hint="eastAsia"/>
        </w:rPr>
        <w:t>建设</w:t>
      </w:r>
      <w:r>
        <w:t>。</w:t>
      </w:r>
      <w:r>
        <w:rPr>
          <w:rFonts w:hint="eastAsia"/>
        </w:rPr>
        <w:t>强化跨领域跨区域协作，促进各类主体公平高效参与场景资源配置和开发利用，推进产业全链条场景开放。</w:t>
      </w:r>
    </w:p>
    <w:p w14:paraId="32B4FA1C">
      <w:pPr>
        <w:ind w:firstLine="640"/>
      </w:pPr>
    </w:p>
    <w:bookmarkEnd w:id="28"/>
    <w:p w14:paraId="63EBD1DF">
      <w:pPr>
        <w:widowControl/>
        <w:spacing w:line="240" w:lineRule="auto"/>
        <w:ind w:firstLine="0" w:firstLineChars="0"/>
        <w:jc w:val="left"/>
        <w:rPr>
          <w:szCs w:val="22"/>
        </w:rPr>
      </w:pPr>
      <w:r>
        <w:rPr>
          <w:szCs w:val="22"/>
        </w:rPr>
        <w:br w:type="page"/>
      </w:r>
    </w:p>
    <w:p w14:paraId="68DF3FB6">
      <w:pPr>
        <w:pStyle w:val="5"/>
        <w:rPr>
          <w:spacing w:val="-17"/>
        </w:rPr>
      </w:pPr>
      <w:bookmarkStart w:id="54" w:name="_Toc215343767"/>
      <w:bookmarkStart w:id="55" w:name="_Toc215270536"/>
      <w:bookmarkStart w:id="56" w:name="_Toc232094387"/>
      <w:bookmarkStart w:id="57" w:name="_Hlk215740645"/>
      <w:r>
        <w:rPr>
          <w:rFonts w:hint="eastAsia"/>
          <w:spacing w:val="-17"/>
        </w:rPr>
        <w:t>因地制宜发展新质生产力，全力</w:t>
      </w:r>
      <w:bookmarkEnd w:id="54"/>
      <w:bookmarkEnd w:id="55"/>
      <w:r>
        <w:rPr>
          <w:rFonts w:hint="eastAsia"/>
          <w:spacing w:val="-17"/>
        </w:rPr>
        <w:t>融入全省建设具有核心竞争力的科技创新高地</w:t>
      </w:r>
      <w:bookmarkEnd w:id="56"/>
    </w:p>
    <w:p w14:paraId="579C11F1">
      <w:pPr>
        <w:pStyle w:val="97"/>
        <w:ind w:firstLine="640"/>
      </w:pPr>
    </w:p>
    <w:p w14:paraId="196928D0">
      <w:pPr>
        <w:pStyle w:val="97"/>
        <w:ind w:firstLine="640"/>
      </w:pPr>
      <w:r>
        <w:rPr>
          <w:rFonts w:hint="eastAsia"/>
        </w:rPr>
        <w:t>坚持创新在现代化建设全局中的核心地位，持续提升自主科技创新能力，以协同创新破解产业升级瓶颈，统筹教育强市、科技强市、人才强市建设，不断催生新质生产力。</w:t>
      </w:r>
    </w:p>
    <w:p w14:paraId="724F7A5E">
      <w:pPr>
        <w:pStyle w:val="6"/>
        <w:spacing w:before="435" w:after="217"/>
      </w:pPr>
      <w:bookmarkStart w:id="58" w:name="_Toc215419673"/>
      <w:bookmarkStart w:id="59" w:name="_Toc232094388"/>
      <w:bookmarkStart w:id="60" w:name="_Toc215343768"/>
      <w:bookmarkStart w:id="61" w:name="_Toc215270537"/>
      <w:bookmarkStart w:id="62" w:name="_Toc212282386"/>
      <w:r>
        <w:rPr>
          <w:rFonts w:hint="eastAsia"/>
        </w:rPr>
        <w:t>大力提升科技创新能力</w:t>
      </w:r>
      <w:bookmarkEnd w:id="58"/>
      <w:bookmarkEnd w:id="59"/>
      <w:bookmarkEnd w:id="60"/>
      <w:bookmarkEnd w:id="61"/>
    </w:p>
    <w:bookmarkEnd w:id="62"/>
    <w:p w14:paraId="6E165AF0">
      <w:pPr>
        <w:ind w:firstLine="640"/>
        <w:rPr>
          <w:szCs w:val="32"/>
        </w:rPr>
      </w:pPr>
      <w:r>
        <w:rPr>
          <w:rFonts w:hint="eastAsia"/>
          <w:szCs w:val="32"/>
        </w:rPr>
        <w:t>立足永州科技创新战略部署，以高水平创新平台和载体建设为支撑，加强重点领域关键核心技术攻关，加大科技创新投入，全面提升科技创新水平。</w:t>
      </w:r>
    </w:p>
    <w:p w14:paraId="6AAB8D84">
      <w:pPr>
        <w:pStyle w:val="7"/>
        <w:spacing w:before="217" w:after="217"/>
        <w:rPr>
          <w:b w:val="0"/>
        </w:rPr>
      </w:pPr>
      <w:r>
        <w:rPr>
          <w:rFonts w:hint="eastAsia"/>
        </w:rPr>
        <w:t>第一节 建设高水平创新平台和载体</w:t>
      </w:r>
    </w:p>
    <w:p w14:paraId="5260E32F">
      <w:pPr>
        <w:adjustRightInd w:val="0"/>
        <w:snapToGrid w:val="0"/>
        <w:ind w:firstLine="640"/>
        <w:rPr>
          <w:rFonts w:cs="Times New Roman"/>
          <w:szCs w:val="20"/>
          <w14:ligatures w14:val="none"/>
        </w:rPr>
      </w:pPr>
      <w:r>
        <w:rPr>
          <w:rFonts w:hint="eastAsia" w:cs="Times New Roman"/>
          <w:szCs w:val="20"/>
          <w14:ligatures w14:val="none"/>
        </w:rPr>
        <w:t>强化创新平台体系构建，围绕永州优势产业和战略性新兴产业发展需求，支持龙头企业联合高校及科研院所布局建设省级重点实验室、技术创新中心、制造业创新中心等高能级平台。推动主要产业园区新增一批概念验证中心、中试基地、产业技术基础公共服务平台等成果转化平台，推动中试基地开放共享。支持创新创业服务类平台建设，新增一批省级孵化器及大学生创业指导工作室。推动科技园区提质升级，积极创建永州国家高新区，争取新增一批省级高新区及创新型县市区。</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78AB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69F860EE">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5</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高水平科技创新平台建设行动</w:t>
            </w:r>
          </w:p>
        </w:tc>
      </w:tr>
      <w:tr w14:paraId="3EC2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67B43046">
            <w:pPr>
              <w:spacing w:line="440" w:lineRule="exact"/>
              <w:ind w:firstLine="482"/>
              <w:rPr>
                <w:bCs/>
                <w:sz w:val="24"/>
              </w:rPr>
            </w:pPr>
            <w:r>
              <w:rPr>
                <w:rFonts w:hint="eastAsia"/>
                <w:b/>
                <w:sz w:val="24"/>
              </w:rPr>
              <w:t>产业技术创新平台建设行动。</w:t>
            </w:r>
            <w:r>
              <w:rPr>
                <w:rFonts w:hint="eastAsia"/>
                <w:bCs/>
                <w:sz w:val="24"/>
              </w:rPr>
              <w:t>巩固提升中成药复杂作用解析省重点实验室、砖石质文物智慧化保护利用技术省重点实验室、中古生物新型研发机构、微电机工程技术省工程技术研究中心、功能性油茶食品及油茶籽深加工省工程技术研究中心、农林废弃物资源利用与环境污染综合治理省工程技术研究中心、湖南省心血管病介入治疗临床医疗技术示范基地等现有省级科创平台水平。支持创建脑疾病精准诊疗实验室、绿色能源新材料研究院、智能家居研发中心、独居石高值绿色开发利用研究中心、智慧农业与种业协同创新中心、现代纺织产业研究院、“以竹代塑”产业技术创新基地、先进电子元器件创新研究院等一批科技创新平台。</w:t>
            </w:r>
          </w:p>
          <w:p w14:paraId="06ACD4C2">
            <w:pPr>
              <w:spacing w:line="440" w:lineRule="exact"/>
              <w:ind w:firstLine="482"/>
              <w:rPr>
                <w:bCs/>
                <w:sz w:val="24"/>
              </w:rPr>
            </w:pPr>
            <w:r>
              <w:rPr>
                <w:rFonts w:hint="eastAsia"/>
                <w:b/>
                <w:sz w:val="24"/>
              </w:rPr>
              <w:t>技术成果转化平台建设行动。</w:t>
            </w:r>
            <w:r>
              <w:rPr>
                <w:rFonts w:hint="eastAsia"/>
                <w:bCs/>
                <w:sz w:val="24"/>
              </w:rPr>
              <w:t>巩固提升“中药大品种培育研究与应用”创新联合体、高频磁芯电感研发科技成果转化中试基地、微电机科技成果转化中试基地等现有平台科技成果转化能力。布局建设纳米碳酸钙及其功能复合材料、农林产品深加工、蔬菜种业、通用驱动与传动设备、新型显示器件、铝合金绿色制造与再生资源高值化利用、锂离子电池电解液等一批中试基地。</w:t>
            </w:r>
          </w:p>
          <w:p w14:paraId="2F6ADC76">
            <w:pPr>
              <w:spacing w:line="440" w:lineRule="exact"/>
              <w:ind w:firstLine="482"/>
              <w:rPr>
                <w:bCs/>
                <w:sz w:val="24"/>
              </w:rPr>
            </w:pPr>
            <w:r>
              <w:rPr>
                <w:rFonts w:hint="eastAsia"/>
                <w:b/>
                <w:sz w:val="24"/>
              </w:rPr>
              <w:t>创新创业服务平台建设行动。</w:t>
            </w:r>
            <w:r>
              <w:rPr>
                <w:rFonts w:hint="eastAsia"/>
                <w:bCs/>
                <w:sz w:val="24"/>
              </w:rPr>
              <w:t>培育祁阳浯创、江华高新区国家级科技企业孵化器，到2030年，新增省级以上科技型企业孵化器10家，省级大学生创业指导工作室5家。</w:t>
            </w:r>
          </w:p>
          <w:p w14:paraId="3198675F">
            <w:pPr>
              <w:spacing w:line="440" w:lineRule="exact"/>
              <w:ind w:firstLine="482"/>
              <w:rPr>
                <w:rFonts w:cs="Times New Roman"/>
                <w:bCs/>
                <w:kern w:val="0"/>
                <w:sz w:val="24"/>
                <w:szCs w:val="22"/>
                <w14:ligatures w14:val="none"/>
              </w:rPr>
            </w:pPr>
            <w:r>
              <w:rPr>
                <w:rFonts w:hint="eastAsia"/>
                <w:b/>
                <w:sz w:val="24"/>
              </w:rPr>
              <w:t>科技园区提质升级建设行动。</w:t>
            </w:r>
            <w:r>
              <w:rPr>
                <w:rFonts w:hint="eastAsia"/>
                <w:bCs/>
                <w:sz w:val="24"/>
              </w:rPr>
              <w:t>巩固提升江华、宁远、祁阳、道县、零陵等省级高新区。推动创建永州国家高新区。支持东安、蓝山等创建省级高新区，祁阳、冷水滩等创建省级创新型县市区。</w:t>
            </w:r>
          </w:p>
        </w:tc>
      </w:tr>
    </w:tbl>
    <w:p w14:paraId="43C72F7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加强产业关键技术攻关</w:t>
      </w:r>
    </w:p>
    <w:p w14:paraId="4B74270B">
      <w:pPr>
        <w:ind w:firstLine="640"/>
      </w:pPr>
      <w:r>
        <w:rPr>
          <w:rFonts w:hint="eastAsia"/>
        </w:rPr>
        <w:t>围绕产业链布局创新链，实施“科技+产业”融合发展行动，聚焦食品加工、智能家居、现代农业、文化旅游、新能源、数字产业、生物医药、低空经济、循环经济等领域，集中力量开展产业关键核心技术攻关，深入实施高价值专利培育工程，加强前沿性、引领性技术研发。聚焦重点领域及重大民生科技创新需求，健全</w:t>
      </w:r>
      <w:r>
        <w:t>重大科技任务需求凝练机制</w:t>
      </w:r>
      <w:r>
        <w:rPr>
          <w:rFonts w:hint="eastAsia"/>
        </w:rPr>
        <w:t>，建立重点技术需求库，滚动实施市级“揭榜挂帅”与十大科技创新专项，突破一批急需的关键技术。组织优势科研力量承担国家、省级重点产业领域相关研究，积极参与高水平产业关键技术攻关。</w:t>
      </w:r>
      <w:r>
        <w:t>健全重大</w:t>
      </w:r>
      <w:r>
        <w:rPr>
          <w:rFonts w:hint="eastAsia"/>
        </w:rPr>
        <w:t>攻关</w:t>
      </w:r>
      <w:r>
        <w:t>任务人才</w:t>
      </w:r>
      <w:r>
        <w:rPr>
          <w:rFonts w:hint="eastAsia"/>
        </w:rPr>
        <w:t>组织</w:t>
      </w:r>
      <w:r>
        <w:t>调配</w:t>
      </w:r>
      <w:r>
        <w:rPr>
          <w:rFonts w:hint="eastAsia"/>
        </w:rPr>
        <w:t>与创新资源高效集聚</w:t>
      </w:r>
      <w:r>
        <w:t>机制</w:t>
      </w:r>
      <w:r>
        <w:rPr>
          <w:rFonts w:hint="eastAsia"/>
        </w:rPr>
        <w:t>。到2030年，突破产业关键技术50项，主导产业部分领域技术达到国内领先水平。</w:t>
      </w:r>
    </w:p>
    <w:tbl>
      <w:tblPr>
        <w:tblStyle w:val="1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E20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420AA9C9">
            <w:pPr>
              <w:spacing w:before="217" w:beforeLines="50" w:after="217" w:afterLines="50" w:line="440" w:lineRule="exact"/>
              <w:ind w:firstLine="0" w:firstLineChars="0"/>
              <w:jc w:val="center"/>
              <w:outlineLvl w:val="3"/>
              <w:rPr>
                <w:rFonts w:cs="Times New Roman"/>
                <w:b/>
                <w:szCs w:val="28"/>
              </w:rPr>
            </w:pPr>
            <w:r>
              <w:rPr>
                <w:rFonts w:hint="eastAsia" w:cs="Times New Roman"/>
                <w:b/>
                <w:szCs w:val="28"/>
              </w:rPr>
              <w:t>专栏</w:t>
            </w:r>
            <w:r>
              <w:rPr>
                <w:rFonts w:cs="Times New Roman"/>
                <w:b/>
                <w:szCs w:val="28"/>
              </w:rPr>
              <w:t xml:space="preserve"> </w:t>
            </w:r>
            <w:r>
              <w:rPr>
                <w:rFonts w:eastAsia="宋体" w:cs="Times New Roman"/>
                <w:b/>
                <w:sz w:val="21"/>
                <w:szCs w:val="28"/>
              </w:rPr>
              <w:fldChar w:fldCharType="begin"/>
            </w:r>
            <w:r>
              <w:rPr>
                <w:rFonts w:cs="Times New Roman"/>
                <w:b/>
                <w:szCs w:val="28"/>
              </w:rPr>
              <w:instrText xml:space="preserve"> SEQ </w:instrText>
            </w:r>
            <w:r>
              <w:rPr>
                <w:rFonts w:hint="eastAsia" w:cs="Times New Roman"/>
                <w:b/>
                <w:szCs w:val="28"/>
              </w:rPr>
              <w:instrText xml:space="preserve">专栏</w:instrText>
            </w:r>
            <w:r>
              <w:rPr>
                <w:rFonts w:cs="Times New Roman"/>
                <w:b/>
                <w:szCs w:val="28"/>
              </w:rPr>
              <w:instrText xml:space="preserve"> \* ARABIC </w:instrText>
            </w:r>
            <w:r>
              <w:rPr>
                <w:rFonts w:eastAsia="宋体" w:cs="Times New Roman"/>
                <w:b/>
                <w:sz w:val="21"/>
                <w:szCs w:val="28"/>
              </w:rPr>
              <w:fldChar w:fldCharType="separate"/>
            </w:r>
            <w:r>
              <w:rPr>
                <w:rFonts w:cs="Times New Roman"/>
                <w:b/>
                <w:szCs w:val="28"/>
              </w:rPr>
              <w:t>6</w:t>
            </w:r>
            <w:r>
              <w:rPr>
                <w:rFonts w:eastAsia="宋体" w:cs="Times New Roman"/>
                <w:b/>
                <w:sz w:val="21"/>
                <w:szCs w:val="28"/>
              </w:rPr>
              <w:fldChar w:fldCharType="end"/>
            </w:r>
            <w:r>
              <w:rPr>
                <w:rFonts w:cs="Times New Roman"/>
                <w:b/>
                <w:szCs w:val="28"/>
              </w:rPr>
              <w:t xml:space="preserve"> </w:t>
            </w:r>
            <w:r>
              <w:rPr>
                <w:rFonts w:hint="eastAsia" w:cs="Times New Roman"/>
                <w:b/>
                <w:szCs w:val="28"/>
              </w:rPr>
              <w:t>重点领域技术攻关方向</w:t>
            </w:r>
          </w:p>
        </w:tc>
      </w:tr>
      <w:tr w14:paraId="23B4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2C24E26E">
            <w:pPr>
              <w:pStyle w:val="68"/>
              <w:spacing w:line="440" w:lineRule="exact"/>
              <w:ind w:firstLine="482"/>
            </w:pPr>
            <w:r>
              <w:rPr>
                <w:rFonts w:hint="eastAsia"/>
                <w:b/>
              </w:rPr>
              <w:t>食品加工。农副食品加工</w:t>
            </w:r>
            <w:r>
              <w:rPr>
                <w:rFonts w:hint="eastAsia"/>
                <w:bCs w:val="0"/>
              </w:rPr>
              <w:t>重点</w:t>
            </w:r>
            <w:r>
              <w:rPr>
                <w:rFonts w:hint="eastAsia"/>
              </w:rPr>
              <w:t>突破山茶甘油二酯油制备、油茶基特医食品生产、油茶加工副产物高效炼制及产品开发技术。</w:t>
            </w:r>
            <w:r>
              <w:rPr>
                <w:rFonts w:hint="eastAsia"/>
                <w:b/>
              </w:rPr>
              <w:t>食品制造</w:t>
            </w:r>
            <w:r>
              <w:rPr>
                <w:rFonts w:hint="eastAsia"/>
              </w:rPr>
              <w:t>重点突破永州特色菜品的锁鲜灭菌、风味保持、营养均衡与低碳制造技术。</w:t>
            </w:r>
            <w:r>
              <w:rPr>
                <w:rFonts w:hint="eastAsia"/>
                <w:b/>
              </w:rPr>
              <w:t>酒饮茶</w:t>
            </w:r>
            <w:r>
              <w:rPr>
                <w:rFonts w:hint="eastAsia"/>
              </w:rPr>
              <w:t>重点突破生物酶解、智能萎凋/发酵等现代生物技术。</w:t>
            </w:r>
          </w:p>
          <w:p w14:paraId="1E0F5EF2">
            <w:pPr>
              <w:pStyle w:val="68"/>
              <w:spacing w:line="440" w:lineRule="exact"/>
              <w:ind w:firstLine="482"/>
            </w:pPr>
            <w:r>
              <w:rPr>
                <w:rFonts w:hint="eastAsia"/>
                <w:b/>
              </w:rPr>
              <w:t>智能家居。纺织服饰</w:t>
            </w:r>
            <w:r>
              <w:rPr>
                <w:rFonts w:hint="eastAsia"/>
              </w:rPr>
              <w:t>重点突破无水印染、生物基纤维、产业用纺织品。</w:t>
            </w:r>
            <w:r>
              <w:rPr>
                <w:rFonts w:hint="eastAsia"/>
                <w:b/>
              </w:rPr>
              <w:t>皮具箱包制鞋</w:t>
            </w:r>
            <w:r>
              <w:rPr>
                <w:rFonts w:hint="eastAsia"/>
              </w:rPr>
              <w:t>重点突破智能裁切机器人、3D足部扫描与建模、AI鞋楦设计等技术。</w:t>
            </w:r>
            <w:r>
              <w:rPr>
                <w:rFonts w:hint="eastAsia"/>
                <w:b/>
              </w:rPr>
              <w:t>家具制造</w:t>
            </w:r>
            <w:r>
              <w:rPr>
                <w:rFonts w:hint="eastAsia"/>
              </w:rPr>
              <w:t>重点突破竹材高效改性、竹基复合材料、竹材智能化加工等技术。</w:t>
            </w:r>
            <w:r>
              <w:rPr>
                <w:rFonts w:hint="eastAsia"/>
                <w:b/>
              </w:rPr>
              <w:t>电机电器</w:t>
            </w:r>
            <w:r>
              <w:rPr>
                <w:rFonts w:hint="eastAsia"/>
              </w:rPr>
              <w:t>重点开展低噪音电机马达、智能化电机及驱控系统研发。</w:t>
            </w:r>
          </w:p>
          <w:p w14:paraId="4EBA1A3E">
            <w:pPr>
              <w:pStyle w:val="68"/>
              <w:spacing w:line="440" w:lineRule="exact"/>
              <w:ind w:firstLine="482"/>
            </w:pPr>
            <w:r>
              <w:rPr>
                <w:rFonts w:hint="eastAsia"/>
                <w:b/>
              </w:rPr>
              <w:t>现代农业。现代种业</w:t>
            </w:r>
            <w:r>
              <w:rPr>
                <w:rFonts w:hint="eastAsia"/>
              </w:rPr>
              <w:t>重点突破现代生物育种技术，培育永州优势特色新品种。</w:t>
            </w:r>
            <w:r>
              <w:rPr>
                <w:rFonts w:hint="eastAsia"/>
                <w:b/>
              </w:rPr>
              <w:t>农林种植业</w:t>
            </w:r>
            <w:r>
              <w:rPr>
                <w:rFonts w:hint="eastAsia"/>
              </w:rPr>
              <w:t>重点突破高效节水灌溉、智慧设施农业等技术。</w:t>
            </w:r>
            <w:r>
              <w:rPr>
                <w:rFonts w:hint="eastAsia"/>
                <w:b/>
              </w:rPr>
              <w:t>畜牧业</w:t>
            </w:r>
            <w:r>
              <w:rPr>
                <w:rFonts w:hint="eastAsia"/>
              </w:rPr>
              <w:t>重点研发陆基高位圆池/集装箱式循环水养殖（RAS）系统优化、病害生态防控等技术。</w:t>
            </w:r>
            <w:r>
              <w:rPr>
                <w:rFonts w:hint="eastAsia"/>
                <w:b/>
              </w:rPr>
              <w:t>农产品流通业</w:t>
            </w:r>
            <w:r>
              <w:rPr>
                <w:rFonts w:hint="eastAsia"/>
              </w:rPr>
              <w:t>重点突破冷链全程温湿度监控、生物肽基材料高效保鲜等技术。</w:t>
            </w:r>
          </w:p>
          <w:p w14:paraId="548D9C6E">
            <w:pPr>
              <w:pStyle w:val="68"/>
              <w:spacing w:line="440" w:lineRule="exact"/>
              <w:ind w:firstLine="482"/>
            </w:pPr>
            <w:r>
              <w:rPr>
                <w:rFonts w:hint="eastAsia"/>
                <w:b/>
              </w:rPr>
              <w:t>文化旅游。</w:t>
            </w:r>
            <w:r>
              <w:rPr>
                <w:rFonts w:hint="eastAsia"/>
              </w:rPr>
              <w:t>围绕非物质文化遗产数字化保护与传承，重点突破</w:t>
            </w:r>
            <w:r>
              <w:rPr>
                <w:rFonts w:hint="eastAsia"/>
                <w:snapToGrid w:val="0"/>
              </w:rPr>
              <w:t>摩崖石刻病害诊断识别、三维模型数据采集几何精度、多模态检索、AI智能体交互的垂直领域大模型创建等技术</w:t>
            </w:r>
            <w:r>
              <w:rPr>
                <w:rFonts w:hint="eastAsia"/>
              </w:rPr>
              <w:t>。</w:t>
            </w:r>
          </w:p>
          <w:p w14:paraId="57B714FB">
            <w:pPr>
              <w:pStyle w:val="68"/>
              <w:spacing w:line="440" w:lineRule="exact"/>
              <w:ind w:firstLine="482"/>
            </w:pPr>
            <w:r>
              <w:rPr>
                <w:rFonts w:hint="eastAsia" w:cs="仿宋_GB2312"/>
                <w:b/>
                <w:szCs w:val="24"/>
              </w:rPr>
              <w:t>新能源。</w:t>
            </w:r>
            <w:r>
              <w:rPr>
                <w:rFonts w:hint="eastAsia"/>
                <w:b/>
              </w:rPr>
              <w:t>新能源装备</w:t>
            </w:r>
            <w:r>
              <w:rPr>
                <w:rFonts w:hint="eastAsia"/>
              </w:rPr>
              <w:t>重点研发新能源汽车高安全长寿命电池系统、高集成高效率电驱动总成、车规级芯片。</w:t>
            </w:r>
            <w:r>
              <w:rPr>
                <w:rFonts w:hint="eastAsia"/>
                <w:b/>
              </w:rPr>
              <w:t>锂电池材料</w:t>
            </w:r>
            <w:r>
              <w:rPr>
                <w:rFonts w:hint="eastAsia"/>
              </w:rPr>
              <w:t>重点突破高能量密度正极材料、高性能硅基负极材料、高强隔膜涂层、锂电池干燥装备智能化控制等技术。</w:t>
            </w:r>
            <w:r>
              <w:rPr>
                <w:rFonts w:hint="eastAsia"/>
                <w:b/>
              </w:rPr>
              <w:t>新型电力系统</w:t>
            </w:r>
            <w:r>
              <w:rPr>
                <w:rFonts w:hint="eastAsia"/>
              </w:rPr>
              <w:t>重点推动智能微电网、虚拟电厂等技术研发。</w:t>
            </w:r>
          </w:p>
          <w:p w14:paraId="25ACC60A">
            <w:pPr>
              <w:pStyle w:val="68"/>
              <w:spacing w:line="440" w:lineRule="exact"/>
              <w:ind w:firstLine="482"/>
            </w:pPr>
            <w:r>
              <w:rPr>
                <w:rFonts w:hint="eastAsia"/>
                <w:b/>
              </w:rPr>
              <w:t>数字产业。电子器件</w:t>
            </w:r>
            <w:r>
              <w:rPr>
                <w:rFonts w:hint="eastAsia"/>
              </w:rPr>
              <w:t>重点突破OLED、Mini/Micro LED、MEMS与数字信号融合、AI降噪算法优化等技术。</w:t>
            </w:r>
            <w:r>
              <w:rPr>
                <w:rFonts w:hint="eastAsia"/>
                <w:b/>
              </w:rPr>
              <w:t>信息产业</w:t>
            </w:r>
            <w:r>
              <w:rPr>
                <w:rFonts w:hint="eastAsia"/>
              </w:rPr>
              <w:t>重点开展5G/6G通信用低损耗光纤、高速光模块、高频高速PCB/连接器关键技术研究。</w:t>
            </w:r>
          </w:p>
          <w:p w14:paraId="703633D7">
            <w:pPr>
              <w:pStyle w:val="68"/>
              <w:spacing w:line="440" w:lineRule="exact"/>
              <w:ind w:firstLine="482"/>
            </w:pPr>
            <w:r>
              <w:rPr>
                <w:rFonts w:hint="eastAsia"/>
                <w:b/>
              </w:rPr>
              <w:t>生物医药。</w:t>
            </w:r>
            <w:r>
              <w:rPr>
                <w:rFonts w:hint="eastAsia"/>
              </w:rPr>
              <w:t>重点突破道地药材提取分离、制剂、生物转化等技术，开展玄黄润通片、特色瑶药、土家药抗肿瘤有效靶点创新药研发，支持中古生物加快CIGB—300多肽类“同类首创”创新药在我国治疗宫颈癌的研发进程。</w:t>
            </w:r>
          </w:p>
          <w:p w14:paraId="6A6FA083">
            <w:pPr>
              <w:pStyle w:val="68"/>
              <w:spacing w:line="440" w:lineRule="exact"/>
              <w:ind w:firstLine="482"/>
            </w:pPr>
            <w:r>
              <w:rPr>
                <w:rFonts w:hint="eastAsia"/>
                <w:b/>
              </w:rPr>
              <w:t>低空经济。</w:t>
            </w:r>
            <w:r>
              <w:rPr>
                <w:rFonts w:hint="eastAsia"/>
              </w:rPr>
              <w:t>重点突破低空飞行器高性能碳纤维复合材料制备技术。</w:t>
            </w:r>
          </w:p>
          <w:p w14:paraId="576DA086">
            <w:pPr>
              <w:pStyle w:val="68"/>
              <w:spacing w:line="440" w:lineRule="exact"/>
              <w:ind w:firstLine="482"/>
              <w:rPr>
                <w:rFonts w:cs="Times New Roman"/>
              </w:rPr>
            </w:pPr>
            <w:r>
              <w:rPr>
                <w:rFonts w:hint="eastAsia"/>
                <w:b/>
              </w:rPr>
              <w:t>循环经济。再生金属资源循环利用</w:t>
            </w:r>
            <w:r>
              <w:rPr>
                <w:rFonts w:hint="eastAsia"/>
              </w:rPr>
              <w:t>重点突破再生铝高效预处理、绿色熔炼、杂质深度脱除等技术，开展低放伴生矿废弃物中有价元素强化浸出和相似元素选择性分离技术研究。</w:t>
            </w:r>
            <w:r>
              <w:rPr>
                <w:rFonts w:hint="eastAsia"/>
                <w:b/>
              </w:rPr>
              <w:t>污染治理与资源回收</w:t>
            </w:r>
            <w:r>
              <w:rPr>
                <w:rFonts w:hint="eastAsia"/>
              </w:rPr>
              <w:t>重点突破锰渣、稀土尾矿、粉煤灰、冶炼渣高值化利用技术</w:t>
            </w:r>
            <w:r>
              <w:rPr>
                <w:rFonts w:hint="eastAsia" w:cs="Times New Roman"/>
              </w:rPr>
              <w:t>。</w:t>
            </w:r>
          </w:p>
        </w:tc>
      </w:tr>
    </w:tbl>
    <w:p w14:paraId="4E69ECCE">
      <w:pPr>
        <w:pStyle w:val="7"/>
        <w:spacing w:before="217" w:after="217" w:line="552" w:lineRule="exact"/>
        <w:rPr>
          <w:b w:val="0"/>
        </w:rPr>
      </w:pPr>
      <w:r>
        <w:rPr>
          <w:rFonts w:hint="eastAsia"/>
        </w:rPr>
        <w:t>第三节 完善多元化科技投入体系</w:t>
      </w:r>
    </w:p>
    <w:p w14:paraId="50AE8289">
      <w:pPr>
        <w:pStyle w:val="97"/>
        <w:spacing w:line="552" w:lineRule="exact"/>
        <w:ind w:firstLine="640"/>
        <w:rPr>
          <w:rFonts w:ascii="仿宋_GB2312"/>
        </w:rPr>
      </w:pPr>
      <w:r>
        <w:rPr>
          <w:rFonts w:cstheme="minorBidi"/>
          <w:szCs w:val="21"/>
          <w14:ligatures w14:val="standardContextual"/>
        </w:rPr>
        <w:t>建立健全以企业为主体、政府为引导、社会多元参与的科技投入体系，力争到2030年，全社会研发经费投入强度达到2.4%左右。壮大研发投入主力军，促进高新技术企业与规模以上企业双向转化，提升规模以上工业企业研发机构和研发活动覆盖面，鼓励企业普遍建立研发准备金制度。推动</w:t>
      </w:r>
      <w:r>
        <w:rPr>
          <w:rFonts w:hint="eastAsia" w:cstheme="minorBidi"/>
          <w:szCs w:val="21"/>
          <w14:ligatures w14:val="standardContextual"/>
        </w:rPr>
        <w:t>在永</w:t>
      </w:r>
      <w:r>
        <w:rPr>
          <w:rFonts w:cstheme="minorBidi"/>
          <w:szCs w:val="21"/>
          <w14:ligatures w14:val="standardContextual"/>
        </w:rPr>
        <w:t>高校和科研院所进一步优化研发经费配置结构，加强有组织科研，</w:t>
      </w:r>
      <w:r>
        <w:rPr>
          <w:rFonts w:hint="eastAsia" w:cstheme="minorBidi"/>
          <w:szCs w:val="21"/>
          <w14:ligatures w14:val="standardContextual"/>
        </w:rPr>
        <w:t>鼓励有条件的</w:t>
      </w:r>
      <w:r>
        <w:rPr>
          <w:rFonts w:ascii="仿宋_GB2312" w:cstheme="minorBidi"/>
          <w:szCs w:val="21"/>
          <w14:ligatures w14:val="standardContextual"/>
        </w:rPr>
        <w:t>地方、企业、社会组织、个人支持基础研究</w:t>
      </w:r>
      <w:r>
        <w:rPr>
          <w:rFonts w:hint="eastAsia" w:cstheme="minorBidi"/>
          <w:szCs w:val="21"/>
          <w14:ligatures w14:val="standardContextual"/>
        </w:rPr>
        <w:t>，</w:t>
      </w:r>
      <w:r>
        <w:rPr>
          <w:rFonts w:cstheme="minorBidi"/>
          <w:szCs w:val="21"/>
          <w14:ligatures w14:val="standardContextual"/>
        </w:rPr>
        <w:t>稳步提高我市基础研究占研发支出的比重，力争到2030年，基础研究经费占全社会研发经费的比重稳定在2%以上。发挥政府引导作用，稳步提升地方财政科技支出占比，落实企业研发费用加计扣除、高新技术企业所得税减免</w:t>
      </w:r>
      <w:r>
        <w:rPr>
          <w:rFonts w:hint="eastAsia" w:ascii="仿宋_GB2312" w:cstheme="minorBidi"/>
          <w:szCs w:val="21"/>
          <w14:ligatures w14:val="standardContextual"/>
        </w:rPr>
        <w:t>、技术交易税收优惠、研发投入奖补等政策。健全科技创新投入机制，探索“前支持、后补助”“产业基金</w:t>
      </w:r>
      <w:r>
        <w:rPr>
          <w:rFonts w:hint="eastAsia" w:cstheme="minorBidi"/>
          <w:szCs w:val="21"/>
          <w14:ligatures w14:val="standardContextual"/>
        </w:rPr>
        <w:t>+</w:t>
      </w:r>
      <w:r>
        <w:rPr>
          <w:rFonts w:hint="eastAsia" w:ascii="仿宋_GB2312" w:cstheme="minorBidi"/>
          <w:szCs w:val="21"/>
          <w14:ligatures w14:val="standardContextual"/>
        </w:rPr>
        <w:t>科研经费”投入模式。</w:t>
      </w:r>
    </w:p>
    <w:p w14:paraId="51D2AA98">
      <w:pPr>
        <w:pStyle w:val="6"/>
        <w:spacing w:before="435" w:after="217"/>
      </w:pPr>
      <w:bookmarkStart w:id="63" w:name="_Toc232094389"/>
      <w:r>
        <w:rPr>
          <w:rFonts w:hint="eastAsia"/>
        </w:rPr>
        <w:t>推动科技创新和产业创新深度融合</w:t>
      </w:r>
      <w:bookmarkEnd w:id="63"/>
    </w:p>
    <w:p w14:paraId="19E7677B">
      <w:pPr>
        <w:spacing w:line="552" w:lineRule="exact"/>
        <w:ind w:firstLine="640"/>
      </w:pPr>
      <w:r>
        <w:rPr>
          <w:rFonts w:hint="eastAsia"/>
        </w:rPr>
        <w:t>瞄准产业技术变革方向，强化高质量科技供给，加快构建以企业为主体的科技创新体系，推动科技成果高效转化运用，全力打通从科技强到企业强、产业强、经济强的通道。</w:t>
      </w:r>
    </w:p>
    <w:p w14:paraId="5D79A07D">
      <w:pPr>
        <w:pStyle w:val="7"/>
        <w:spacing w:before="217" w:after="217" w:line="552" w:lineRule="exact"/>
        <w:rPr>
          <w:b w:val="0"/>
        </w:rPr>
      </w:pPr>
      <w:r>
        <w:rPr>
          <w:rFonts w:hint="eastAsia"/>
        </w:rPr>
        <w:t>第一节 持续增加高质量科技供给</w:t>
      </w:r>
    </w:p>
    <w:p w14:paraId="1E0ECE34">
      <w:pPr>
        <w:spacing w:line="552" w:lineRule="exact"/>
        <w:ind w:firstLine="640"/>
      </w:pPr>
      <w:r>
        <w:rPr>
          <w:rFonts w:hint="eastAsia"/>
        </w:rPr>
        <w:t>依托湖南科技学院建设潇湘科创院，推动高校科教智力资源与市场创新资源紧密结合，打造集创新全链条功能于一体的科技创新核心引擎。积极对接中国科学院、中国工程院、中国农科院及国内外知名高校，争取在永布局院士工作站或专项实验室，聚焦永州特色产业领域开展前沿技术研究。以永州国家农业科技园为引领，建设湖南省出口蔬菜智慧农业科技园。对接融入省“四大实验室”，在永布局一批分中心或分实验室。主动链接长沙全球研发中心城市，建设湘江科学城永州科创飞地，吸引承接长沙在先进制造、新材料等领域的科创资源。持续对接粤港澳科技创新走廊，建设粤港澳大湾区永州科创飞地，承接粤港澳大湾区产业与技术外溢。积极对接中国—东盟技术转移中心，建设湖南（永州）—东盟技术转移中心。</w:t>
      </w:r>
    </w:p>
    <w:p w14:paraId="39095EDB">
      <w:pPr>
        <w:pStyle w:val="7"/>
        <w:spacing w:before="217" w:after="217" w:line="552" w:lineRule="exact"/>
        <w:rPr>
          <w:b w:val="0"/>
        </w:rPr>
      </w:pPr>
      <w:r>
        <w:rPr>
          <w:rFonts w:hint="eastAsia"/>
        </w:rPr>
        <w:t>第二节 强化企业科技创新主体地位</w:t>
      </w:r>
    </w:p>
    <w:p w14:paraId="3788D9B7">
      <w:pPr>
        <w:spacing w:line="552" w:lineRule="exact"/>
        <w:ind w:firstLine="640"/>
      </w:pPr>
      <w:r>
        <w:rPr>
          <w:rFonts w:hint="eastAsia"/>
        </w:rPr>
        <w:t>加强以企业为主导的产学研深度融合，推行“企业出题、高校解题”结对创新模式。鼓励大企业向中小企业开放平台、数据、技术等资源和应用场景，开辟大企业“发榜”和中小企业“揭榜”融通创新通道。推动创新资源要素向企业流动聚集，</w:t>
      </w:r>
      <w:r>
        <w:rPr>
          <w:color w:val="000000" w:themeColor="text1"/>
          <w14:textFill>
            <w14:solidFill>
              <w14:schemeClr w14:val="tx1"/>
            </w14:solidFill>
          </w14:textFill>
        </w:rPr>
        <w:t>提高企业在科技创新决策中的参与度</w:t>
      </w:r>
      <w:r>
        <w:rPr>
          <w:rFonts w:hint="eastAsia"/>
          <w:color w:val="000000" w:themeColor="text1"/>
          <w14:textFill>
            <w14:solidFill>
              <w14:schemeClr w14:val="tx1"/>
            </w14:solidFill>
          </w14:textFill>
        </w:rPr>
        <w:t>，</w:t>
      </w:r>
      <w:r>
        <w:rPr>
          <w:rFonts w:hint="eastAsia"/>
        </w:rPr>
        <w:t>支持企业参与国家和省级重大科技创新项目，</w:t>
      </w:r>
      <w:r>
        <w:rPr>
          <w:color w:val="000000" w:themeColor="text1"/>
          <w14:textFill>
            <w14:solidFill>
              <w14:schemeClr w14:val="tx1"/>
            </w14:solidFill>
          </w14:textFill>
        </w:rPr>
        <w:t>赋予企业</w:t>
      </w:r>
      <w:r>
        <w:rPr>
          <w:rFonts w:hint="eastAsia"/>
          <w:color w:val="000000" w:themeColor="text1"/>
          <w14:textFill>
            <w14:solidFill>
              <w14:schemeClr w14:val="tx1"/>
            </w14:solidFill>
          </w14:textFill>
        </w:rPr>
        <w:t>科研项目实施</w:t>
      </w:r>
      <w:r>
        <w:rPr>
          <w:color w:val="000000" w:themeColor="text1"/>
          <w14:textFill>
            <w14:solidFill>
              <w14:schemeClr w14:val="tx1"/>
            </w14:solidFill>
          </w14:textFill>
        </w:rPr>
        <w:t>更大</w:t>
      </w:r>
      <w:r>
        <w:rPr>
          <w:rFonts w:hint="eastAsia"/>
          <w:color w:val="000000" w:themeColor="text1"/>
          <w14:textFill>
            <w14:solidFill>
              <w14:schemeClr w14:val="tx1"/>
            </w14:solidFill>
          </w14:textFill>
        </w:rPr>
        <w:t>自主权</w:t>
      </w:r>
      <w:r>
        <w:rPr>
          <w:rFonts w:hint="eastAsia"/>
        </w:rPr>
        <w:t>。构建科技金融服务体系，推动科技信贷、保险、担保等产品创新，引导金融“活水”精准流向并有力支撑企业科技创新，</w:t>
      </w:r>
      <w:r>
        <w:t>完善长期资本投早、投小、投长期、投硬科技支持政策</w:t>
      </w:r>
      <w:r>
        <w:rPr>
          <w:rFonts w:hint="eastAsia"/>
        </w:rPr>
        <w:t>。探索对重大科技成果转化项目、科技领军企业培育实行“拨投结合”等新型支持机制。聚焦永州重点产业发展需求，建立健全分层次、全周期的科技企业培育库，系统构建创新型企业集群。到2030年，全市科技型中小企业超过3500家，高新技术企业突破750家，科技领军企业实现零的突破。</w:t>
      </w:r>
    </w:p>
    <w:p w14:paraId="18151960">
      <w:pPr>
        <w:pStyle w:val="7"/>
        <w:spacing w:before="217" w:after="217" w:line="552" w:lineRule="exact"/>
        <w:rPr>
          <w:b w:val="0"/>
        </w:rPr>
      </w:pPr>
      <w:r>
        <w:rPr>
          <w:rFonts w:hint="eastAsia"/>
        </w:rPr>
        <w:t>第三节 推动科技成果转移转化</w:t>
      </w:r>
    </w:p>
    <w:p w14:paraId="7C7B2DD2">
      <w:pPr>
        <w:spacing w:line="552" w:lineRule="exact"/>
        <w:ind w:firstLine="640"/>
      </w:pPr>
      <w:r>
        <w:rPr>
          <w:rFonts w:hint="eastAsia"/>
        </w:rPr>
        <w:t>加强科技成果转化体系建设，完善政策支持和市场服务。健全企业技术需求库、高校待转成果库和校企供需对接平台，常态化开展“双高”对接、校企合作“双进双转”及科技成果路演等活动。优化技术交易服务网络，支持科技成果进场交易平台建设，创建一批省级技术转移示范机构，加强技术合同登记服务，推动行业共性技术转移扩散，推动省内外高校先进科技成果在永加速转化应用。大力促进单相罩极电机（含贯流风机）、车用抗冲击高阻燃纳米复合材料等自主攻关技术的推广应用与迭代升级，积极推动脑机接口、智能神经调控机器人等产业关键技术转化突破，推动更多科技成果从样品走向产品、形成产业。建立市级技术转移人才库，深化与粤港澳大湾区技术经理人团队的合作。力争到2030年，全市技术合同成交额占GDP比重达9%。</w:t>
      </w:r>
    </w:p>
    <w:p w14:paraId="1C99C91A">
      <w:pPr>
        <w:pStyle w:val="6"/>
        <w:spacing w:before="435" w:after="217"/>
      </w:pPr>
      <w:bookmarkStart w:id="64" w:name="_Toc232094390"/>
      <w:r>
        <w:rPr>
          <w:rFonts w:hint="eastAsia"/>
        </w:rPr>
        <w:t>推进教育科技人才一体发展</w:t>
      </w:r>
      <w:bookmarkEnd w:id="64"/>
    </w:p>
    <w:p w14:paraId="52C4AF01">
      <w:pPr>
        <w:spacing w:line="552" w:lineRule="exact"/>
        <w:ind w:firstLine="640"/>
        <w:rPr>
          <w:szCs w:val="32"/>
        </w:rPr>
      </w:pPr>
      <w:r>
        <w:rPr>
          <w:rFonts w:hint="eastAsia"/>
          <w:szCs w:val="32"/>
        </w:rPr>
        <w:t>整体谋划、系统布局教育强市、科技强市、人才强市建设，加快引进培养产业发展急需的高水平创新人才，实施更加开放的人才政策，推动教育科技人才一体改革，激活创新创造活力，形成“教育培养人才、人才驱动创新、创新反哺教育”的良性循环。</w:t>
      </w:r>
    </w:p>
    <w:p w14:paraId="5E7A9AEB">
      <w:pPr>
        <w:pStyle w:val="7"/>
        <w:spacing w:before="217" w:after="217" w:line="552" w:lineRule="exact"/>
        <w:rPr>
          <w:b w:val="0"/>
        </w:rPr>
      </w:pPr>
      <w:r>
        <w:rPr>
          <w:rFonts w:hint="eastAsia"/>
        </w:rPr>
        <w:t>第一节 紧扣产业链与创新链布局人才链</w:t>
      </w:r>
    </w:p>
    <w:p w14:paraId="2096163F">
      <w:pPr>
        <w:adjustRightInd w:val="0"/>
        <w:snapToGrid w:val="0"/>
        <w:spacing w:line="552" w:lineRule="exact"/>
        <w:ind w:firstLine="640"/>
      </w:pPr>
      <w:r>
        <w:rPr>
          <w:rFonts w:hint="eastAsia" w:cs="Times New Roman"/>
          <w:szCs w:val="20"/>
          <w14:ligatures w14:val="none"/>
        </w:rPr>
        <w:t>聚焦重点产业发展需要精准引才聚才，健全多元化人才招引机制，同步推进招商引资和招才引智，鼓励企业设置关键核心技术特色岗位，通过校企“联引共用”模式，引进急需紧缺的“高精尖”人才。持续推动“湘智兴湘”“校友回永”，引进一批“三尖人才”“湘智人才”。建立完善永州籍在外科技专家信息库，开展永州籍院士“一对一”服务，培育一批院士工作站、专家工作站、博士创新站、技能大师工作室、劳模和工匠人才创新工作室等科技创新和人才发展平台。</w:t>
      </w:r>
    </w:p>
    <w:p w14:paraId="38E01F71">
      <w:pPr>
        <w:pStyle w:val="7"/>
        <w:spacing w:before="217" w:after="217" w:line="552" w:lineRule="exact"/>
        <w:rPr>
          <w:b w:val="0"/>
        </w:rPr>
      </w:pPr>
      <w:r>
        <w:rPr>
          <w:rFonts w:hint="eastAsia"/>
        </w:rPr>
        <w:t>第二节 扎实推进科教融汇和产教融合</w:t>
      </w:r>
    </w:p>
    <w:p w14:paraId="09230081">
      <w:pPr>
        <w:adjustRightInd w:val="0"/>
        <w:snapToGrid w:val="0"/>
        <w:spacing w:line="552" w:lineRule="exact"/>
        <w:ind w:firstLine="640"/>
        <w:rPr>
          <w:rFonts w:hAnsi="Calibri" w:cs="仿宋_GB2312"/>
          <w:szCs w:val="20"/>
          <w14:ligatures w14:val="none"/>
        </w:rPr>
      </w:pPr>
      <w:r>
        <w:rPr>
          <w:rFonts w:hint="eastAsia" w:hAnsi="Calibri" w:cs="仿宋_GB2312"/>
          <w:szCs w:val="20"/>
          <w14:ligatures w14:val="none"/>
        </w:rPr>
        <w:t>优化科教协同育人体系，完善拔尖创新人才早期识别和贯通培养机制，开展“沃土计划”和“脱颖计划”，深入实施“小荷”人才专项支持计划。紧扣永州现代化产业体系发展需求，引导在永高校职校优化学科专业布局，建立一批现代产业学院、未来技术学院、工匠学院，探索构建政府、高校、企业等多主体参与的高校学科专业建设质量评价体系。推动政校企协同育才，加大产业重点领域本土拔尖创新人才培养力度，完善产教融合办学机制，鼓励龙头企业与高校联合设立专业、共同制定人才培养方案、共建实训基地，开展“订单式”培养，打造一批“永州工匠”。加强科学技术普及推广，培育创新文化，弘扬科学家精神。</w:t>
      </w:r>
      <w:r>
        <w:rPr>
          <w:rFonts w:hAnsi="Calibri" w:cs="仿宋_GB2312"/>
          <w:szCs w:val="20"/>
          <w14:ligatures w14:val="none"/>
        </w:rPr>
        <w:t>加强科技法治、伦理、诚信、安全建设。</w:t>
      </w:r>
    </w:p>
    <w:p w14:paraId="1ED70F29">
      <w:pPr>
        <w:spacing w:before="217" w:beforeLines="50" w:after="217" w:afterLines="50" w:line="552"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深化教育科技人才一体改革</w:t>
      </w:r>
    </w:p>
    <w:p w14:paraId="3B6D5782">
      <w:pPr>
        <w:adjustRightInd w:val="0"/>
        <w:snapToGrid w:val="0"/>
        <w:spacing w:line="552" w:lineRule="exact"/>
        <w:ind w:firstLine="640"/>
        <w:rPr>
          <w:szCs w:val="22"/>
        </w:rPr>
      </w:pPr>
      <w:r>
        <w:rPr>
          <w:rFonts w:hint="eastAsia" w:cs="仿宋_GB2312"/>
          <w:szCs w:val="22"/>
        </w:rPr>
        <w:t>建立健全教育科技人才一体推进协调机制，</w:t>
      </w:r>
      <w:r>
        <w:rPr>
          <w:rFonts w:cs="仿宋_GB2312"/>
          <w:szCs w:val="22"/>
        </w:rPr>
        <w:t>加强战略目标有机衔接、战略任务一体部署、政策措施协调发力、资源要素统筹配置，推动教育科技人才平台基地协同布局</w:t>
      </w:r>
      <w:r>
        <w:rPr>
          <w:rFonts w:hint="eastAsia" w:cs="仿宋_GB2312"/>
          <w:szCs w:val="22"/>
        </w:rPr>
        <w:t>。深化人才评价机制改革，着力构建以创新能力、质量、实效、贡献为导向的人才评价制度。深化人才收入分配和激励机制改革，创新职务科技成果赋权机制，建立职务科技成果资产单列管理制度，支持在高校、科研院所开展职务科技成果转化股权和分红激励试点，鼓励和引导高校、科研院所按照“先使用后付费”等方式将科技成果许可给中小企业使用。深化科技型企业知识价值信用贷款风险补偿改革，加大对科技型中小企业的精准支持力度，探索建立科技创新风险分散机制，推动风险补偿资金池扩容。完善人才交流机制，畅通高校、科研院所、企业人才交流通道。健全高层次人才、</w:t>
      </w:r>
      <w:r>
        <w:rPr>
          <w:rFonts w:cs="仿宋_GB2312"/>
          <w:szCs w:val="22"/>
        </w:rPr>
        <w:t>海外引进人才</w:t>
      </w:r>
      <w:r>
        <w:rPr>
          <w:rFonts w:hint="eastAsia" w:cs="仿宋_GB2312"/>
          <w:szCs w:val="22"/>
        </w:rPr>
        <w:t>服务保障机制。</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0EB9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6CC2F83B">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7</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战略人才引育行动</w:t>
            </w:r>
          </w:p>
        </w:tc>
      </w:tr>
      <w:tr w14:paraId="6135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0BC9AD62">
            <w:pPr>
              <w:spacing w:line="440" w:lineRule="exact"/>
              <w:ind w:firstLine="482"/>
              <w:rPr>
                <w:bCs/>
                <w:sz w:val="24"/>
              </w:rPr>
            </w:pPr>
            <w:r>
              <w:rPr>
                <w:rFonts w:hint="eastAsia"/>
                <w:b/>
                <w:bCs/>
                <w:sz w:val="24"/>
              </w:rPr>
              <w:t>集聚领军人才与创新团队。</w:t>
            </w:r>
            <w:r>
              <w:rPr>
                <w:rFonts w:hint="eastAsia"/>
                <w:bCs/>
                <w:sz w:val="24"/>
              </w:rPr>
              <w:t>聚焦重大战略、重点产业、重点民生需求，集聚一批国内外院士专家、高层次领军人才、战略科技人才。引进一批科技创新创业团队，牵头承担重大科研任务，开展关键技术攻关。到2030年，入选认定省级科技领军人才10—15人、科技创新人才团队5—10个、“湘智”人才50人，新聘用外国高端人才和专业人才50人。</w:t>
            </w:r>
          </w:p>
          <w:p w14:paraId="530D39E7">
            <w:pPr>
              <w:spacing w:line="440" w:lineRule="exact"/>
              <w:ind w:firstLine="482"/>
              <w:rPr>
                <w:bCs/>
                <w:sz w:val="24"/>
              </w:rPr>
            </w:pPr>
            <w:r>
              <w:rPr>
                <w:rFonts w:hint="eastAsia"/>
                <w:b/>
                <w:bCs/>
                <w:sz w:val="24"/>
              </w:rPr>
              <w:t>引育重点产业急需紧缺人才。</w:t>
            </w:r>
            <w:r>
              <w:rPr>
                <w:rFonts w:hint="eastAsia"/>
                <w:bCs/>
                <w:sz w:val="24"/>
              </w:rPr>
              <w:t>精准引育一批产业发展及前沿攻关急需紧缺高层次专业人才。依托永州职业技术学院、湖南潇湘技师学院等本土院校开设“定向班”，培养高素质产业技术人才。加强与粤港澳大湾区、长株潭等区域创新高地人才交流，靶向引进高端产业人才。“十五五”期间，引进高层次产业人才1000人以上，培养产业技术工人5000人以上。</w:t>
            </w:r>
          </w:p>
          <w:p w14:paraId="3D7340B0">
            <w:pPr>
              <w:spacing w:line="440" w:lineRule="exact"/>
              <w:ind w:firstLine="482"/>
              <w:rPr>
                <w:bCs/>
                <w:sz w:val="24"/>
              </w:rPr>
            </w:pPr>
            <w:r>
              <w:rPr>
                <w:rFonts w:hint="eastAsia"/>
                <w:b/>
                <w:bCs/>
                <w:sz w:val="24"/>
              </w:rPr>
              <w:t>培育锻造高技能人才。</w:t>
            </w:r>
            <w:r>
              <w:rPr>
                <w:rFonts w:hint="eastAsia"/>
                <w:bCs/>
                <w:sz w:val="24"/>
              </w:rPr>
              <w:t>提升技工院校、工匠学院高技能人才培训能力。完善高技能人才培养评价机制。打造以赛选才新模式。“十五五”期间，开展补贴性技能培训3万人次以上，评价高技能人才4000人以上。</w:t>
            </w:r>
          </w:p>
          <w:p w14:paraId="09857DC0">
            <w:pPr>
              <w:spacing w:line="440" w:lineRule="exact"/>
              <w:ind w:firstLine="482"/>
              <w:rPr>
                <w:bCs/>
                <w:sz w:val="24"/>
              </w:rPr>
            </w:pPr>
            <w:r>
              <w:rPr>
                <w:rFonts w:hint="eastAsia"/>
                <w:b/>
                <w:bCs/>
                <w:sz w:val="24"/>
              </w:rPr>
              <w:t>吸引青年人才留永回永来永发展。</w:t>
            </w:r>
            <w:r>
              <w:rPr>
                <w:rFonts w:hint="eastAsia"/>
                <w:bCs/>
                <w:sz w:val="24"/>
              </w:rPr>
              <w:t>常态化开展“智汇潇湘·才聚永州”招才引智活动，完善青年人才留永回永支持措施。“十五五”期间，集聚高层次青年人才50000人以上。</w:t>
            </w:r>
          </w:p>
        </w:tc>
      </w:tr>
    </w:tbl>
    <w:p w14:paraId="6D960153">
      <w:pPr>
        <w:widowControl/>
        <w:spacing w:line="240" w:lineRule="auto"/>
        <w:ind w:firstLine="0" w:firstLineChars="0"/>
        <w:jc w:val="left"/>
      </w:pPr>
      <w:r>
        <w:br w:type="page"/>
      </w:r>
    </w:p>
    <w:bookmarkEnd w:id="57"/>
    <w:p w14:paraId="2EBDAF3C">
      <w:pPr>
        <w:pStyle w:val="5"/>
        <w:rPr>
          <w:spacing w:val="-11"/>
        </w:rPr>
      </w:pPr>
      <w:bookmarkStart w:id="65" w:name="_Toc216869262"/>
      <w:bookmarkEnd w:id="65"/>
      <w:bookmarkStart w:id="66" w:name="_Toc216869261"/>
      <w:bookmarkEnd w:id="66"/>
      <w:bookmarkStart w:id="67" w:name="_Toc216803054"/>
      <w:bookmarkEnd w:id="67"/>
      <w:bookmarkStart w:id="68" w:name="_Toc216830635"/>
      <w:bookmarkEnd w:id="68"/>
      <w:bookmarkStart w:id="69" w:name="_Toc216806567"/>
      <w:bookmarkEnd w:id="69"/>
      <w:bookmarkStart w:id="70" w:name="_Toc216814601"/>
      <w:bookmarkEnd w:id="70"/>
      <w:bookmarkStart w:id="71" w:name="_Toc216806563"/>
      <w:bookmarkEnd w:id="71"/>
      <w:bookmarkStart w:id="72" w:name="_Toc216806565"/>
      <w:bookmarkEnd w:id="72"/>
      <w:bookmarkStart w:id="73" w:name="_Toc216803046"/>
      <w:bookmarkEnd w:id="73"/>
      <w:bookmarkStart w:id="74" w:name="_Toc216806562"/>
      <w:bookmarkEnd w:id="74"/>
      <w:bookmarkStart w:id="75" w:name="_Toc216803055"/>
      <w:bookmarkEnd w:id="75"/>
      <w:bookmarkStart w:id="76" w:name="_Toc216803045"/>
      <w:bookmarkEnd w:id="76"/>
      <w:bookmarkStart w:id="77" w:name="_Toc216814609"/>
      <w:bookmarkEnd w:id="77"/>
      <w:bookmarkStart w:id="78" w:name="_Toc216830636"/>
      <w:bookmarkEnd w:id="78"/>
      <w:bookmarkStart w:id="79" w:name="_Toc216869263"/>
      <w:bookmarkEnd w:id="79"/>
      <w:bookmarkStart w:id="80" w:name="_Toc216803051"/>
      <w:bookmarkEnd w:id="80"/>
      <w:bookmarkStart w:id="81" w:name="_Toc216814598"/>
      <w:bookmarkEnd w:id="81"/>
      <w:bookmarkStart w:id="82" w:name="_Toc216806573"/>
      <w:bookmarkEnd w:id="82"/>
      <w:bookmarkStart w:id="83" w:name="_Toc216814599"/>
      <w:bookmarkEnd w:id="83"/>
      <w:bookmarkStart w:id="84" w:name="_Toc216803066"/>
      <w:bookmarkEnd w:id="84"/>
      <w:bookmarkStart w:id="85" w:name="_Toc216806575"/>
      <w:bookmarkEnd w:id="85"/>
      <w:bookmarkStart w:id="86" w:name="_Toc216869269"/>
      <w:bookmarkEnd w:id="86"/>
      <w:bookmarkStart w:id="87" w:name="_Toc216806566"/>
      <w:bookmarkEnd w:id="87"/>
      <w:bookmarkStart w:id="88" w:name="_Toc216830639"/>
      <w:bookmarkEnd w:id="88"/>
      <w:bookmarkStart w:id="89" w:name="_Toc216806561"/>
      <w:bookmarkEnd w:id="89"/>
      <w:bookmarkStart w:id="90" w:name="_Toc216806569"/>
      <w:bookmarkEnd w:id="90"/>
      <w:bookmarkStart w:id="91" w:name="_Toc216869285"/>
      <w:bookmarkEnd w:id="91"/>
      <w:bookmarkStart w:id="92" w:name="_Toc216830641"/>
      <w:bookmarkEnd w:id="92"/>
      <w:bookmarkStart w:id="93" w:name="_Toc216830637"/>
      <w:bookmarkEnd w:id="93"/>
      <w:bookmarkStart w:id="94" w:name="_Toc216803056"/>
      <w:bookmarkEnd w:id="94"/>
      <w:bookmarkStart w:id="95" w:name="_Toc216830640"/>
      <w:bookmarkEnd w:id="95"/>
      <w:bookmarkStart w:id="96" w:name="_Toc216869264"/>
      <w:bookmarkEnd w:id="96"/>
      <w:bookmarkStart w:id="97" w:name="_Toc216830661"/>
      <w:bookmarkEnd w:id="97"/>
      <w:bookmarkStart w:id="98" w:name="_Toc216803044"/>
      <w:bookmarkEnd w:id="98"/>
      <w:bookmarkStart w:id="99" w:name="_Toc216830658"/>
      <w:bookmarkEnd w:id="99"/>
      <w:bookmarkStart w:id="100" w:name="_Toc216830659"/>
      <w:bookmarkEnd w:id="100"/>
      <w:bookmarkStart w:id="101" w:name="_Toc216869272"/>
      <w:bookmarkEnd w:id="101"/>
      <w:bookmarkStart w:id="102" w:name="_Toc216830647"/>
      <w:bookmarkEnd w:id="102"/>
      <w:bookmarkStart w:id="103" w:name="_Toc216806568"/>
      <w:bookmarkEnd w:id="103"/>
      <w:bookmarkStart w:id="104" w:name="_Toc216806564"/>
      <w:bookmarkEnd w:id="104"/>
      <w:bookmarkStart w:id="105" w:name="_Toc216830643"/>
      <w:bookmarkEnd w:id="105"/>
      <w:bookmarkStart w:id="106" w:name="_Toc216869282"/>
      <w:bookmarkEnd w:id="106"/>
      <w:bookmarkStart w:id="107" w:name="_Toc216830642"/>
      <w:bookmarkEnd w:id="107"/>
      <w:bookmarkStart w:id="108" w:name="_Toc216803049"/>
      <w:bookmarkEnd w:id="108"/>
      <w:bookmarkStart w:id="109" w:name="_Toc216814600"/>
      <w:bookmarkEnd w:id="109"/>
      <w:bookmarkStart w:id="110" w:name="_Toc216814602"/>
      <w:bookmarkEnd w:id="110"/>
      <w:bookmarkStart w:id="111" w:name="_Toc216830646"/>
      <w:bookmarkEnd w:id="111"/>
      <w:bookmarkStart w:id="112" w:name="_Toc216803047"/>
      <w:bookmarkEnd w:id="112"/>
      <w:bookmarkStart w:id="113" w:name="_Toc216806574"/>
      <w:bookmarkEnd w:id="113"/>
      <w:bookmarkStart w:id="114" w:name="_Toc216803057"/>
      <w:bookmarkEnd w:id="114"/>
      <w:bookmarkStart w:id="115" w:name="_Toc216869286"/>
      <w:bookmarkEnd w:id="115"/>
      <w:bookmarkStart w:id="116" w:name="_Toc216830657"/>
      <w:bookmarkEnd w:id="116"/>
      <w:bookmarkStart w:id="117" w:name="_Toc216814626"/>
      <w:bookmarkEnd w:id="117"/>
      <w:bookmarkStart w:id="118" w:name="_Toc216869274"/>
      <w:bookmarkEnd w:id="118"/>
      <w:bookmarkStart w:id="119" w:name="_Toc216814624"/>
      <w:bookmarkEnd w:id="119"/>
      <w:bookmarkStart w:id="120" w:name="_Toc216814611"/>
      <w:bookmarkEnd w:id="120"/>
      <w:bookmarkStart w:id="121" w:name="_Toc216869284"/>
      <w:bookmarkEnd w:id="121"/>
      <w:bookmarkStart w:id="122" w:name="_Toc216803048"/>
      <w:bookmarkEnd w:id="122"/>
      <w:bookmarkStart w:id="123" w:name="_Toc216806587"/>
      <w:bookmarkEnd w:id="123"/>
      <w:bookmarkStart w:id="124" w:name="_Toc216830656"/>
      <w:bookmarkEnd w:id="124"/>
      <w:bookmarkStart w:id="125" w:name="_Toc216869267"/>
      <w:bookmarkEnd w:id="125"/>
      <w:bookmarkStart w:id="126" w:name="_Toc216814622"/>
      <w:bookmarkEnd w:id="126"/>
      <w:bookmarkStart w:id="127" w:name="_Toc216814612"/>
      <w:bookmarkEnd w:id="127"/>
      <w:bookmarkStart w:id="128" w:name="_Toc216806584"/>
      <w:bookmarkEnd w:id="128"/>
      <w:bookmarkStart w:id="129" w:name="_Toc216814604"/>
      <w:bookmarkEnd w:id="129"/>
      <w:bookmarkStart w:id="130" w:name="_Toc216869266"/>
      <w:bookmarkEnd w:id="130"/>
      <w:bookmarkStart w:id="131" w:name="_Toc216869275"/>
      <w:bookmarkEnd w:id="131"/>
      <w:bookmarkStart w:id="132" w:name="_Toc216869268"/>
      <w:bookmarkEnd w:id="132"/>
      <w:bookmarkStart w:id="133" w:name="_Toc216806583"/>
      <w:bookmarkEnd w:id="133"/>
      <w:bookmarkStart w:id="134" w:name="_Toc216814620"/>
      <w:bookmarkEnd w:id="134"/>
      <w:bookmarkStart w:id="135" w:name="_Toc216814605"/>
      <w:bookmarkEnd w:id="135"/>
      <w:bookmarkStart w:id="136" w:name="_Toc216803067"/>
      <w:bookmarkEnd w:id="136"/>
      <w:bookmarkStart w:id="137" w:name="_Toc216869273"/>
      <w:bookmarkEnd w:id="137"/>
      <w:bookmarkStart w:id="138" w:name="_Toc216803064"/>
      <w:bookmarkEnd w:id="138"/>
      <w:bookmarkStart w:id="139" w:name="_Toc216869283"/>
      <w:bookmarkEnd w:id="139"/>
      <w:bookmarkStart w:id="140" w:name="_Toc216830648"/>
      <w:bookmarkEnd w:id="140"/>
      <w:bookmarkStart w:id="141" w:name="_Toc216814610"/>
      <w:bookmarkEnd w:id="141"/>
      <w:bookmarkStart w:id="142" w:name="_Toc216814603"/>
      <w:bookmarkEnd w:id="142"/>
      <w:bookmarkStart w:id="143" w:name="_Toc216869265"/>
      <w:bookmarkEnd w:id="143"/>
      <w:bookmarkStart w:id="144" w:name="_Toc216814606"/>
      <w:bookmarkEnd w:id="144"/>
      <w:bookmarkStart w:id="145" w:name="_Toc216803050"/>
      <w:bookmarkEnd w:id="145"/>
      <w:bookmarkStart w:id="146" w:name="_Toc216814623"/>
      <w:bookmarkEnd w:id="146"/>
      <w:bookmarkStart w:id="147" w:name="_Toc216869290"/>
      <w:bookmarkEnd w:id="147"/>
      <w:bookmarkStart w:id="148" w:name="_Toc216806572"/>
      <w:bookmarkEnd w:id="148"/>
      <w:bookmarkStart w:id="149" w:name="_Toc216806586"/>
      <w:bookmarkEnd w:id="149"/>
      <w:bookmarkStart w:id="150" w:name="_Toc216830662"/>
      <w:bookmarkEnd w:id="150"/>
      <w:bookmarkStart w:id="151" w:name="_Toc216803068"/>
      <w:bookmarkEnd w:id="151"/>
      <w:bookmarkStart w:id="152" w:name="_Toc216803072"/>
      <w:bookmarkEnd w:id="152"/>
      <w:bookmarkStart w:id="153" w:name="_Toc216830663"/>
      <w:bookmarkEnd w:id="153"/>
      <w:bookmarkStart w:id="154" w:name="_Toc216806590"/>
      <w:bookmarkEnd w:id="154"/>
      <w:bookmarkStart w:id="155" w:name="_Toc216803069"/>
      <w:bookmarkEnd w:id="155"/>
      <w:bookmarkStart w:id="156" w:name="_Toc216806588"/>
      <w:bookmarkEnd w:id="156"/>
      <w:bookmarkStart w:id="157" w:name="_Toc216869287"/>
      <w:bookmarkEnd w:id="157"/>
      <w:bookmarkStart w:id="158" w:name="_Toc216869289"/>
      <w:bookmarkEnd w:id="158"/>
      <w:bookmarkStart w:id="159" w:name="_Toc216814619"/>
      <w:bookmarkEnd w:id="159"/>
      <w:bookmarkStart w:id="160" w:name="_Toc216830638"/>
      <w:bookmarkEnd w:id="160"/>
      <w:bookmarkStart w:id="161" w:name="_Toc216806585"/>
      <w:bookmarkEnd w:id="161"/>
      <w:bookmarkStart w:id="162" w:name="_Toc216806589"/>
      <w:bookmarkEnd w:id="162"/>
      <w:bookmarkStart w:id="163" w:name="_Toc216806582"/>
      <w:bookmarkEnd w:id="163"/>
      <w:bookmarkStart w:id="164" w:name="_Toc216803071"/>
      <w:bookmarkEnd w:id="164"/>
      <w:bookmarkStart w:id="165" w:name="_Toc216814625"/>
      <w:bookmarkEnd w:id="165"/>
      <w:bookmarkStart w:id="166" w:name="_Toc216869288"/>
      <w:bookmarkEnd w:id="166"/>
      <w:bookmarkStart w:id="167" w:name="_Toc216830664"/>
      <w:bookmarkEnd w:id="167"/>
      <w:bookmarkStart w:id="168" w:name="_Toc216830660"/>
      <w:bookmarkEnd w:id="168"/>
      <w:bookmarkStart w:id="169" w:name="_Toc216803070"/>
      <w:bookmarkEnd w:id="169"/>
      <w:bookmarkStart w:id="170" w:name="_Toc216830649"/>
      <w:bookmarkEnd w:id="170"/>
      <w:bookmarkStart w:id="171" w:name="_Toc216803065"/>
      <w:bookmarkEnd w:id="171"/>
      <w:bookmarkStart w:id="172" w:name="_Toc216814627"/>
      <w:bookmarkEnd w:id="172"/>
      <w:bookmarkStart w:id="173" w:name="_Toc216814621"/>
      <w:bookmarkEnd w:id="173"/>
      <w:bookmarkStart w:id="174" w:name="_Toc232094391"/>
      <w:bookmarkStart w:id="175" w:name="_Hlk215169356"/>
      <w:r>
        <w:rPr>
          <w:rFonts w:hint="eastAsia"/>
          <w:spacing w:val="-11"/>
        </w:rPr>
        <w:t>全面深化改革开放，全力支撑全省建设内陆地区改革开放高地</w:t>
      </w:r>
      <w:bookmarkEnd w:id="174"/>
    </w:p>
    <w:bookmarkEnd w:id="175"/>
    <w:p w14:paraId="3DF861CB">
      <w:pPr>
        <w:ind w:firstLine="640"/>
      </w:pPr>
      <w:bookmarkStart w:id="176" w:name="_Toc215270541"/>
      <w:bookmarkStart w:id="177" w:name="_Toc212282401"/>
    </w:p>
    <w:p w14:paraId="7CCC9025">
      <w:pPr>
        <w:spacing w:line="556" w:lineRule="exact"/>
        <w:ind w:firstLine="640"/>
      </w:pPr>
      <w:r>
        <w:rPr>
          <w:rFonts w:hint="eastAsia"/>
        </w:rPr>
        <w:t>充分发挥经济体制改革的牵引作用，进一步全面深化改革，推动重点领域改革系统集成、协同突破，纵深推进向南向海向外发展，全方位扩大对外开放，着力打造湘南改革开放桥头堡。</w:t>
      </w:r>
    </w:p>
    <w:p w14:paraId="4EC2CEC1">
      <w:pPr>
        <w:pStyle w:val="6"/>
        <w:spacing w:before="435" w:after="217"/>
      </w:pPr>
      <w:bookmarkStart w:id="178" w:name="_Toc232094392"/>
      <w:r>
        <w:rPr>
          <w:rFonts w:hint="eastAsia"/>
        </w:rPr>
        <w:t>全面深化改革</w:t>
      </w:r>
      <w:bookmarkEnd w:id="176"/>
      <w:bookmarkEnd w:id="178"/>
    </w:p>
    <w:p w14:paraId="2282B0EF">
      <w:pPr>
        <w:spacing w:line="556" w:lineRule="exact"/>
        <w:ind w:firstLine="640"/>
      </w:pPr>
      <w:r>
        <w:rPr>
          <w:rFonts w:hint="eastAsia"/>
        </w:rPr>
        <w:t>坚持问题导向，提升改革成色，聚焦制约高质量发展的卡点堵点，着力破解深层次体制机制障碍，统筹推进重点领域改革，不断增强发展内生动力。</w:t>
      </w:r>
    </w:p>
    <w:p w14:paraId="0ACA8D1B">
      <w:pPr>
        <w:pStyle w:val="7"/>
        <w:spacing w:before="217" w:after="217" w:line="556" w:lineRule="exact"/>
        <w:rPr>
          <w:b w:val="0"/>
        </w:rPr>
      </w:pPr>
      <w:r>
        <w:rPr>
          <w:rFonts w:hint="eastAsia"/>
        </w:rPr>
        <w:t>第一节 激发各类经营主体活力</w:t>
      </w:r>
    </w:p>
    <w:p w14:paraId="1793F4D7">
      <w:pPr>
        <w:ind w:firstLine="640"/>
      </w:pPr>
      <w:r>
        <w:rPr>
          <w:rFonts w:hint="eastAsia"/>
        </w:rPr>
        <w:t>促进民营经济发展壮大，</w:t>
      </w:r>
      <w:r>
        <w:rPr>
          <w:rFonts w:hint="eastAsia" w:hAnsi="仿宋"/>
        </w:rPr>
        <w:t>深入实施民营经济“六个一”行动。</w:t>
      </w:r>
      <w:r>
        <w:rPr>
          <w:rFonts w:hint="eastAsia"/>
        </w:rPr>
        <w:t>完善政企常态化沟通协商机制。依法保护民营企业和民营企业家合法权益，保障民营经济组织依法平等使用各类生产要素和公共服务资源。健全涉企收费长效监管机制，</w:t>
      </w:r>
      <w:r>
        <w:rPr>
          <w:rFonts w:hint="eastAsia" w:cs="仿宋_GB2312"/>
          <w:kern w:val="0"/>
        </w:rPr>
        <w:t>完善公平竞争审查机制和知识产权服务体系</w:t>
      </w:r>
      <w:r>
        <w:rPr>
          <w:rFonts w:hint="eastAsia"/>
        </w:rPr>
        <w:t>。</w:t>
      </w:r>
      <w:r>
        <w:rPr>
          <w:rFonts w:hint="eastAsia" w:hAnsi="仿宋"/>
        </w:rPr>
        <w:t>引导民营企业完善治理结构和管理制度。培育和弘扬企业家精神，激发民营经济发展活力。</w:t>
      </w:r>
      <w:r>
        <w:rPr>
          <w:rFonts w:hint="eastAsia"/>
        </w:rPr>
        <w:t>推进国有经济布局优化和结构调整，引导国资国企增强在能源、粮食、基础设施建设等战略安全领域“稳定器”“压舱石”功能，支持在现代服务业、数字经济、低空经济、大健康等新兴产业领域各有侧重布局。完善中国特色国有企业现代公司治理，构建国有企业新型经营责任制，健全国有企业主责主业动态管理机制，建立“一企一策”分类考核评价体系，完善市场化经营机制。支持国有资本和民营企业以市场化方式开展股权合作、战略协作和资源整合。到2030年，力争全市经营主体达55万户以上，其中企业13.2万户以上。</w:t>
      </w:r>
    </w:p>
    <w:p w14:paraId="2224A024">
      <w:pPr>
        <w:pStyle w:val="7"/>
        <w:spacing w:before="217" w:after="217" w:line="556" w:lineRule="exact"/>
        <w:rPr>
          <w:b w:val="0"/>
        </w:rPr>
      </w:pPr>
      <w:r>
        <w:rPr>
          <w:rFonts w:hint="eastAsia"/>
        </w:rPr>
        <w:t>第二节 完善要素市场化配置体制机制</w:t>
      </w:r>
    </w:p>
    <w:p w14:paraId="72205C38">
      <w:pPr>
        <w:ind w:firstLine="640"/>
      </w:pPr>
      <w:r>
        <w:rPr>
          <w:rFonts w:hint="eastAsia"/>
        </w:rPr>
        <w:t>完善生产要素流通规则，促进技术、土地、劳动力、数据、资本、资源环境六大要素资源跨区域、跨领域顺畅流动。深化公共资源交易平台整合共享，逐步覆盖适合以市场化方式配置的自然资源、资产股权等公共资源。</w:t>
      </w:r>
      <w:r>
        <w:t>完善技术要素向现实生产力转化机制，健全潇湘科技要素大市场交易</w:t>
      </w:r>
      <w:r>
        <w:rPr>
          <w:rFonts w:hint="eastAsia"/>
        </w:rPr>
        <w:t>功能</w:t>
      </w:r>
      <w:r>
        <w:t>。</w:t>
      </w:r>
      <w:r>
        <w:rPr>
          <w:rFonts w:hint="eastAsia" w:hAnsi="仿宋_GB2312" w:cs="仿宋_GB2312"/>
          <w:kern w:val="0"/>
          <w:shd w:val="clear" w:color="auto" w:fill="FFFFFF"/>
          <w:lang w:bidi="ar"/>
        </w:rPr>
        <w:t>健全建设用地“增存挂钩”机制，</w:t>
      </w:r>
      <w:r>
        <w:rPr>
          <w:rFonts w:hint="eastAsia"/>
        </w:rPr>
        <w:t>深化“多规合一”改革，探索建立混合产业用地土地用途灵活转换机制，推广长期租赁、先租后让、租让结合等供地模式。深化自然资源领域改革，</w:t>
      </w:r>
      <w:r>
        <w:rPr>
          <w:rFonts w:hint="eastAsia" w:ascii="仿宋_GB2312" w:hAnsi="仿宋_GB2312" w:cs="仿宋_GB2312"/>
          <w:bCs/>
          <w:kern w:val="0"/>
          <w:szCs w:val="22"/>
        </w:rPr>
        <w:t>落实湖南省用地用林用草融合审批改革，</w:t>
      </w:r>
      <w:r>
        <w:rPr>
          <w:rFonts w:hint="eastAsia" w:hAnsi="仿宋_GB2312" w:cs="仿宋_GB2312"/>
          <w:kern w:val="0"/>
          <w:shd w:val="clear" w:color="auto" w:fill="FFFFFF"/>
          <w:lang w:bidi="ar"/>
        </w:rPr>
        <w:t>推进省级特殊管控单元详细规划试点改革、</w:t>
      </w:r>
      <w:r>
        <w:rPr>
          <w:rFonts w:hint="eastAsia" w:ascii="仿宋_GB2312" w:hAnsi="仿宋_GB2312" w:cs="仿宋_GB2312"/>
          <w:bCs/>
          <w:kern w:val="0"/>
          <w:szCs w:val="22"/>
        </w:rPr>
        <w:t>汛旱并防与耕地置换协同机制改革</w:t>
      </w:r>
      <w:r>
        <w:t>。</w:t>
      </w:r>
      <w:r>
        <w:rPr>
          <w:rFonts w:hint="eastAsia" w:hAnsi="仿宋_GB2312" w:cs="仿宋_GB2312"/>
          <w:kern w:val="0"/>
          <w:shd w:val="clear" w:color="auto" w:fill="FFFFFF"/>
          <w:lang w:bidi="ar"/>
        </w:rPr>
        <w:t>健全生产要素由市场评价贡献、按贡献决定报酬的机制，完善现代化人力资源市场化服务体系。深化“数据要素×”行动，探索公共、企业、个人数据开发利用，打造多模态农业、工业、文化等永州特色数据集，建好用好永州数据要素服务中心，建立数据确权授权、流通交易、智慧应用、收益分配等机制，打造数智经济先锋市</w:t>
      </w:r>
      <w:r>
        <w:rPr>
          <w:rFonts w:hint="eastAsia"/>
        </w:rPr>
        <w:t>。</w:t>
      </w:r>
      <w:r>
        <w:rPr>
          <w:rFonts w:hint="eastAsia" w:ascii="仿宋_GB2312" w:hAnsi="仿宋_GB2312" w:cs="仿宋_GB2312"/>
        </w:rPr>
        <w:t>推动建立资本要素与土地、劳动力、技术等要素融合的市场化配置体制机制，完善银企对接机制。</w:t>
      </w:r>
      <w:r>
        <w:rPr>
          <w:rFonts w:hint="eastAsia"/>
        </w:rPr>
        <w:t>完善资源环境要素交易制度，建立健全用水权、排污权、碳排放权交易机制，推动</w:t>
      </w:r>
      <w:r>
        <w:rPr>
          <w:rFonts w:hint="eastAsia" w:hAnsi="仿宋_GB2312" w:cs="仿宋_GB2312"/>
          <w:kern w:val="0"/>
          <w:shd w:val="clear" w:color="auto" w:fill="FFFFFF"/>
          <w:lang w:bidi="ar"/>
        </w:rPr>
        <w:t>绿电交易和绿证交易。</w:t>
      </w:r>
      <w:r>
        <w:rPr>
          <w:rFonts w:hint="eastAsia"/>
        </w:rPr>
        <w:t>建立跨要素协同配置机制，强化新业态新领域和服务业要素保障，聚焦生命健康、新型能源、低空经济、现代种业等新业态新领域，推动生产要素创新性配置，促进要素向发展新质生产力集聚。</w:t>
      </w:r>
    </w:p>
    <w:p w14:paraId="5E7EB3B2">
      <w:pPr>
        <w:pStyle w:val="7"/>
        <w:spacing w:before="217" w:after="217" w:line="556" w:lineRule="exact"/>
        <w:rPr>
          <w:b w:val="0"/>
        </w:rPr>
      </w:pPr>
      <w:r>
        <w:rPr>
          <w:rFonts w:hint="eastAsia"/>
        </w:rPr>
        <w:t>第三节 完善经济治理体系建设</w:t>
      </w:r>
    </w:p>
    <w:p w14:paraId="3DC0AE79">
      <w:pPr>
        <w:ind w:firstLine="640"/>
        <w:rPr>
          <w:rFonts w:hint="eastAsia" w:ascii="仿宋_GB2312" w:hAnsi="仿宋_GB2312" w:cs="仿宋_GB2312"/>
        </w:rPr>
      </w:pPr>
      <w:r>
        <w:rPr>
          <w:rFonts w:hint="eastAsia"/>
        </w:rPr>
        <w:t>健全财税、金融、产业、科技、就业等政策协同发力的治理体系，完善宏观政策取向一致性评估机制。</w:t>
      </w:r>
      <w:r>
        <w:t>深化零基预算改革，</w:t>
      </w:r>
      <w:r>
        <w:rPr>
          <w:rFonts w:hint="eastAsia"/>
        </w:rPr>
        <w:t>加强综合预算管理，</w:t>
      </w:r>
      <w:r>
        <w:t>完善财政资金管理链条</w:t>
      </w:r>
      <w:r>
        <w:rPr>
          <w:rFonts w:hint="eastAsia"/>
        </w:rPr>
        <w:t>，</w:t>
      </w:r>
      <w:r>
        <w:rPr>
          <w:rFonts w:hint="eastAsia"/>
          <w:kern w:val="0"/>
          <w:lang w:bidi="ar"/>
        </w:rPr>
        <w:t>构建有保有压、突出重点的预算安排机制</w:t>
      </w:r>
      <w:r>
        <w:rPr>
          <w:rFonts w:hint="eastAsia"/>
        </w:rPr>
        <w:t>，</w:t>
      </w:r>
      <w:r>
        <w:t>强化重大战略任务和基本民生财力保障。</w:t>
      </w:r>
      <w:r>
        <w:rPr>
          <w:rFonts w:hint="eastAsia"/>
        </w:rPr>
        <w:t>推动</w:t>
      </w:r>
      <w:r>
        <w:t>财源建设提质攻坚</w:t>
      </w:r>
      <w:r>
        <w:rPr>
          <w:rFonts w:hint="eastAsia"/>
          <w:kern w:val="0"/>
          <w:lang w:bidi="ar"/>
        </w:rPr>
        <w:t>，培育重点产业税源</w:t>
      </w:r>
      <w:r>
        <w:t>。</w:t>
      </w:r>
      <w:r>
        <w:rPr>
          <w:rFonts w:hint="eastAsia" w:hAnsi="仿宋_GB2312" w:cs="仿宋_GB2312"/>
          <w:kern w:val="0"/>
          <w:shd w:val="clear" w:color="auto" w:fill="FFFFFF"/>
          <w:lang w:bidi="ar"/>
        </w:rPr>
        <w:t>优化完善“永州智慧国资”系统，</w:t>
      </w:r>
      <w:r>
        <w:rPr>
          <w:rFonts w:hint="eastAsia" w:hAnsi="仿宋_GB2312" w:cs="仿宋_GB2312"/>
        </w:rPr>
        <w:t>深化国有“三资”盘活利用，推动国有资源资产化、资产证券化、资金杠杆化</w:t>
      </w:r>
      <w:r>
        <w:rPr>
          <w:rFonts w:hint="eastAsia"/>
          <w:kern w:val="0"/>
          <w:lang w:bidi="ar"/>
        </w:rPr>
        <w:t>。</w:t>
      </w:r>
      <w:r>
        <w:t>落实消费税征收环节后移并下划地方、劳动性所得统一征税、水资源费改税等税制改革</w:t>
      </w:r>
      <w:r>
        <w:rPr>
          <w:rFonts w:hint="eastAsia"/>
        </w:rPr>
        <w:t>，</w:t>
      </w:r>
      <w:r>
        <w:t>完善重点领域风险防控和税费监管体制，规范非税收入管理。健全县级</w:t>
      </w:r>
      <w:r>
        <w:rPr>
          <w:rFonts w:hint="eastAsia"/>
        </w:rPr>
        <w:t>“</w:t>
      </w:r>
      <w:r>
        <w:t>三保</w:t>
      </w:r>
      <w:r>
        <w:rPr>
          <w:rFonts w:hint="eastAsia"/>
        </w:rPr>
        <w:t>”</w:t>
      </w:r>
      <w:r>
        <w:t>长效机制，完善市县财力同事权相匹配机制。</w:t>
      </w:r>
      <w:r>
        <w:rPr>
          <w:rFonts w:hint="eastAsia" w:ascii="仿宋_GB2312" w:hAnsi="仿宋_GB2312" w:cs="仿宋_GB2312"/>
        </w:rPr>
        <w:t>强化财政、货币、产业等政策协同，用好结构性货币政策工具，加大重点领域和薄弱环节支持。扎实做好金融“五篇大文章”，深入推进中小企业商业信用贷款价值试点，拓宽直接融资渠道，推动金融机构增加涉农、小微、民营等普惠领域贷款投放，构建多层次金融服务体系。</w:t>
      </w:r>
    </w:p>
    <w:p w14:paraId="23F226A2">
      <w:pPr>
        <w:pStyle w:val="6"/>
        <w:spacing w:before="435" w:after="217"/>
      </w:pPr>
      <w:bookmarkStart w:id="179" w:name="_Toc216563282"/>
      <w:bookmarkEnd w:id="179"/>
      <w:bookmarkStart w:id="180" w:name="_Toc216561727"/>
      <w:bookmarkEnd w:id="180"/>
      <w:bookmarkStart w:id="181" w:name="_Toc216563211"/>
      <w:bookmarkEnd w:id="181"/>
      <w:bookmarkStart w:id="182" w:name="_Toc216566170"/>
      <w:bookmarkEnd w:id="182"/>
      <w:bookmarkStart w:id="183" w:name="_Toc232094393"/>
      <w:bookmarkStart w:id="184" w:name="_Toc215438371"/>
      <w:r>
        <w:rPr>
          <w:rFonts w:hint="eastAsia"/>
        </w:rPr>
        <w:t>扩大高水平对外开放</w:t>
      </w:r>
      <w:bookmarkEnd w:id="183"/>
      <w:bookmarkEnd w:id="184"/>
    </w:p>
    <w:p w14:paraId="1BC0E40E">
      <w:pPr>
        <w:spacing w:line="556" w:lineRule="exact"/>
        <w:ind w:firstLine="640"/>
        <w:rPr>
          <w:rFonts w:cs="Times New Roman"/>
        </w:rPr>
      </w:pPr>
      <w:r>
        <w:rPr>
          <w:rFonts w:hint="eastAsia" w:cs="Times New Roman"/>
        </w:rPr>
        <w:t>坚持向南向海向外战略，高水平建设开放平台通道，畅通高质效内外循环，构建高协同开放生态，打造全方位、多层次、多元化开放合作新格局。</w:t>
      </w:r>
    </w:p>
    <w:p w14:paraId="51F9A056">
      <w:pPr>
        <w:pStyle w:val="7"/>
        <w:spacing w:before="217" w:after="217" w:line="556" w:lineRule="exact"/>
        <w:rPr>
          <w:b w:val="0"/>
        </w:rPr>
      </w:pPr>
      <w:r>
        <w:rPr>
          <w:rFonts w:hint="eastAsia"/>
        </w:rPr>
        <w:t>第一节 积极融入和服务国家开放战略</w:t>
      </w:r>
    </w:p>
    <w:p w14:paraId="7088E65F">
      <w:pPr>
        <w:spacing w:line="556" w:lineRule="exact"/>
        <w:ind w:firstLine="643"/>
        <w:rPr>
          <w:rFonts w:cs="Times New Roman"/>
        </w:rPr>
      </w:pPr>
      <w:r>
        <w:rPr>
          <w:rFonts w:hint="eastAsia" w:cs="Times New Roman"/>
          <w:b/>
          <w:bCs/>
        </w:rPr>
        <w:t>深度融入共建“一带一路”大格局。</w:t>
      </w:r>
      <w:r>
        <w:rPr>
          <w:rFonts w:hint="eastAsia" w:cs="Times New Roman"/>
        </w:rPr>
        <w:t>全方位深化与东盟合作，持续融入西部陆海新通道，培育国际合作和竞争新优势。积极对接RCEP等国际高标准经贸规则，开展外贸企业政策推介与规则培训。加快构建与国际高标准经贸规则接轨的合规管理体系，衔接建立制度体系和监管模式，推动制度环境更加透明、稳定、可预期，促进要素跨境自由便利流动。抓好外资外贸工作，推动外贸特色产业集群培育发展，持续扩大对外贸易规模。</w:t>
      </w:r>
    </w:p>
    <w:p w14:paraId="4EFAB044">
      <w:pPr>
        <w:spacing w:line="556" w:lineRule="exact"/>
        <w:ind w:firstLine="643"/>
        <w:rPr>
          <w:rFonts w:cs="Times New Roman"/>
        </w:rPr>
      </w:pPr>
      <w:r>
        <w:rPr>
          <w:rFonts w:hint="eastAsia"/>
          <w:b/>
          <w:bCs/>
          <w:szCs w:val="32"/>
        </w:rPr>
        <w:t>深化与海南自由贸易港的战略联动。</w:t>
      </w:r>
      <w:r>
        <w:rPr>
          <w:rFonts w:hint="eastAsia" w:cs="Times New Roman"/>
        </w:rPr>
        <w:t>构建常态化对接协作机制，深度探索货物转关、保税监管、跨境电商等重点领域的政策衔接路径与业务协同模式。充分依托海南自由贸易港跨境电商政策红利，支持企业在海南自由贸易港布局海外仓网络，在永州规划建设保税仓、区域运营中心等载体。加强与海南国际旅游消费中心建设对接，联合策划举办系列旅游推介活动，持续提升旅游服务国际化、标准化、智能化水平，构建跨区域产业协同与消费联动发展新格局。</w:t>
      </w:r>
    </w:p>
    <w:p w14:paraId="0248EDF5">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构建全方位开放格局</w:t>
      </w:r>
    </w:p>
    <w:p w14:paraId="42DD8DE5">
      <w:pPr>
        <w:ind w:firstLine="643"/>
        <w:rPr>
          <w:rFonts w:cs="Times New Roman"/>
          <w:szCs w:val="32"/>
        </w:rPr>
      </w:pPr>
      <w:r>
        <w:rPr>
          <w:rFonts w:hint="eastAsia" w:cs="Times New Roman"/>
          <w:b/>
          <w:bCs/>
          <w:szCs w:val="32"/>
        </w:rPr>
        <w:t>畅通便利化开放通道。</w:t>
      </w:r>
      <w:r>
        <w:rPr>
          <w:rFonts w:hint="eastAsia" w:cs="Times New Roman"/>
          <w:szCs w:val="32"/>
        </w:rPr>
        <w:t>抢抓陆港型国家物流枢纽建设机遇，健全口岸及国际贸易通道体系，推进内联外通、海内外协作。</w:t>
      </w:r>
      <w:bookmarkStart w:id="185" w:name="OLE_LINK5"/>
      <w:r>
        <w:rPr>
          <w:rFonts w:hint="eastAsia" w:cs="Times New Roman"/>
          <w:szCs w:val="32"/>
        </w:rPr>
        <w:t>推动永州陆港与盐田港、湛江港、北部湾港“港港联动”，</w:t>
      </w:r>
      <w:bookmarkEnd w:id="185"/>
      <w:r>
        <w:rPr>
          <w:rFonts w:hint="eastAsia" w:cs="Times New Roman"/>
          <w:szCs w:val="32"/>
        </w:rPr>
        <w:t>常态化运营好永州</w:t>
      </w:r>
      <w:r>
        <w:rPr>
          <w:rFonts w:hint="eastAsia" w:ascii="仿宋_GB2312" w:hAnsi="华文仿宋" w:cs="华文仿宋"/>
          <w:szCs w:val="32"/>
          <w14:ligatures w14:val="none"/>
        </w:rPr>
        <w:t>—</w:t>
      </w:r>
      <w:r>
        <w:rPr>
          <w:rFonts w:hint="eastAsia" w:cs="Times New Roman"/>
          <w:szCs w:val="32"/>
        </w:rPr>
        <w:t>湛江港、永州</w:t>
      </w:r>
      <w:r>
        <w:rPr>
          <w:rFonts w:hint="eastAsia" w:ascii="仿宋_GB2312" w:hAnsi="华文仿宋" w:cs="华文仿宋"/>
          <w:szCs w:val="32"/>
          <w14:ligatures w14:val="none"/>
        </w:rPr>
        <w:t>—</w:t>
      </w:r>
      <w:r>
        <w:rPr>
          <w:rFonts w:hint="eastAsia" w:cs="Times New Roman"/>
          <w:szCs w:val="32"/>
        </w:rPr>
        <w:t>北部湾港群、永州</w:t>
      </w:r>
      <w:r>
        <w:rPr>
          <w:rFonts w:hint="eastAsia" w:ascii="仿宋_GB2312" w:hAnsi="华文仿宋" w:cs="华文仿宋"/>
          <w:szCs w:val="32"/>
          <w14:ligatures w14:val="none"/>
        </w:rPr>
        <w:t>—</w:t>
      </w:r>
      <w:r>
        <w:rPr>
          <w:rFonts w:hint="eastAsia" w:cs="Times New Roman"/>
          <w:szCs w:val="32"/>
        </w:rPr>
        <w:t>盐田港、永州中欧班列和湘粤非铁海联运班列。谋划和拓展国际公路货运线路，加强至东盟国家的陆路运输通道衔接。积极争取将中西部地区经永州至湛江港的新通道纳入西部陆海新通道建设范围，实现本地货物“一天出省”“三天出海”，推动内陆腹地与国际市场贯通联动。</w:t>
      </w:r>
    </w:p>
    <w:p w14:paraId="48996562">
      <w:pPr>
        <w:ind w:firstLine="643"/>
        <w:rPr>
          <w:rFonts w:cs="Times New Roman"/>
          <w:szCs w:val="32"/>
        </w:rPr>
      </w:pPr>
      <w:r>
        <w:rPr>
          <w:rFonts w:hint="eastAsia"/>
          <w:b/>
          <w:bCs/>
          <w:szCs w:val="32"/>
        </w:rPr>
        <w:t>搭建高能级开放平台。</w:t>
      </w:r>
      <w:r>
        <w:rPr>
          <w:rFonts w:hint="eastAsia"/>
          <w:szCs w:val="32"/>
        </w:rPr>
        <w:t>深化功能区域型开放平台建设，支持永州陆港、永州经开区“双轮驱动”打造进出口主阵地。支持永州陆港申报建设湖南自贸区协同联动区，强化运营、物流、信息、产业服务功能。推进“两仓一所”高质量运营，积极申报保税物流中心（B型）。加快贸易交流型开放平台发展，</w:t>
      </w:r>
      <w:r>
        <w:rPr>
          <w:rFonts w:hint="eastAsia" w:cs="Times New Roman"/>
          <w:szCs w:val="32"/>
        </w:rPr>
        <w:t>积极创建跨境电商综试区，促进“直播+平台+跨境电商”三位一体发展，支持跨境电商海外仓建设，做大做强蔬菜供应链平台、大宗贸易供应链平台、对俄贸易样板平台等市级平台。</w:t>
      </w:r>
      <w:bookmarkStart w:id="186" w:name="OLE_LINK18"/>
      <w:r>
        <w:rPr>
          <w:rFonts w:hint="eastAsia" w:cs="Times New Roman"/>
          <w:szCs w:val="32"/>
        </w:rPr>
        <w:t>争取东盟·湖南（永州）名优产品交易会、永州·蓝山国际皮具箱包博览会评选国内、国际展会认证</w:t>
      </w:r>
      <w:bookmarkEnd w:id="186"/>
      <w:r>
        <w:rPr>
          <w:rFonts w:hint="eastAsia" w:cs="Times New Roman"/>
          <w:szCs w:val="32"/>
        </w:rPr>
        <w:t>，深化国际经贸交流合作。充分利用中非经贸博览会、沪洽周、港洽周、欧洽会等重大经贸活动平台，持续扩大展会“矩阵”溢出效应。</w:t>
      </w:r>
    </w:p>
    <w:p w14:paraId="3FD32D41">
      <w:pPr>
        <w:ind w:firstLine="643"/>
        <w:rPr>
          <w:rFonts w:cs="Times New Roman"/>
        </w:rPr>
      </w:pPr>
      <w:r>
        <w:rPr>
          <w:rFonts w:hint="eastAsia"/>
          <w:b/>
          <w:bCs/>
          <w:szCs w:val="32"/>
        </w:rPr>
        <w:t>健全完善对外开放体制机制。</w:t>
      </w:r>
      <w:r>
        <w:rPr>
          <w:rFonts w:hint="eastAsia" w:cs="Times New Roman"/>
          <w:szCs w:val="32"/>
        </w:rPr>
        <w:t>因地制宜推广国家自贸试验区（港）政策创新、产业促进等方面创新开放制度。推动贸易政策和财税、金融、产业政策协同，加强开放型经济制度保障。深化外贸外资管理体制改革，完善服务贸易对外支付线上办理机制，优化外贸通关便利化措施，落实跨境贸易和投融资便利化措施，切实提升外贸企业出口收汇率。建立健全贸易风险防范机制，加强对汇率、关税、贸易壁垒等风险的预警与应对指导，提高企业抗风险能力和国际贸易竞争力。</w:t>
      </w:r>
    </w:p>
    <w:p w14:paraId="237BE97C">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提升开放合作质效</w:t>
      </w:r>
    </w:p>
    <w:p w14:paraId="4A2B095E">
      <w:pPr>
        <w:ind w:firstLine="643"/>
        <w:rPr>
          <w:rFonts w:cs="Times New Roman"/>
          <w:szCs w:val="32"/>
        </w:rPr>
      </w:pPr>
      <w:r>
        <w:rPr>
          <w:rFonts w:hint="eastAsia"/>
          <w:b/>
          <w:bCs/>
          <w:szCs w:val="32"/>
        </w:rPr>
        <w:t>高水平走出去拓空间。</w:t>
      </w:r>
      <w:r>
        <w:rPr>
          <w:rFonts w:hint="eastAsia" w:cs="Times New Roman"/>
          <w:szCs w:val="32"/>
        </w:rPr>
        <w:t>加快“永企出海”步伐，优化境外投资服务，推动本地企业深度嵌入全球产业链、价值链。推进江永果蔬、宁远鞋类、新田家具、江华文体用品等国家外贸转型升级基地扩量提质，</w:t>
      </w:r>
      <w:bookmarkStart w:id="187" w:name="OLE_LINK9"/>
      <w:r>
        <w:rPr>
          <w:rFonts w:hint="eastAsia" w:cs="Times New Roman"/>
          <w:szCs w:val="32"/>
        </w:rPr>
        <w:t>重点聚焦永州特色农产品、机电产品、轻纺制鞋、皮具箱包等优势产品出海，培育一批外贸骨干企业。</w:t>
      </w:r>
      <w:bookmarkEnd w:id="187"/>
      <w:r>
        <w:rPr>
          <w:rFonts w:hint="eastAsia" w:cs="Times New Roman"/>
          <w:szCs w:val="32"/>
        </w:rPr>
        <w:t>实施蔬菜出口百亿工程，打造“种植—加工—冷链—通关”全链条出口体系。定期与越南、老挝、泰国等东盟重点国家开展经贸对接活动，促进永州—东盟特色好物交易采购、投资合作，推动永州加快融入东盟经济生态圈。</w:t>
      </w:r>
      <w:bookmarkStart w:id="188" w:name="OLE_LINK19"/>
      <w:r>
        <w:rPr>
          <w:rFonts w:hint="eastAsia" w:cs="Times New Roman"/>
          <w:szCs w:val="32"/>
        </w:rPr>
        <w:t>积极融入中非经贸深度合作先行区</w:t>
      </w:r>
      <w:bookmarkEnd w:id="188"/>
      <w:r>
        <w:rPr>
          <w:rFonts w:hint="eastAsia" w:cs="Times New Roman"/>
          <w:szCs w:val="32"/>
        </w:rPr>
        <w:t>，支持永州企业参与非洲农业种植、基础设施建设项目，加大非洲农、矿产品进口，形成“非洲资源＋永州产业”双向互济的开放新格局。</w:t>
      </w:r>
    </w:p>
    <w:p w14:paraId="701345FE">
      <w:pPr>
        <w:ind w:firstLine="643"/>
        <w:rPr>
          <w:rFonts w:cs="Times New Roman"/>
          <w:szCs w:val="32"/>
        </w:rPr>
      </w:pPr>
      <w:r>
        <w:rPr>
          <w:rFonts w:hint="eastAsia" w:cs="Times New Roman"/>
          <w:b/>
          <w:bCs/>
          <w:szCs w:val="32"/>
        </w:rPr>
        <w:t>高质量引进来聚动能。</w:t>
      </w:r>
      <w:r>
        <w:rPr>
          <w:rFonts w:hint="eastAsia" w:cs="Times New Roman"/>
          <w:szCs w:val="32"/>
        </w:rPr>
        <w:t>更大力度吸引和利用外资，全面落实外资企业国民待遇和负面清单管理制度，保障外资企业公平参与市场竞争。聚焦新能源新材料、电子信息、高端装备制造等重点领域，通过产业链招商、平台招商、以商招商、资本招商等方式，吸引跨国公司和行业领军企业来永设立企业总部或研发中心。优化外商投资服务，推动建立外资企业“点对点”服务机制，及时解决企业在项目审批、生产经营、政策兑现等方面诉求。支持外资企业与本地企业开展技术合作、市场共享，推动外资项目与永州产业发展深度融合。</w:t>
      </w:r>
    </w:p>
    <w:p w14:paraId="48566B02">
      <w:pPr>
        <w:ind w:firstLine="643"/>
      </w:pPr>
      <w:r>
        <w:rPr>
          <w:rFonts w:hint="eastAsia"/>
          <w:b/>
          <w:bCs/>
          <w:szCs w:val="32"/>
        </w:rPr>
        <w:t>促进外贸创新发展。</w:t>
      </w:r>
      <w:r>
        <w:rPr>
          <w:rFonts w:hint="eastAsia" w:cs="Times New Roman"/>
          <w:szCs w:val="32"/>
        </w:rPr>
        <w:t>培育外贸新动能，支持由“贸易型出海”向构建海外市场生态体系转变，形成互利共赢的产业生态良性循环。建立健全跨境贸易常态化交流机制，推动“跨境电商+产业带”“跨境电商+产业园”建设，加快产贸融合发展。优化海外仓布局和功能，推广“前店后仓”模式。鼓励跨境电商、外贸综合服务、新型易货贸易等新业态新模式涌现，推动传统外贸向数字化、智能化转型升级。优化服务贸易结构，推动知识密集型服务进出口。加快推动内外贸一体化发展，培育“同线同标同质”样板企业，支持外贸企业通过线上展会、跨境电商平台稳订单、拓市场。</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5160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Borders>
              <w:top w:val="single" w:color="auto" w:sz="4" w:space="0"/>
              <w:left w:val="single" w:color="auto" w:sz="4" w:space="0"/>
              <w:bottom w:val="single" w:color="auto" w:sz="4" w:space="0"/>
              <w:right w:val="single" w:color="auto" w:sz="4" w:space="0"/>
            </w:tcBorders>
          </w:tcPr>
          <w:p w14:paraId="36540C16">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专栏</w:t>
            </w:r>
            <w:r>
              <w:rPr>
                <w:rFonts w:cs="Times New Roman"/>
                <w:b/>
                <w:color w:val="000000"/>
                <w:kern w:val="0"/>
                <w:szCs w:val="28"/>
                <w14:ligatures w14:val="none"/>
              </w:rPr>
              <w:t xml:space="preserve"> </w:t>
            </w:r>
            <w:r>
              <w:rPr>
                <w:rFonts w:cs="Times New Roman"/>
                <w:b/>
                <w:color w:val="000000"/>
                <w:kern w:val="0"/>
                <w:szCs w:val="28"/>
                <w14:ligatures w14:val="none"/>
              </w:rPr>
              <w:fldChar w:fldCharType="begin"/>
            </w:r>
            <w:r>
              <w:rPr>
                <w:rFonts w:cs="Times New Roman"/>
                <w:b/>
                <w:color w:val="000000"/>
                <w:kern w:val="0"/>
                <w:szCs w:val="28"/>
                <w14:ligatures w14:val="none"/>
              </w:rPr>
              <w:instrText xml:space="preserve"> SEQ </w:instrText>
            </w:r>
            <w:r>
              <w:rPr>
                <w:rFonts w:hint="eastAsia" w:cs="Times New Roman"/>
                <w:b/>
                <w:color w:val="000000"/>
                <w:kern w:val="0"/>
                <w:szCs w:val="28"/>
                <w14:ligatures w14:val="none"/>
              </w:rPr>
              <w:instrText xml:space="preserve">专栏</w:instrText>
            </w:r>
            <w:r>
              <w:rPr>
                <w:rFonts w:cs="Times New Roman"/>
                <w:b/>
                <w:color w:val="000000"/>
                <w:kern w:val="0"/>
                <w:szCs w:val="28"/>
                <w14:ligatures w14:val="none"/>
              </w:rPr>
              <w:instrText xml:space="preserve"> \* ARABIC </w:instrText>
            </w:r>
            <w:r>
              <w:rPr>
                <w:rFonts w:cs="Times New Roman"/>
                <w:b/>
                <w:color w:val="000000"/>
                <w:kern w:val="0"/>
                <w:szCs w:val="28"/>
                <w14:ligatures w14:val="none"/>
              </w:rPr>
              <w:fldChar w:fldCharType="separate"/>
            </w:r>
            <w:r>
              <w:rPr>
                <w:rFonts w:cs="Times New Roman"/>
                <w:b/>
                <w:color w:val="000000"/>
                <w:kern w:val="0"/>
                <w:szCs w:val="28"/>
                <w14:ligatures w14:val="none"/>
              </w:rPr>
              <w:t>8</w:t>
            </w:r>
            <w:r>
              <w:rPr>
                <w:rFonts w:cs="Times New Roman"/>
                <w:b/>
                <w:color w:val="000000"/>
                <w:kern w:val="0"/>
                <w:szCs w:val="28"/>
                <w14:ligatures w14:val="none"/>
              </w:rPr>
              <w:fldChar w:fldCharType="end"/>
            </w:r>
            <w:r>
              <w:rPr>
                <w:rFonts w:hint="eastAsia" w:cs="Times New Roman"/>
                <w:b/>
                <w:color w:val="000000"/>
                <w:kern w:val="0"/>
                <w:szCs w:val="28"/>
                <w14:ligatures w14:val="none"/>
              </w:rPr>
              <w:t xml:space="preserve"> 对外开放能级提升工程</w:t>
            </w:r>
          </w:p>
        </w:tc>
      </w:tr>
      <w:tr w14:paraId="7136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Borders>
              <w:top w:val="single" w:color="auto" w:sz="4" w:space="0"/>
              <w:left w:val="single" w:color="auto" w:sz="4" w:space="0"/>
              <w:bottom w:val="single" w:color="auto" w:sz="4" w:space="0"/>
              <w:right w:val="single" w:color="auto" w:sz="4" w:space="0"/>
            </w:tcBorders>
          </w:tcPr>
          <w:p w14:paraId="7C05F535">
            <w:pPr>
              <w:pStyle w:val="68"/>
              <w:spacing w:line="440" w:lineRule="exact"/>
              <w:ind w:firstLine="482"/>
            </w:pPr>
            <w:r>
              <w:rPr>
                <w:rFonts w:hint="eastAsia"/>
                <w:b/>
                <w:bCs w:val="0"/>
              </w:rPr>
              <w:t>平台提升工程。</w:t>
            </w:r>
            <w:r>
              <w:rPr>
                <w:rFonts w:hint="eastAsia"/>
              </w:rPr>
              <w:t>将永州陆港打造成为全市融入共建“一带一路”的重要门户，争取将永州列为联动怀化的西部陆海新通道站点。推进永州智慧物流平台对接湖南省物流公共数智云平台，加大5G、物联网、大数据、区块链等新技术应用，到2030年，建成全面感知、全网协同、全线智能的智慧陆港。发展枢纽经济，推动陆港从传统物流功能向供应链集成服务转型。</w:t>
            </w:r>
          </w:p>
          <w:p w14:paraId="0B9CE114">
            <w:pPr>
              <w:pStyle w:val="68"/>
              <w:spacing w:line="440" w:lineRule="exact"/>
              <w:ind w:firstLine="482"/>
            </w:pPr>
            <w:r>
              <w:rPr>
                <w:rFonts w:hint="eastAsia"/>
                <w:b/>
                <w:bCs w:val="0"/>
              </w:rPr>
              <w:t>通道拓展工程。</w:t>
            </w:r>
            <w:r>
              <w:rPr>
                <w:rFonts w:hint="eastAsia"/>
              </w:rPr>
              <w:t>以“接续+”方式联接中欧班列（长沙）集结中心（向北），湘粤非铁海联运集结中心（向南），城陵矶江海联运集结中心（向东），力争开通西部陆海新通道联动站点永州—湛江港、永州—北部湾港班列（向西）。开行东盟、非盟水果等农产品进出口班列，根据货源情况，开行“天天班”“周班”等定时班列。</w:t>
            </w:r>
          </w:p>
          <w:p w14:paraId="1C736242">
            <w:pPr>
              <w:pStyle w:val="68"/>
              <w:spacing w:line="440" w:lineRule="exact"/>
              <w:ind w:firstLine="482"/>
            </w:pPr>
            <w:r>
              <w:rPr>
                <w:rFonts w:hint="eastAsia"/>
                <w:b/>
                <w:bCs w:val="0"/>
              </w:rPr>
              <w:t>航空物流发展工程。</w:t>
            </w:r>
            <w:r>
              <w:rPr>
                <w:rFonts w:hint="eastAsia"/>
              </w:rPr>
              <w:t>发展航空物流和临空经济，构建“通道+枢纽+网络”的航空物流体系。推进机场航空物流设施建设，建设国际货站、冷链物流设施。开拓航空货运航线网络，鼓励航空公司、快递公司等在永州机场设立区域运营中心和分拨枢纽。支持永州机场建设跨境电商航空物流园区。</w:t>
            </w:r>
          </w:p>
          <w:p w14:paraId="118D34FA">
            <w:pPr>
              <w:pStyle w:val="68"/>
              <w:spacing w:line="440" w:lineRule="exact"/>
              <w:ind w:firstLine="482"/>
            </w:pPr>
            <w:r>
              <w:rPr>
                <w:rFonts w:hint="eastAsia"/>
                <w:b/>
                <w:bCs w:val="0"/>
              </w:rPr>
              <w:t>先行区建立工程。</w:t>
            </w:r>
            <w:r>
              <w:rPr>
                <w:rFonts w:hint="eastAsia"/>
              </w:rPr>
              <w:t>打造中非产业链合作创新试验田，依托中非经贸博览会永久落户湖南的战略机遇，主动融入中非经贸深度合作先行区建设大局。构建集展示展销、洽谈签约、商贸服务、信息咨询等功能于一体的线上对非经贸合作综合服务平台，布局线下非洲商品展销专区。建立健全中非经贸合作数据库，整合非洲市场动态、政策法规、行业资讯等资源，为企业提供市场信息查询、政策解读、法律顾问等全方位服务。</w:t>
            </w:r>
          </w:p>
        </w:tc>
      </w:tr>
      <w:bookmarkEnd w:id="177"/>
    </w:tbl>
    <w:p w14:paraId="43AC75D0">
      <w:pPr>
        <w:ind w:firstLine="640"/>
      </w:pPr>
      <w:bookmarkStart w:id="189" w:name="_Toc215603978"/>
      <w:bookmarkStart w:id="190" w:name="_Toc215270543"/>
      <w:bookmarkStart w:id="191" w:name="_Toc212282400"/>
      <w:bookmarkStart w:id="192" w:name="_Toc215270544"/>
      <w:bookmarkStart w:id="193" w:name="_Toc212282402"/>
    </w:p>
    <w:p w14:paraId="4A308C65">
      <w:pPr>
        <w:pStyle w:val="6"/>
        <w:spacing w:before="435" w:after="217"/>
      </w:pPr>
      <w:bookmarkStart w:id="194" w:name="_Toc232094394"/>
      <w:r>
        <w:rPr>
          <w:rFonts w:hint="eastAsia"/>
        </w:rPr>
        <w:t>打造一流营商环境</w:t>
      </w:r>
      <w:bookmarkEnd w:id="189"/>
      <w:bookmarkEnd w:id="190"/>
      <w:bookmarkEnd w:id="191"/>
      <w:bookmarkEnd w:id="194"/>
    </w:p>
    <w:p w14:paraId="4386E4BE">
      <w:pPr>
        <w:ind w:firstLine="640"/>
      </w:pPr>
      <w:r>
        <w:rPr>
          <w:rFonts w:hint="eastAsia"/>
        </w:rPr>
        <w:t>坚持市场化、法治化、国际化导向，聚焦企业全生命周期服务需求，系统推进营商环境集成化改革、数字化赋能、增值化服务，着力打造审批最简、效率最高、服务最暖、生态最优的营商环境。</w:t>
      </w:r>
    </w:p>
    <w:p w14:paraId="2902360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深化营商环境集成化改革</w:t>
      </w:r>
    </w:p>
    <w:p w14:paraId="54DE63D5">
      <w:pPr>
        <w:ind w:firstLine="640"/>
      </w:pPr>
      <w:r>
        <w:rPr>
          <w:rFonts w:hint="eastAsia"/>
        </w:rPr>
        <w:t>强化跨部门、跨层级制度协同与业务流程再造。擦亮“永周到”服务品牌，全面推行“高效办成一件事”，推动涉企服务专区与综合窗口全覆盖。深化工程建设项目审批制度改革，优化项目生成、联合评审、多测合一等关键环节。严格落实国家市场准入负面清单制度，构建生命健康、新型能源、人工智能等新业态新领域准入制度体系</w:t>
      </w:r>
      <w:r>
        <w:rPr>
          <w:rFonts w:hint="eastAsia" w:hAnsi="Calibri"/>
        </w:rPr>
        <w:t>。</w:t>
      </w:r>
      <w:r>
        <w:rPr>
          <w:rFonts w:hint="eastAsia"/>
        </w:rPr>
        <w:t>健全企业破产机制，</w:t>
      </w:r>
      <w:r>
        <w:rPr>
          <w:rFonts w:hAnsi="宋体"/>
          <w:color w:val="000000"/>
          <w:kern w:val="0"/>
          <w:lang w:bidi="ar"/>
        </w:rPr>
        <w:t>推进强制注销和简易注销配套改</w:t>
      </w:r>
      <w:r>
        <w:rPr>
          <w:rFonts w:hint="eastAsia" w:hAnsi="宋体"/>
          <w:color w:val="000000"/>
          <w:kern w:val="0"/>
          <w:lang w:bidi="ar"/>
        </w:rPr>
        <w:t>革。</w:t>
      </w:r>
      <w:bookmarkStart w:id="195" w:name="OLE_LINK21"/>
      <w:r>
        <w:t>完善信用法规标准制度、信用分级分类监督</w:t>
      </w:r>
      <w:r>
        <w:rPr>
          <w:rFonts w:hint="eastAsia"/>
          <w:bCs/>
        </w:rPr>
        <w:t>、</w:t>
      </w:r>
      <w:r>
        <w:rPr>
          <w:rFonts w:hint="eastAsia"/>
        </w:rPr>
        <w:t>失信惩戒机制和市场主体信用修复机制，拓展信用信息场景融合应用，</w:t>
      </w:r>
      <w:r>
        <w:rPr>
          <w:rFonts w:hint="eastAsia" w:hAnsi="Calibri"/>
        </w:rPr>
        <w:t>构建覆盖各类主体的社会信用体系</w:t>
      </w:r>
      <w:r>
        <w:rPr>
          <w:rFonts w:hint="eastAsia"/>
        </w:rPr>
        <w:t>，打造数字信用先行市</w:t>
      </w:r>
      <w:r>
        <w:t>。</w:t>
      </w:r>
      <w:bookmarkEnd w:id="195"/>
      <w:r>
        <w:rPr>
          <w:rFonts w:hint="eastAsia"/>
        </w:rPr>
        <w:t>严格依法公正办理涉企案件，用好永州法治护企“直通车”平台。规范涉企监管，</w:t>
      </w:r>
      <w:r>
        <w:rPr>
          <w:rFonts w:hint="eastAsia"/>
          <w:bCs/>
        </w:rPr>
        <w:t>推进“扫码入企”“综合查一次”“分级分类差异化检查”监管</w:t>
      </w:r>
      <w:r>
        <w:rPr>
          <w:rFonts w:hint="eastAsia"/>
        </w:rPr>
        <w:t>。探索建立政府参与困境企业救治工作机制，建立企业重组服务中心，完善</w:t>
      </w:r>
      <w:bookmarkStart w:id="196" w:name="OLE_LINK49"/>
      <w:r>
        <w:rPr>
          <w:rFonts w:hint="eastAsia"/>
        </w:rPr>
        <w:t>企业庭外重组制度</w:t>
      </w:r>
      <w:bookmarkEnd w:id="196"/>
      <w:r>
        <w:rPr>
          <w:rFonts w:hint="eastAsia"/>
        </w:rPr>
        <w:t>。</w:t>
      </w:r>
    </w:p>
    <w:p w14:paraId="72A8C7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强化营商环境数字化赋能</w:t>
      </w:r>
    </w:p>
    <w:p w14:paraId="4FF2EEE0">
      <w:pPr>
        <w:spacing w:before="217" w:beforeLines="50" w:after="217" w:afterLines="50"/>
        <w:ind w:firstLine="640"/>
      </w:pPr>
      <w:r>
        <w:t>加快部门间信息系统互联互通，运用物联网、人工智能等新技术实现监管数据归集、治理与分析，推动数据共享、监管互认</w:t>
      </w:r>
      <w:r>
        <w:rPr>
          <w:rFonts w:hint="eastAsia" w:eastAsia="楷体_GB2312"/>
          <w:b/>
        </w:rPr>
        <w:t>、</w:t>
      </w:r>
      <w:r>
        <w:t>执法互助。依托</w:t>
      </w:r>
      <w:r>
        <w:rPr>
          <w:rFonts w:hint="eastAsia"/>
        </w:rPr>
        <w:t>“</w:t>
      </w:r>
      <w:r>
        <w:t>城市大脑</w:t>
      </w:r>
      <w:r>
        <w:rPr>
          <w:rFonts w:hint="eastAsia"/>
        </w:rPr>
        <w:t>”</w:t>
      </w:r>
      <w:r>
        <w:t>和数据共享平台，构建</w:t>
      </w:r>
      <w:r>
        <w:rPr>
          <w:rFonts w:hint="eastAsia"/>
        </w:rPr>
        <w:t>“</w:t>
      </w:r>
      <w:r>
        <w:t>一网通办、一网统管、一网协同</w:t>
      </w:r>
      <w:r>
        <w:rPr>
          <w:rFonts w:hint="eastAsia"/>
        </w:rPr>
        <w:t>”</w:t>
      </w:r>
      <w:r>
        <w:t>的智慧治理体系，实现高频事项</w:t>
      </w:r>
      <w:r>
        <w:rPr>
          <w:rFonts w:hint="eastAsia"/>
        </w:rPr>
        <w:t>“</w:t>
      </w:r>
      <w:r>
        <w:t>免证办</w:t>
      </w:r>
      <w:r>
        <w:rPr>
          <w:rFonts w:hint="eastAsia"/>
        </w:rPr>
        <w:t>”“</w:t>
      </w:r>
      <w:r>
        <w:t>智能批</w:t>
      </w:r>
      <w:r>
        <w:rPr>
          <w:rFonts w:hint="eastAsia"/>
        </w:rPr>
        <w:t>”</w:t>
      </w:r>
      <w:r>
        <w:t>。建设统一企业服务综合平台，提供政策匹配、融资对接、人才招聘</w:t>
      </w:r>
      <w:r>
        <w:rPr>
          <w:rFonts w:hint="eastAsia"/>
        </w:rPr>
        <w:t>、项目推介</w:t>
      </w:r>
      <w:r>
        <w:t>等一站式数字化服务。强化大数据分析应用，构建以信用为基础、风险为核心的智慧监管模型，推行非现场检查、远程监管等</w:t>
      </w:r>
      <w:r>
        <w:rPr>
          <w:rFonts w:hint="eastAsia"/>
        </w:rPr>
        <w:t>新</w:t>
      </w:r>
      <w:r>
        <w:t>模式。推行</w:t>
      </w:r>
      <w:r>
        <w:rPr>
          <w:rFonts w:hint="eastAsia"/>
        </w:rPr>
        <w:t>“</w:t>
      </w:r>
      <w:r>
        <w:t>机器管招投标</w:t>
      </w:r>
      <w:r>
        <w:rPr>
          <w:rFonts w:hint="eastAsia"/>
        </w:rPr>
        <w:t>”</w:t>
      </w:r>
      <w:r>
        <w:t>，推动执法监督智能化</w:t>
      </w:r>
      <w:r>
        <w:rPr>
          <w:rFonts w:hint="eastAsia"/>
        </w:rPr>
        <w:t>。</w:t>
      </w:r>
      <w:r>
        <w:t>探索数据在司法保障与权益保护中的创新应用。</w:t>
      </w:r>
    </w:p>
    <w:p w14:paraId="35C2E4D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推进营商环境增值化服务</w:t>
      </w:r>
    </w:p>
    <w:p w14:paraId="10D0C673">
      <w:pPr>
        <w:ind w:firstLine="640"/>
      </w:pPr>
      <w:r>
        <w:rPr>
          <w:rFonts w:hint="eastAsia"/>
        </w:rPr>
        <w:t>围绕产业发展需求和企业成长痛点，系统集成政策咨询、科创支持、供应链对接等专业化增值服务，打造覆盖企业全生命周期的增值服务体系。建立健全企业诉求快速响应和精准解困机制，完善12345热线和“政企通”平台，针对重点企业和困难企业实施“一企一策”专班帮扶。畅通内外循环要素通道，推动企业信用信息跨境共享互认，建立与粤港澳大湾区的标准认证“双向互认”机制。完善海外引进人才支持保障机制，健全国际人才引进、培养、使用、评价、激励机制。</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7592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3459D6CF">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9</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营商环境重点工程</w:t>
            </w:r>
          </w:p>
        </w:tc>
      </w:tr>
      <w:tr w14:paraId="1107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1593AF51">
            <w:pPr>
              <w:pStyle w:val="68"/>
              <w:spacing w:line="440" w:lineRule="exact"/>
              <w:ind w:firstLine="482"/>
            </w:pPr>
            <w:r>
              <w:rPr>
                <w:b/>
                <w:bCs w:val="0"/>
              </w:rPr>
              <w:t>政务</w:t>
            </w:r>
            <w:r>
              <w:rPr>
                <w:rFonts w:hint="eastAsia"/>
                <w:b/>
                <w:bCs w:val="0"/>
              </w:rPr>
              <w:t>效能提速</w:t>
            </w:r>
            <w:r>
              <w:rPr>
                <w:b/>
                <w:bCs w:val="0"/>
              </w:rPr>
              <w:t>工程。</w:t>
            </w:r>
            <w:r>
              <w:rPr>
                <w:rFonts w:hint="eastAsia"/>
              </w:rPr>
              <w:t>深化“一照通”改革，实现营业执照与许可证“合并办理、一次办结”，企业开办</w:t>
            </w:r>
            <w:r>
              <w:t>0.5</w:t>
            </w:r>
            <w:r>
              <w:rPr>
                <w:rFonts w:hint="eastAsia"/>
              </w:rPr>
              <w:t>个工作日内办结。拓展“高效办成一件事”范围，落地企业破产信息核查、不动产抵押登记等联办事项。覆盖</w:t>
            </w:r>
            <w:r>
              <w:t>14</w:t>
            </w:r>
            <w:r>
              <w:rPr>
                <w:rFonts w:hint="eastAsia"/>
              </w:rPr>
              <w:t>个县市区、</w:t>
            </w:r>
            <w:r>
              <w:t>12</w:t>
            </w:r>
            <w:r>
              <w:rPr>
                <w:rFonts w:hint="eastAsia"/>
              </w:rPr>
              <w:t>个园区构建“线</w:t>
            </w:r>
            <w:r>
              <w:rPr>
                <w:rFonts w:hint="eastAsia" w:ascii="仿宋_GB2312"/>
              </w:rPr>
              <w:t>上预</w:t>
            </w:r>
            <w:r>
              <w:rPr>
                <w:rFonts w:hint="eastAsia" w:cs="Times New Roman"/>
              </w:rPr>
              <w:t>约</w:t>
            </w:r>
            <w:r>
              <w:rPr>
                <w:rFonts w:cs="Times New Roman"/>
              </w:rPr>
              <w:t>+</w:t>
            </w:r>
            <w:r>
              <w:rPr>
                <w:rFonts w:hint="eastAsia" w:cs="Times New Roman"/>
              </w:rPr>
              <w:t>远程指导</w:t>
            </w:r>
            <w:r>
              <w:rPr>
                <w:rFonts w:cs="Times New Roman"/>
              </w:rPr>
              <w:t>+</w:t>
            </w:r>
            <w:r>
              <w:rPr>
                <w:rFonts w:hint="eastAsia" w:cs="Times New Roman"/>
              </w:rPr>
              <w:t>线</w:t>
            </w:r>
            <w:r>
              <w:rPr>
                <w:rFonts w:hint="eastAsia" w:ascii="仿宋_GB2312"/>
              </w:rPr>
              <w:t>下帮代</w:t>
            </w:r>
            <w:r>
              <w:rPr>
                <w:rFonts w:hint="eastAsia"/>
              </w:rPr>
              <w:t>办”闭环机制。推行“交房即交证”改革，实现不动产登记与税务、金融部门信息共享。</w:t>
            </w:r>
          </w:p>
          <w:p w14:paraId="5DB96481">
            <w:pPr>
              <w:pStyle w:val="68"/>
              <w:spacing w:line="440" w:lineRule="exact"/>
              <w:ind w:firstLine="482"/>
            </w:pPr>
            <w:r>
              <w:rPr>
                <w:b/>
                <w:bCs w:val="0"/>
              </w:rPr>
              <w:t>市场环境优化工程。</w:t>
            </w:r>
            <w:r>
              <w:rPr>
                <w:rFonts w:hint="eastAsia"/>
              </w:rPr>
              <w:t>严格落实市场准入负面清单制度，深化要素市场化配置改革，推进“土地超市”应用与公共资源交易“机器评标”。完善“房票”政策。落实减税降费“组合拳”。畅通银企对接渠道，创新“不动</w:t>
            </w:r>
            <w:r>
              <w:rPr>
                <w:rFonts w:hint="eastAsia" w:cs="Times New Roman"/>
              </w:rPr>
              <w:t>产</w:t>
            </w:r>
            <w:r>
              <w:rPr>
                <w:rFonts w:cs="Times New Roman"/>
              </w:rPr>
              <w:t>+</w:t>
            </w:r>
            <w:r>
              <w:rPr>
                <w:rFonts w:hint="eastAsia"/>
              </w:rPr>
              <w:t>金融”模式。常态化开展“政企交流主题日”“‘两重’‘两新’送解优”行动。</w:t>
            </w:r>
          </w:p>
          <w:p w14:paraId="2C519DE7">
            <w:pPr>
              <w:pStyle w:val="68"/>
              <w:spacing w:line="440" w:lineRule="exact"/>
              <w:ind w:firstLine="482"/>
            </w:pPr>
            <w:r>
              <w:rPr>
                <w:b/>
                <w:bCs w:val="0"/>
              </w:rPr>
              <w:t>法治环境</w:t>
            </w:r>
            <w:r>
              <w:rPr>
                <w:rFonts w:hint="eastAsia"/>
                <w:b/>
                <w:bCs w:val="0"/>
              </w:rPr>
              <w:t>提质</w:t>
            </w:r>
            <w:r>
              <w:rPr>
                <w:b/>
                <w:bCs w:val="0"/>
              </w:rPr>
              <w:t>工程。</w:t>
            </w:r>
            <w:r>
              <w:rPr>
                <w:rFonts w:hint="eastAsia"/>
              </w:rPr>
              <w:t>推行涉企执法“三张清单”。落实“赋码访企”监管模式，实现入企检查扫码留痕、全程监督。健全企业破产机制，推进破产重整“活封活扣”。加大对商标抢注、非正常专利申请等违法行为信用惩戒力度。</w:t>
            </w:r>
          </w:p>
          <w:p w14:paraId="5223761E">
            <w:pPr>
              <w:pStyle w:val="68"/>
              <w:spacing w:line="440" w:lineRule="exact"/>
              <w:ind w:firstLine="482"/>
            </w:pPr>
            <w:r>
              <w:rPr>
                <w:b/>
                <w:bCs w:val="0"/>
              </w:rPr>
              <w:t>信用体系建设工程。</w:t>
            </w:r>
            <w:r>
              <w:rPr>
                <w:rFonts w:hint="eastAsia"/>
              </w:rPr>
              <w:t>构建“</w:t>
            </w:r>
            <w:r>
              <w:rPr>
                <w:rFonts w:hint="eastAsia" w:ascii="仿宋_GB2312"/>
              </w:rPr>
              <w:t>信用</w:t>
            </w:r>
            <w:r>
              <w:rPr>
                <w:rFonts w:cs="Times New Roman"/>
              </w:rPr>
              <w:t>+</w:t>
            </w:r>
            <w:r>
              <w:rPr>
                <w:rFonts w:hint="eastAsia" w:ascii="仿宋_GB2312"/>
              </w:rPr>
              <w:t>监管</w:t>
            </w:r>
            <w:r>
              <w:rPr>
                <w:rFonts w:cs="Times New Roman"/>
              </w:rPr>
              <w:t>+</w:t>
            </w:r>
            <w:r>
              <w:rPr>
                <w:rFonts w:hint="eastAsia" w:ascii="仿宋_GB2312"/>
              </w:rPr>
              <w:t>服务”</w:t>
            </w:r>
            <w:r>
              <w:rPr>
                <w:rFonts w:hint="eastAsia"/>
              </w:rPr>
              <w:t>新模式，完善公共信用信息共享平台。推行“承诺、践诺、监诺”监管机制，证明事项适用告知承诺制。建立完善信用分级分类监管制度，对守信企业“无事不扰”，对失信主体实施联合奖惩。在行政审批、信贷融资等领域拓展“行业</w:t>
            </w:r>
            <w:r>
              <w:rPr>
                <w:rFonts w:hint="eastAsia" w:ascii="仿宋_GB2312"/>
              </w:rPr>
              <w:t>监管</w:t>
            </w:r>
            <w:r>
              <w:rPr>
                <w:rFonts w:cs="Times New Roman"/>
              </w:rPr>
              <w:t>+</w:t>
            </w:r>
            <w:r>
              <w:rPr>
                <w:rFonts w:hint="eastAsia" w:ascii="仿宋_GB2312"/>
              </w:rPr>
              <w:t>信</w:t>
            </w:r>
            <w:r>
              <w:rPr>
                <w:rFonts w:hint="eastAsia"/>
              </w:rPr>
              <w:t>用”应用。</w:t>
            </w:r>
          </w:p>
          <w:p w14:paraId="35773683">
            <w:pPr>
              <w:pStyle w:val="68"/>
              <w:spacing w:line="440" w:lineRule="exact"/>
              <w:ind w:firstLine="482"/>
            </w:pPr>
            <w:r>
              <w:rPr>
                <w:b/>
                <w:bCs w:val="0"/>
              </w:rPr>
              <w:t>数字赋能</w:t>
            </w:r>
            <w:r>
              <w:rPr>
                <w:rFonts w:hint="eastAsia"/>
                <w:b/>
                <w:bCs w:val="0"/>
              </w:rPr>
              <w:t>增效</w:t>
            </w:r>
            <w:r>
              <w:rPr>
                <w:b/>
                <w:bCs w:val="0"/>
              </w:rPr>
              <w:t>工程。</w:t>
            </w:r>
            <w:r>
              <w:rPr>
                <w:rFonts w:hint="eastAsia"/>
              </w:rPr>
              <w:t>升级“互联</w:t>
            </w:r>
            <w:r>
              <w:rPr>
                <w:rFonts w:hint="eastAsia" w:ascii="仿宋_GB2312"/>
              </w:rPr>
              <w:t>网</w:t>
            </w:r>
            <w:r>
              <w:rPr>
                <w:rFonts w:cs="Times New Roman"/>
              </w:rPr>
              <w:t>+</w:t>
            </w:r>
            <w:r>
              <w:rPr>
                <w:rFonts w:hint="eastAsia" w:cs="Times New Roman"/>
              </w:rPr>
              <w:t>政</w:t>
            </w:r>
            <w:r>
              <w:rPr>
                <w:rFonts w:hint="eastAsia"/>
              </w:rPr>
              <w:t>务服务”平台，实现</w:t>
            </w:r>
            <w:r>
              <w:t>90%</w:t>
            </w:r>
            <w:r>
              <w:rPr>
                <w:rFonts w:hint="eastAsia"/>
              </w:rPr>
              <w:t>申请信息自动填报，高频业务排队时长下降</w:t>
            </w:r>
            <w:r>
              <w:t>60%</w:t>
            </w:r>
            <w:r>
              <w:rPr>
                <w:rFonts w:hint="eastAsia"/>
              </w:rPr>
              <w:t>。依托“湘易办”</w:t>
            </w:r>
            <w:r>
              <w:t>APP</w:t>
            </w:r>
            <w:r>
              <w:rPr>
                <w:rFonts w:hint="eastAsia"/>
              </w:rPr>
              <w:t>构建智能分派、实时跟进线上服务闭环。推广电子证照、电子印章应用，实现企业登记、审批核准、执照核发全流程电子化。创新“公证与不动产登记联办”模式，设立便民服务点。</w:t>
            </w:r>
          </w:p>
          <w:p w14:paraId="397322B8">
            <w:pPr>
              <w:pStyle w:val="68"/>
              <w:spacing w:line="440" w:lineRule="exact"/>
              <w:ind w:firstLine="482"/>
              <w:rPr>
                <w:rFonts w:cs="Times New Roman"/>
                <w:b/>
                <w:bCs w:val="0"/>
                <w:kern w:val="0"/>
                <w:szCs w:val="22"/>
                <w14:ligatures w14:val="none"/>
              </w:rPr>
            </w:pPr>
            <w:r>
              <w:rPr>
                <w:b/>
                <w:bCs w:val="0"/>
              </w:rPr>
              <w:t>开放服务提升工程。</w:t>
            </w:r>
            <w:r>
              <w:rPr>
                <w:rFonts w:hint="eastAsia"/>
              </w:rPr>
              <w:t>对接粤港澳大湾区、深耕东盟市场，打造内陆开放型经济服务高地。优化外资企业全流程服务，推行涉外商事登记“双语服务”。提质跨境电商综试区，构建“海</w:t>
            </w:r>
            <w:r>
              <w:rPr>
                <w:rFonts w:hint="eastAsia" w:ascii="仿宋_GB2312"/>
              </w:rPr>
              <w:t>外</w:t>
            </w:r>
            <w:r>
              <w:rPr>
                <w:rFonts w:hint="eastAsia" w:cs="Times New Roman"/>
              </w:rPr>
              <w:t>仓</w:t>
            </w:r>
            <w:r>
              <w:rPr>
                <w:rFonts w:cs="Times New Roman"/>
              </w:rPr>
              <w:t>+</w:t>
            </w:r>
            <w:r>
              <w:rPr>
                <w:rFonts w:hint="eastAsia" w:cs="Times New Roman"/>
              </w:rPr>
              <w:t>跨境电商</w:t>
            </w:r>
            <w:r>
              <w:rPr>
                <w:rFonts w:cs="Times New Roman"/>
              </w:rPr>
              <w:t>+</w:t>
            </w:r>
            <w:r>
              <w:rPr>
                <w:rFonts w:hint="eastAsia" w:ascii="仿宋_GB2312"/>
              </w:rPr>
              <w:t>产</w:t>
            </w:r>
            <w:r>
              <w:rPr>
                <w:rFonts w:hint="eastAsia"/>
              </w:rPr>
              <w:t>业带”模式。完善涉外法律服务机制，组建专业人才库，提供国际贸易纠纷调解、跨境税务筹划等“一站式”服务。强化湘粤非铁海联运通道服务。</w:t>
            </w:r>
          </w:p>
        </w:tc>
      </w:tr>
    </w:tbl>
    <w:p w14:paraId="742704AE">
      <w:pPr>
        <w:ind w:firstLine="640"/>
      </w:pPr>
    </w:p>
    <w:p w14:paraId="17EB83E5">
      <w:pPr>
        <w:widowControl/>
        <w:spacing w:line="240" w:lineRule="auto"/>
        <w:ind w:firstLine="0" w:firstLineChars="0"/>
        <w:jc w:val="left"/>
      </w:pPr>
      <w:r>
        <w:br w:type="page"/>
      </w:r>
    </w:p>
    <w:bookmarkEnd w:id="192"/>
    <w:bookmarkEnd w:id="193"/>
    <w:p w14:paraId="412FA542">
      <w:pPr>
        <w:pStyle w:val="5"/>
        <w:rPr>
          <w:spacing w:val="11"/>
        </w:rPr>
      </w:pPr>
      <w:bookmarkStart w:id="197" w:name="_Toc232094395"/>
      <w:r>
        <w:rPr>
          <w:rFonts w:hint="eastAsia"/>
          <w:spacing w:val="11"/>
        </w:rPr>
        <w:t>实施扩大内需战略，推动经济实现良性循环</w:t>
      </w:r>
      <w:bookmarkEnd w:id="197"/>
    </w:p>
    <w:p w14:paraId="5BE3B03D">
      <w:pPr>
        <w:ind w:firstLine="640"/>
      </w:pPr>
    </w:p>
    <w:p w14:paraId="48ECF724">
      <w:pPr>
        <w:ind w:firstLine="640"/>
        <w:rPr>
          <w:rFonts w:hAnsi="Calibri"/>
          <w:bCs/>
          <w:kern w:val="0"/>
          <w:lang w:bidi="ar"/>
        </w:rPr>
      </w:pPr>
      <w:r>
        <w:rPr>
          <w:rFonts w:hint="eastAsia"/>
        </w:rPr>
        <w:t>坚持把扩大内需作为长期战略举措，立足湘粤桂三省通衢区位优势，加快构建扩大消费长效机制和有效投资内生增长机制，激活内需市场潜能，推动内需成为拉动永州经济增长的主动力和稳定锚。</w:t>
      </w:r>
    </w:p>
    <w:p w14:paraId="45D1F7E5">
      <w:pPr>
        <w:pStyle w:val="6"/>
        <w:spacing w:before="435" w:after="217"/>
      </w:pPr>
      <w:bookmarkStart w:id="198" w:name="_Toc215270545"/>
      <w:bookmarkStart w:id="199" w:name="_Toc212282403"/>
      <w:bookmarkStart w:id="200" w:name="_Toc232094396"/>
      <w:r>
        <w:rPr>
          <w:rFonts w:hint="eastAsia"/>
        </w:rPr>
        <w:t>促进消费提质升级</w:t>
      </w:r>
      <w:bookmarkEnd w:id="198"/>
      <w:bookmarkEnd w:id="199"/>
      <w:bookmarkEnd w:id="200"/>
    </w:p>
    <w:p w14:paraId="231FE189">
      <w:pPr>
        <w:ind w:firstLine="640"/>
      </w:pPr>
      <w:bookmarkStart w:id="201" w:name="_Toc1862840617"/>
      <w:r>
        <w:rPr>
          <w:rFonts w:hint="eastAsia"/>
        </w:rPr>
        <w:t>强化政策牵引带动作用，丰富消费供给，优化消费环境，改善居民基本生活消费，推动居民消费向高品质和多样化升级，全面激发城乡居民消费潜能。</w:t>
      </w:r>
      <w:bookmarkEnd w:id="201"/>
    </w:p>
    <w:p w14:paraId="191C1A57">
      <w:pPr>
        <w:pStyle w:val="7"/>
        <w:spacing w:before="217" w:after="217"/>
        <w:rPr>
          <w:b w:val="0"/>
        </w:rPr>
      </w:pPr>
      <w:r>
        <w:rPr>
          <w:rFonts w:hint="eastAsia"/>
        </w:rPr>
        <w:t>第一节 升级大宗消费</w:t>
      </w:r>
    </w:p>
    <w:p w14:paraId="662B3FB7">
      <w:pPr>
        <w:ind w:firstLine="640"/>
        <w:rPr>
          <w:rFonts w:hint="eastAsia" w:hAnsi="宋体" w:cs="仿宋_GB2312"/>
          <w:color w:val="000000"/>
          <w:kern w:val="0"/>
          <w:lang w:bidi="ar"/>
        </w:rPr>
      </w:pPr>
      <w:r>
        <w:rPr>
          <w:rFonts w:hint="eastAsia"/>
        </w:rPr>
        <w:t>加力扩围实施消费品以旧换新，进一步普及新能源汽车、智能家电、绿色家装、数码产品等消费品。提升新能源汽车渗透率，引导新能源车企及第三方机构增加销售网点，</w:t>
      </w:r>
      <w:r>
        <w:rPr>
          <w:rFonts w:hint="eastAsia" w:hAnsi="宋体" w:cs="仿宋_GB2312"/>
          <w:color w:val="000000"/>
          <w:kern w:val="0"/>
          <w:lang w:bidi="ar"/>
        </w:rPr>
        <w:t>加快公共领域新能源汽车替代，推动党政机关及公共机构新增及更新公务用车中新能源汽车占比提高</w:t>
      </w:r>
      <w:r>
        <w:rPr>
          <w:rFonts w:hAnsi="宋体" w:cs="仿宋_GB2312"/>
          <w:color w:val="000000"/>
          <w:kern w:val="0"/>
          <w:lang w:bidi="ar"/>
        </w:rPr>
        <w:t>10%</w:t>
      </w:r>
      <w:r>
        <w:rPr>
          <w:rFonts w:hint="eastAsia" w:hAnsi="宋体" w:cs="仿宋_GB2312"/>
          <w:color w:val="000000"/>
          <w:kern w:val="0"/>
          <w:lang w:bidi="ar"/>
        </w:rPr>
        <w:t>以上。推行</w:t>
      </w:r>
      <w:r>
        <w:rPr>
          <w:rFonts w:hint="eastAsia"/>
        </w:rPr>
        <w:t>住房公积金“既提又贷”政策，</w:t>
      </w:r>
      <w:r>
        <w:rPr>
          <w:rFonts w:hint="eastAsia" w:hAnsi="宋体" w:cs="仿宋_GB2312"/>
          <w:color w:val="000000"/>
          <w:kern w:val="0"/>
          <w:lang w:bidi="ar"/>
        </w:rPr>
        <w:t>鼓励住房公积金家庭代际互助、支持老旧小区改造按实际情况提取住房公积金。</w:t>
      </w:r>
    </w:p>
    <w:p w14:paraId="24382D98">
      <w:pPr>
        <w:pStyle w:val="7"/>
        <w:spacing w:before="217" w:after="217"/>
        <w:rPr>
          <w:b w:val="0"/>
        </w:rPr>
      </w:pPr>
      <w:r>
        <w:rPr>
          <w:rFonts w:hint="eastAsia"/>
        </w:rPr>
        <w:t>第二节 提质服务消费</w:t>
      </w:r>
    </w:p>
    <w:p w14:paraId="1A39D918">
      <w:pPr>
        <w:ind w:firstLine="640"/>
        <w:rPr>
          <w:lang w:bidi="ar"/>
        </w:rPr>
      </w:pPr>
      <w:r>
        <w:rPr>
          <w:rFonts w:hint="eastAsia"/>
          <w:lang w:bidi="ar"/>
        </w:rPr>
        <w:t>充分挖掘餐饮住宿、家政服务、养老托育等基础消费潜力，发展文化旅游、体育等改善型消费，培育壮大赛事演出、健康消费等新增长点。提升餐饮服务品质，推动永州特色餐饮发展，打造“永州味道”美食品牌</w:t>
      </w:r>
      <w:r>
        <w:rPr>
          <w:rFonts w:hint="eastAsia" w:hAnsi="华文仿宋" w:cs="华文仿宋"/>
        </w:rPr>
        <w:t>。</w:t>
      </w:r>
      <w:r>
        <w:rPr>
          <w:rFonts w:hint="eastAsia"/>
          <w:lang w:bidi="ar"/>
        </w:rPr>
        <w:t>增加优质家政服务供给，鼓励家政服务企业拓展新兴服务领域，加强与装修、家居等行业跨界融合发展。</w:t>
      </w:r>
      <w:r>
        <w:rPr>
          <w:rFonts w:hint="eastAsia" w:hAnsi="Calibri" w:cs="Times New Roman"/>
        </w:rPr>
        <w:t>提升“</w:t>
      </w:r>
      <w:r>
        <w:rPr>
          <w:rFonts w:hAnsi="Calibri" w:cs="Times New Roman"/>
        </w:rPr>
        <w:t>一老一小</w:t>
      </w:r>
      <w:r>
        <w:rPr>
          <w:rFonts w:hint="eastAsia" w:hAnsi="Calibri" w:cs="Times New Roman"/>
        </w:rPr>
        <w:t>”服务供给品质</w:t>
      </w:r>
      <w:r>
        <w:rPr>
          <w:rFonts w:hAnsi="Calibri" w:cs="Times New Roman"/>
        </w:rPr>
        <w:t>，</w:t>
      </w:r>
      <w:r>
        <w:rPr>
          <w:rFonts w:hint="eastAsia" w:hAnsi="Calibri" w:cs="Times New Roman"/>
        </w:rPr>
        <w:t>针对老年人消费群体，推进多层建筑加装电梯和发展老年助餐服务，针对幼儿群体，重点打造“日间照料+幼儿托育+文娱活动”复合型服务，探索“老幼共托”一体化模式，拓展养老托育服务消费新空间。扩大文体旅游消费，推进非遗工坊、非遗村镇、非遗街区示范点建设，</w:t>
      </w:r>
      <w:r>
        <w:rPr>
          <w:rFonts w:hint="eastAsia" w:cs="华文仿宋"/>
        </w:rPr>
        <w:t>构建“体育赛事</w:t>
      </w:r>
      <w:r>
        <w:rPr>
          <w:rFonts w:cs="Times New Roman"/>
        </w:rPr>
        <w:t>+</w:t>
      </w:r>
      <w:r>
        <w:rPr>
          <w:rFonts w:hint="eastAsia" w:cs="华文仿宋"/>
        </w:rPr>
        <w:t>服务消费”模式，做优国家非遗道州龙船赛、“湘超”永州主场等特色赛事，</w:t>
      </w:r>
      <w:r>
        <w:rPr>
          <w:rFonts w:hint="eastAsia"/>
          <w:lang w:bidi="ar"/>
        </w:rPr>
        <w:t>引进培育一批高影响力体育赛事，做大做强演艺经济、赛事经济。开展健康消费引领行动，培育壮大健康体检、医疗美容、养生保健、康复疗养、体重管理等健康消费业态。</w:t>
      </w:r>
    </w:p>
    <w:p w14:paraId="384A1C06">
      <w:pPr>
        <w:pStyle w:val="7"/>
        <w:spacing w:before="217" w:after="217"/>
        <w:rPr>
          <w:b w:val="0"/>
        </w:rPr>
      </w:pPr>
      <w:r>
        <w:rPr>
          <w:rFonts w:hint="eastAsia"/>
        </w:rPr>
        <w:t>第三节 培育新型消费</w:t>
      </w:r>
    </w:p>
    <w:p w14:paraId="0E21F5C3">
      <w:pPr>
        <w:ind w:firstLine="640"/>
      </w:pPr>
      <w:r>
        <w:rPr>
          <w:rFonts w:hint="eastAsia"/>
        </w:rPr>
        <w:t>培育“谷子经济”，深化</w:t>
      </w:r>
      <w:r>
        <w:t>IP</w:t>
      </w:r>
      <w:r>
        <w:rPr>
          <w:rFonts w:hint="eastAsia"/>
        </w:rPr>
        <w:t>创意开发与产品转化，依托舜文化、柳文化、理学文化、瑶文化、女书文化等资源，设计开发彰显永州特色的“国风谷子”产品。发展数字消费，推广即时零售等线上线下融合新模式，加快无人零售店、自提柜、云柜等新业态布局，发展直播电商、社交电商，</w:t>
      </w:r>
      <w:r>
        <w:rPr>
          <w:rFonts w:hint="eastAsia" w:cs="华文仿宋"/>
        </w:rPr>
        <w:t>拓展“永湘甄选”“永发购”平台，推动移动支付便民场景应用</w:t>
      </w:r>
      <w:r>
        <w:rPr>
          <w:rFonts w:hint="eastAsia" w:hAnsi="华文仿宋" w:cs="华文仿宋"/>
        </w:rPr>
        <w:t>。</w:t>
      </w:r>
      <w:r>
        <w:rPr>
          <w:rFonts w:hint="eastAsia"/>
        </w:rPr>
        <w:t>壮大夜间经济，</w:t>
      </w:r>
      <w:r>
        <w:rPr>
          <w:rFonts w:hint="eastAsia" w:cs="华文仿宋"/>
        </w:rPr>
        <w:t>持续</w:t>
      </w:r>
      <w:r>
        <w:rPr>
          <w:rFonts w:hint="eastAsia"/>
        </w:rPr>
        <w:t>举办“柳宗元文化旅游周·零陵夜宴”等特色夜市活动，</w:t>
      </w:r>
      <w:r>
        <w:rPr>
          <w:rFonts w:hint="eastAsia" w:cs="华文仿宋"/>
        </w:rPr>
        <w:t>鼓励各县市区因地制宜发展夜经济</w:t>
      </w:r>
      <w:r>
        <w:rPr>
          <w:rFonts w:hint="eastAsia"/>
        </w:rPr>
        <w:t>。做实做大“会展</w:t>
      </w:r>
      <w:r>
        <w:t>+</w:t>
      </w:r>
      <w:r>
        <w:rPr>
          <w:rFonts w:hint="eastAsia"/>
        </w:rPr>
        <w:t>消费”，发挥东盟·湖南（永州）名优产品交易会、中国—东盟博览会等会展平台集聚作用，推动以展促销，带动吃住行游购娱等要素消费。支持首店、首发经济加快发展，举办“首发永州”品牌活动。培育低空消费新业态，有序扩大低空消费服务供给，支</w:t>
      </w:r>
      <w:r>
        <w:rPr>
          <w:rFonts w:hint="eastAsia"/>
          <w:spacing w:val="-6"/>
        </w:rPr>
        <w:t>持各县市区开发特色低空应用场景示范项目。到</w:t>
      </w:r>
      <w:r>
        <w:rPr>
          <w:rFonts w:hint="eastAsia" w:cs="华文仿宋"/>
          <w:spacing w:val="-6"/>
        </w:rPr>
        <w:t>2030年，新增培育</w:t>
      </w:r>
      <w:r>
        <w:rPr>
          <w:rFonts w:cs="华文仿宋"/>
          <w:spacing w:val="-6"/>
        </w:rPr>
        <w:t>2</w:t>
      </w:r>
      <w:r>
        <w:rPr>
          <w:rFonts w:hint="eastAsia" w:cs="华文仿宋"/>
          <w:spacing w:val="-6"/>
        </w:rPr>
        <w:t>个国家级夜间文化和旅游消费集聚区，</w:t>
      </w:r>
      <w:r>
        <w:rPr>
          <w:rFonts w:cs="华文仿宋"/>
          <w:spacing w:val="-6"/>
        </w:rPr>
        <w:t>10</w:t>
      </w:r>
      <w:r>
        <w:rPr>
          <w:rFonts w:hint="eastAsia" w:cs="华文仿宋"/>
          <w:spacing w:val="-6"/>
        </w:rPr>
        <w:t>家湖南省夜间消费聚集示范区，争创国家“消费新业态新模式新场景”试点城市。</w:t>
      </w:r>
    </w:p>
    <w:p w14:paraId="47DDFCAD">
      <w:pPr>
        <w:pStyle w:val="7"/>
        <w:spacing w:before="217" w:after="217"/>
        <w:rPr>
          <w:b w:val="0"/>
        </w:rPr>
      </w:pPr>
      <w:r>
        <w:rPr>
          <w:rFonts w:hint="eastAsia"/>
        </w:rPr>
        <w:t>第四节 优化消费生态</w:t>
      </w:r>
    </w:p>
    <w:p w14:paraId="2A335396">
      <w:pPr>
        <w:ind w:firstLine="640"/>
      </w:pPr>
      <w:r>
        <w:rPr>
          <w:rFonts w:hint="eastAsia"/>
        </w:rPr>
        <w:t>建立完善市县联动、部门协同的促消费工作机制，清理消费领域不合理限制性举措，对新业态新模式实行包容审慎监管，持续优化消费环境。创新推出“永州特色”政策包，坚持线上线下结合、城乡全域联动，拓展促销系列活动，营造浓厚消费氛围。提升地标商圈能级，打造中心城区消费集聚区，加快传统商业空间提质改造，建设集聚商场、街区等场景立体化、沉浸式商业综合体，培育建设湘粤桂省际区域消费中心。构建分层分类商业网络，完善“一县一中心”商贸综合体发展布局，改造一批乡镇商贸中心、集贸市场、农村新型便民商店，鼓励人口规模较大的乡镇建设特色商业街区，引导旅游业重点乡镇打造集购物、酒店、娱乐、餐饮等功能于一体的综合性商业中心。实施“放心消费行动”，打造一批放心市场、放心商店、放心网店、放心餐饮、放心景区。强化消费纠纷源头治理，创新消费纠纷多元化解方式，加强消费者权益保护。到2030年，打造1个具有全省影响力的核心商圈、1个高品质商业街区。</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28C9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0E1A7A10">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10</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提振消费行动</w:t>
            </w:r>
          </w:p>
        </w:tc>
      </w:tr>
      <w:tr w14:paraId="322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506B1B78">
            <w:pPr>
              <w:spacing w:line="440" w:lineRule="exact"/>
              <w:ind w:firstLine="482"/>
              <w:rPr>
                <w:bCs/>
                <w:sz w:val="24"/>
              </w:rPr>
            </w:pPr>
            <w:r>
              <w:rPr>
                <w:rFonts w:hint="eastAsia"/>
                <w:b/>
                <w:sz w:val="24"/>
              </w:rPr>
              <w:t>消费新业态新模式新场景试点争创行动</w:t>
            </w:r>
            <w:r>
              <w:rPr>
                <w:b/>
                <w:sz w:val="24"/>
              </w:rPr>
              <w:t>。</w:t>
            </w:r>
            <w:r>
              <w:rPr>
                <w:rFonts w:hint="eastAsia"/>
                <w:bCs/>
                <w:sz w:val="24"/>
              </w:rPr>
              <w:t>推进成熟商圈提档升级，打造城区万达、愿景国际、春天广场和湘江西路“三圈一路”</w:t>
            </w:r>
            <w:r>
              <w:rPr>
                <w:bCs/>
                <w:sz w:val="24"/>
              </w:rPr>
              <w:t>4</w:t>
            </w:r>
            <w:r>
              <w:rPr>
                <w:rFonts w:hint="eastAsia"/>
                <w:bCs/>
                <w:sz w:val="24"/>
              </w:rPr>
              <w:t>个核心商圈、</w:t>
            </w:r>
            <w:r>
              <w:rPr>
                <w:bCs/>
                <w:sz w:val="24"/>
              </w:rPr>
              <w:t>11个（每个县市区一个）高品质商业街区。</w:t>
            </w:r>
          </w:p>
          <w:p w14:paraId="3809B8D0">
            <w:pPr>
              <w:spacing w:line="440" w:lineRule="exact"/>
              <w:ind w:firstLine="482"/>
              <w:rPr>
                <w:bCs/>
                <w:sz w:val="24"/>
              </w:rPr>
            </w:pPr>
            <w:r>
              <w:rPr>
                <w:b/>
                <w:sz w:val="24"/>
              </w:rPr>
              <w:t>跨境电商</w:t>
            </w:r>
            <w:r>
              <w:rPr>
                <w:rFonts w:hint="eastAsia"/>
                <w:b/>
                <w:sz w:val="24"/>
              </w:rPr>
              <w:t>壮大行动</w:t>
            </w:r>
            <w:r>
              <w:rPr>
                <w:b/>
                <w:sz w:val="24"/>
              </w:rPr>
              <w:t>。</w:t>
            </w:r>
            <w:r>
              <w:rPr>
                <w:rFonts w:hint="eastAsia"/>
                <w:bCs/>
                <w:sz w:val="24"/>
              </w:rPr>
              <w:t>引进或培育壮大一批跨境电商企业，鼓励传统制造企业和商贸流通企业利用跨境电商平台开拓国际市场。支持企业建设跨境电商孵化中心，完善跨境电商综合服务体系。完善海关特殊监管场所，搭建“两平台六体系”，积极争取设立中国（永州）跨境电子商务综合试验区。</w:t>
            </w:r>
          </w:p>
          <w:p w14:paraId="6803E4D1">
            <w:pPr>
              <w:spacing w:line="440" w:lineRule="exact"/>
              <w:ind w:firstLine="482"/>
              <w:rPr>
                <w:bCs/>
                <w:sz w:val="24"/>
              </w:rPr>
            </w:pPr>
            <w:r>
              <w:rPr>
                <w:b/>
                <w:sz w:val="24"/>
              </w:rPr>
              <w:t>首发（店）经济行动。</w:t>
            </w:r>
            <w:r>
              <w:rPr>
                <w:rFonts w:hint="eastAsia"/>
                <w:bCs/>
                <w:sz w:val="24"/>
              </w:rPr>
              <w:t>招引国际一二三线品牌、海外小众高端品牌、国内知名品牌潮牌、全球湘商知名品牌开展新品首发、首秀、首展活动，打造湘粤桂省际时尚消费品牌首发中心，到</w:t>
            </w:r>
            <w:r>
              <w:rPr>
                <w:bCs/>
                <w:sz w:val="24"/>
              </w:rPr>
              <w:t>2030</w:t>
            </w:r>
            <w:r>
              <w:rPr>
                <w:rFonts w:hint="eastAsia"/>
                <w:bCs/>
                <w:sz w:val="24"/>
              </w:rPr>
              <w:t>年，争取引进</w:t>
            </w:r>
            <w:r>
              <w:rPr>
                <w:bCs/>
                <w:sz w:val="24"/>
              </w:rPr>
              <w:t>2</w:t>
            </w:r>
            <w:r>
              <w:rPr>
                <w:rFonts w:hint="eastAsia"/>
                <w:bCs/>
                <w:sz w:val="24"/>
              </w:rPr>
              <w:t>家以上首发门店。</w:t>
            </w:r>
          </w:p>
          <w:p w14:paraId="786E1D49">
            <w:pPr>
              <w:spacing w:line="440" w:lineRule="exact"/>
              <w:ind w:firstLine="482"/>
              <w:rPr>
                <w:bCs/>
                <w:sz w:val="24"/>
              </w:rPr>
            </w:pPr>
            <w:r>
              <w:rPr>
                <w:b/>
                <w:sz w:val="24"/>
              </w:rPr>
              <w:t>消费场景提质升级行动。</w:t>
            </w:r>
            <w:r>
              <w:rPr>
                <w:rFonts w:hint="eastAsia"/>
                <w:bCs/>
                <w:sz w:val="24"/>
              </w:rPr>
              <w:t>提质改造全市城市商业载体</w:t>
            </w:r>
            <w:r>
              <w:rPr>
                <w:bCs/>
                <w:sz w:val="24"/>
              </w:rPr>
              <w:t>3</w:t>
            </w:r>
            <w:r>
              <w:rPr>
                <w:rFonts w:hint="eastAsia"/>
                <w:bCs/>
                <w:sz w:val="24"/>
              </w:rPr>
              <w:t>万平方米，推进零陵柳子街、冷水滩湘江西路商圈文旅特色化升级。构建“一刻钟便民生活圈”示范社区</w:t>
            </w:r>
            <w:r>
              <w:rPr>
                <w:bCs/>
                <w:sz w:val="24"/>
              </w:rPr>
              <w:t>20</w:t>
            </w:r>
            <w:r>
              <w:rPr>
                <w:rFonts w:hint="eastAsia"/>
                <w:bCs/>
                <w:sz w:val="24"/>
              </w:rPr>
              <w:t>个，集成生活服务平台。举办好“永州味道”美食文化系列活动，鼓励餐饮企业参加“味道湖南”等大众美食评选活动，加强永州二十大名菜宣传，擦亮美食“老字号”品牌，到</w:t>
            </w:r>
            <w:r>
              <w:rPr>
                <w:bCs/>
                <w:sz w:val="24"/>
              </w:rPr>
              <w:t>2030</w:t>
            </w:r>
            <w:r>
              <w:rPr>
                <w:rFonts w:hint="eastAsia"/>
                <w:bCs/>
                <w:sz w:val="24"/>
              </w:rPr>
              <w:t>年，争取新增</w:t>
            </w:r>
            <w:r>
              <w:rPr>
                <w:bCs/>
                <w:sz w:val="24"/>
              </w:rPr>
              <w:t>3</w:t>
            </w:r>
            <w:r>
              <w:rPr>
                <w:rFonts w:hint="eastAsia"/>
                <w:bCs/>
                <w:sz w:val="24"/>
              </w:rPr>
              <w:t>家企业成功上榜省级“老字号”。开发“柳宗元文化”、红色资源文化研学线路。</w:t>
            </w:r>
          </w:p>
          <w:p w14:paraId="336660EC">
            <w:pPr>
              <w:spacing w:line="440" w:lineRule="exact"/>
              <w:ind w:firstLine="482"/>
              <w:rPr>
                <w:bCs/>
                <w:sz w:val="24"/>
              </w:rPr>
            </w:pPr>
            <w:r>
              <w:rPr>
                <w:b/>
                <w:sz w:val="24"/>
              </w:rPr>
              <w:t>新能源汽车渗透率提升行动。</w:t>
            </w:r>
            <w:r>
              <w:rPr>
                <w:rFonts w:hint="eastAsia"/>
                <w:bCs/>
                <w:sz w:val="24"/>
              </w:rPr>
              <w:t>推进新能源汽车下乡、货运车辆新能源替代，加快充（换）电基础设施和综合供能服务站建设。到</w:t>
            </w:r>
            <w:r>
              <w:rPr>
                <w:bCs/>
                <w:sz w:val="24"/>
              </w:rPr>
              <w:t>2030</w:t>
            </w:r>
            <w:r>
              <w:rPr>
                <w:rFonts w:hint="eastAsia"/>
                <w:bCs/>
                <w:sz w:val="24"/>
              </w:rPr>
              <w:t>年，新能源汽车渗透率达到</w:t>
            </w:r>
            <w:r>
              <w:rPr>
                <w:bCs/>
                <w:sz w:val="24"/>
              </w:rPr>
              <w:t>30%</w:t>
            </w:r>
            <w:r>
              <w:rPr>
                <w:rFonts w:hint="eastAsia"/>
                <w:bCs/>
                <w:sz w:val="24"/>
              </w:rPr>
              <w:t>以上。</w:t>
            </w:r>
          </w:p>
          <w:p w14:paraId="79A10AAF">
            <w:pPr>
              <w:spacing w:line="440" w:lineRule="exact"/>
              <w:ind w:firstLine="482"/>
              <w:rPr>
                <w:rFonts w:cs="Times New Roman"/>
                <w:bCs/>
                <w:kern w:val="0"/>
                <w:sz w:val="24"/>
                <w:szCs w:val="22"/>
                <w14:ligatures w14:val="none"/>
              </w:rPr>
            </w:pPr>
            <w:r>
              <w:rPr>
                <w:rFonts w:hint="eastAsia"/>
                <w:b/>
                <w:sz w:val="24"/>
              </w:rPr>
              <w:t>“引客入永”行动。</w:t>
            </w:r>
            <w:r>
              <w:rPr>
                <w:rFonts w:hint="eastAsia"/>
                <w:bCs/>
                <w:sz w:val="24"/>
              </w:rPr>
              <w:t>推动住宿、餐饮业与文旅产业融合发展，聚焦“体育</w:t>
            </w:r>
            <w:r>
              <w:rPr>
                <w:bCs/>
                <w:sz w:val="24"/>
              </w:rPr>
              <w:t>+</w:t>
            </w:r>
            <w:r>
              <w:rPr>
                <w:rFonts w:hint="eastAsia"/>
                <w:bCs/>
                <w:sz w:val="24"/>
              </w:rPr>
              <w:t>”“演艺</w:t>
            </w:r>
            <w:r>
              <w:rPr>
                <w:bCs/>
                <w:sz w:val="24"/>
              </w:rPr>
              <w:t>+</w:t>
            </w:r>
            <w:r>
              <w:rPr>
                <w:rFonts w:hint="eastAsia"/>
                <w:bCs/>
                <w:sz w:val="24"/>
              </w:rPr>
              <w:t>”，培育“赛事</w:t>
            </w:r>
            <w:r>
              <w:rPr>
                <w:bCs/>
                <w:sz w:val="24"/>
              </w:rPr>
              <w:t>+</w:t>
            </w:r>
            <w:r>
              <w:rPr>
                <w:rFonts w:hint="eastAsia"/>
                <w:bCs/>
                <w:sz w:val="24"/>
              </w:rPr>
              <w:t>文旅”“音乐</w:t>
            </w:r>
            <w:r>
              <w:rPr>
                <w:bCs/>
                <w:sz w:val="24"/>
              </w:rPr>
              <w:t>+</w:t>
            </w:r>
            <w:r>
              <w:rPr>
                <w:rFonts w:hint="eastAsia"/>
                <w:bCs/>
                <w:sz w:val="24"/>
              </w:rPr>
              <w:t>消费”新场景新业态，引进一批高影响力体育赛事、国内知名演艺项目。</w:t>
            </w:r>
          </w:p>
        </w:tc>
      </w:tr>
    </w:tbl>
    <w:p w14:paraId="22157140">
      <w:pPr>
        <w:pStyle w:val="6"/>
        <w:spacing w:before="435" w:after="217"/>
      </w:pPr>
      <w:bookmarkStart w:id="202" w:name="_Toc227058993"/>
      <w:bookmarkStart w:id="203" w:name="_Toc232094397"/>
      <w:r>
        <w:rPr>
          <w:rFonts w:hint="eastAsia"/>
        </w:rPr>
        <w:t>积极扩大有效投资</w:t>
      </w:r>
      <w:bookmarkEnd w:id="202"/>
      <w:bookmarkEnd w:id="203"/>
    </w:p>
    <w:p w14:paraId="2BA66657">
      <w:pPr>
        <w:ind w:firstLine="640"/>
      </w:pPr>
      <w:r>
        <w:t>坚持项目建设和配套改革相结合，统筹</w:t>
      </w:r>
      <w:r>
        <w:rPr>
          <w:rFonts w:hint="eastAsia"/>
        </w:rPr>
        <w:t>“</w:t>
      </w:r>
      <w:r>
        <w:t>硬投资</w:t>
      </w:r>
      <w:r>
        <w:rPr>
          <w:rFonts w:hint="eastAsia"/>
        </w:rPr>
        <w:t>”与“</w:t>
      </w:r>
      <w:r>
        <w:t>软建设</w:t>
      </w:r>
      <w:r>
        <w:rPr>
          <w:rFonts w:hint="eastAsia"/>
        </w:rPr>
        <w:t>”，</w:t>
      </w:r>
      <w:r>
        <w:t>突出战略性、前瞻性</w:t>
      </w:r>
      <w:r>
        <w:rPr>
          <w:rFonts w:hint="eastAsia"/>
        </w:rPr>
        <w:t>重大项目建设，抓紧推进</w:t>
      </w:r>
      <w:r>
        <w:t>投资环境建设，加快健全投资长效机制，调动各类主体投资积极性，扩大有效益的投资。</w:t>
      </w:r>
    </w:p>
    <w:p w14:paraId="29B0D306">
      <w:pPr>
        <w:spacing w:before="217" w:beforeLines="50" w:after="217" w:afterLines="50" w:line="550"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优化政府投资结构</w:t>
      </w:r>
    </w:p>
    <w:p w14:paraId="7F9C6897">
      <w:pPr>
        <w:ind w:firstLine="640"/>
      </w:pPr>
      <w:r>
        <w:rPr>
          <w:rFonts w:hint="eastAsia"/>
        </w:rPr>
        <w:t>建立健全投资稳增长机制，保障重大项目建设资金需求，</w:t>
      </w:r>
      <w:r>
        <w:t>抢抓</w:t>
      </w:r>
      <w:r>
        <w:rPr>
          <w:rFonts w:hint="eastAsia"/>
        </w:rPr>
        <w:t>超长期特别国债、中央预算内投资、“两重”建设项目及新型政策性金融工具政策机遇，结合地方财政负担能力，通盘考虑资金资源，前置落实资金拼盘，统筹财政资金、金融资源、社会资金、使用者付费等多渠道资金，推动项目实现长期可持续运营。探索编制全口径政府投资计划。</w:t>
      </w:r>
    </w:p>
    <w:p w14:paraId="2E6559C6">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激发民间投资活力</w:t>
      </w:r>
    </w:p>
    <w:p w14:paraId="0131D095">
      <w:pPr>
        <w:ind w:firstLine="640"/>
      </w:pPr>
      <w:r>
        <w:rPr>
          <w:rFonts w:hint="eastAsia" w:ascii="仿宋_GB2312" w:cs="仿宋_GB2312"/>
        </w:rPr>
        <w:t>完善民营企业参与重大工程项目建设长效机制，发挥政府投资基金引导带动作用，</w:t>
      </w:r>
      <w:r>
        <w:t>推进基础设施竞争性领域向民营主体公平开放，</w:t>
      </w:r>
      <w:r>
        <w:rPr>
          <w:rFonts w:hint="eastAsia"/>
        </w:rPr>
        <w:t>放宽数字、医疗、健康、文化等领域市场准入限制，引导民间资本投向新质生产力、新兴服务业、新型基础设施和安全发展等领域，</w:t>
      </w:r>
      <w:r>
        <w:rPr>
          <w:rFonts w:hint="eastAsia" w:ascii="仿宋_GB2312" w:cs="仿宋_GB2312"/>
        </w:rPr>
        <w:t>增强市场主导的有效投资增长动力</w:t>
      </w:r>
      <w:r>
        <w:rPr>
          <w:rFonts w:hint="eastAsia"/>
        </w:rPr>
        <w:t>。支持民营企业参与国省市重大项目建设，</w:t>
      </w:r>
      <w:r>
        <w:rPr>
          <w:rFonts w:hint="eastAsia" w:hAnsi="仿宋"/>
        </w:rPr>
        <w:t>进一步推动政府和社会资本合作（</w:t>
      </w:r>
      <w:r>
        <w:rPr>
          <w:rFonts w:hAnsi="仿宋"/>
        </w:rPr>
        <w:t>PPP</w:t>
      </w:r>
      <w:r>
        <w:rPr>
          <w:rFonts w:hint="eastAsia" w:hAnsi="仿宋"/>
        </w:rPr>
        <w:t>）新机制落实落细，</w:t>
      </w:r>
      <w:r>
        <w:rPr>
          <w:rFonts w:hint="eastAsia"/>
        </w:rPr>
        <w:t>动态发布重点民间投资项目清单，持续向民间资本推介交通、能源、水利、新型基础设施等领域项目。完善民间投资资金和要素保障工作机制，深化</w:t>
      </w:r>
      <w:r>
        <w:rPr>
          <w:rFonts w:hint="eastAsia" w:ascii="仿宋_GB2312" w:cs="仿宋_GB2312"/>
        </w:rPr>
        <w:t>投贷联动，</w:t>
      </w:r>
      <w:r>
        <w:rPr>
          <w:rFonts w:hint="eastAsia" w:hAnsi="宋体" w:cs="仿宋_GB2312"/>
          <w:kern w:val="0"/>
          <w:lang w:bidi="ar"/>
        </w:rPr>
        <w:t>发挥“金芙蓉”基础设施和社会发展投资基金引导作用，</w:t>
      </w:r>
      <w:r>
        <w:rPr>
          <w:rFonts w:hint="eastAsia" w:ascii="仿宋_GB2312" w:hAnsi="宋体" w:cs="仿宋_GB2312"/>
          <w:kern w:val="0"/>
          <w:lang w:bidi="ar"/>
        </w:rPr>
        <w:t>滚动形成备投项目库，加大重点项目融资支持</w:t>
      </w:r>
      <w:r>
        <w:rPr>
          <w:rFonts w:hint="eastAsia" w:ascii="仿宋_GB2312" w:cs="仿宋_GB2312"/>
        </w:rPr>
        <w:t>。</w:t>
      </w:r>
      <w:r>
        <w:rPr>
          <w:rFonts w:hint="eastAsia" w:hAnsi="宋体" w:cs="仿宋_GB2312"/>
          <w:kern w:val="0"/>
          <w:lang w:bidi="ar"/>
        </w:rPr>
        <w:t>建立民营企业常态化沟通机制，加强促进民间投资好经验好做法宣传推广。</w:t>
      </w:r>
    </w:p>
    <w:p w14:paraId="6F1B9AD3">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持续提高投资效益</w:t>
      </w:r>
    </w:p>
    <w:p w14:paraId="110F816C">
      <w:pPr>
        <w:ind w:firstLine="640"/>
        <w:rPr>
          <w:szCs w:val="22"/>
        </w:rPr>
      </w:pPr>
      <w:r>
        <w:rPr>
          <w:rFonts w:hint="eastAsia" w:hAnsi="Calibri"/>
          <w:bCs/>
        </w:rPr>
        <w:t>完善投资决策机制，</w:t>
      </w:r>
      <w:r>
        <w:rPr>
          <w:rFonts w:hint="eastAsia" w:hAnsi="宋体"/>
          <w:bCs/>
          <w:kern w:val="0"/>
          <w:lang w:bidi="ar"/>
        </w:rPr>
        <w:t>加强投资项目事前审批、事中评估督导、事后评价的全生命周期管理。</w:t>
      </w:r>
      <w:r>
        <w:rPr>
          <w:bCs/>
        </w:rPr>
        <w:t>深化</w:t>
      </w:r>
      <w:r>
        <w:rPr>
          <w:rFonts w:hint="eastAsia"/>
          <w:bCs/>
        </w:rPr>
        <w:t>“</w:t>
      </w:r>
      <w:r>
        <w:rPr>
          <w:bCs/>
        </w:rPr>
        <w:t>项目大谋划、谋划大项目</w:t>
      </w:r>
      <w:r>
        <w:rPr>
          <w:rFonts w:hint="eastAsia"/>
          <w:bCs/>
        </w:rPr>
        <w:t>”</w:t>
      </w:r>
      <w:r>
        <w:rPr>
          <w:bCs/>
        </w:rPr>
        <w:t>行动，</w:t>
      </w:r>
      <w:r>
        <w:rPr>
          <w:rFonts w:hint="eastAsia"/>
          <w:bCs/>
        </w:rPr>
        <w:t>谋</w:t>
      </w:r>
      <w:r>
        <w:rPr>
          <w:rFonts w:hint="eastAsia" w:hAnsi="方正仿宋_GB2312"/>
        </w:rPr>
        <w:t>划储备一批具备良好收益性的重大项目</w:t>
      </w:r>
      <w:r>
        <w:rPr>
          <w:rFonts w:hint="eastAsia"/>
        </w:rPr>
        <w:t>。统筹好超长期特别国债“硬投资”和“软建设”，优化专项债券管理机制。全面强化政府投资项目代建制管理，培育壮大代建市场。推动“投资于物”和“投资于人”紧密结合，扩大覆盖全人群、全生命周期的有效投资，加大对人力资源开发利用和人的全面发展投资力度，建设一批发展所需、群众所急的基础设施和公共服务设施，实现“以投创需、以需促供”的良性发展格局。</w:t>
      </w:r>
    </w:p>
    <w:p w14:paraId="1AE4D97D">
      <w:pPr>
        <w:pStyle w:val="6"/>
        <w:spacing w:before="435" w:after="217"/>
      </w:pPr>
      <w:bookmarkStart w:id="204" w:name="_Toc214008463"/>
      <w:bookmarkEnd w:id="204"/>
      <w:bookmarkStart w:id="205" w:name="_Toc214008119"/>
      <w:bookmarkEnd w:id="205"/>
      <w:bookmarkStart w:id="206" w:name="_Toc214008558"/>
      <w:bookmarkEnd w:id="206"/>
      <w:bookmarkStart w:id="207" w:name="_Toc214007649"/>
      <w:bookmarkEnd w:id="207"/>
      <w:bookmarkStart w:id="208" w:name="_Toc215270547"/>
      <w:bookmarkStart w:id="209" w:name="_Toc227058994"/>
      <w:bookmarkStart w:id="210" w:name="_Toc232094398"/>
      <w:r>
        <w:t>积极融入全国统一大市场</w:t>
      </w:r>
      <w:bookmarkEnd w:id="208"/>
      <w:r>
        <w:rPr>
          <w:rFonts w:hint="eastAsia"/>
        </w:rPr>
        <w:t>建设</w:t>
      </w:r>
      <w:bookmarkEnd w:id="209"/>
      <w:bookmarkEnd w:id="210"/>
    </w:p>
    <w:p w14:paraId="58784E4D">
      <w:pPr>
        <w:ind w:firstLine="640"/>
      </w:pPr>
      <w:r>
        <w:rPr>
          <w:rFonts w:hint="eastAsia"/>
        </w:rPr>
        <w:t>坚决落实“五统一、一开放”基本要求，进一步完善市场基础制度，规范政府经济促进行为，破除各类隐性壁垒和市场分割，加快构建现代流通体系，促进要素资源高效流动，激发市场活力与发展动力。</w:t>
      </w:r>
    </w:p>
    <w:p w14:paraId="1A60BB2A">
      <w:pPr>
        <w:spacing w:before="217" w:beforeLines="50" w:after="217" w:afterLines="50" w:line="550"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完善统一市场基础制度</w:t>
      </w:r>
    </w:p>
    <w:p w14:paraId="0BF8EFE9">
      <w:pPr>
        <w:ind w:firstLine="640"/>
      </w:pPr>
      <w:r>
        <w:t>完善产权保护制度</w:t>
      </w:r>
      <w:r>
        <w:rPr>
          <w:rFonts w:hint="eastAsia"/>
        </w:rPr>
        <w:t>，全面依法平等保护各类经营主体产权和合法权益。深化知识产权综合管理改革，完善侵权惩罚性赔偿制度，</w:t>
      </w:r>
      <w:r>
        <w:rPr>
          <w:rFonts w:hint="eastAsia"/>
          <w:bCs/>
        </w:rPr>
        <w:t>建设永州市知识产权公共服务平台，加快中国（永州）知识产权保护中心申报与建设。</w:t>
      </w:r>
      <w:r>
        <w:rPr>
          <w:rFonts w:hint="eastAsia"/>
        </w:rPr>
        <w:t>全面落实统一大市场建设指引，严格执行市场准入“全国一张清单”管理制度，坚决破除各类隐性门槛、地方保护和市场分割。强化公平竞争审查刚性约束，健全预防和制止滥用行政权力排除、限制竞争制度，</w:t>
      </w:r>
      <w:r>
        <w:rPr>
          <w:rFonts w:hint="eastAsia" w:hAnsi="Calibri"/>
        </w:rPr>
        <w:t>持续开展妨碍统一市场和公平竞争的政策措施清理</w:t>
      </w:r>
      <w:r>
        <w:rPr>
          <w:rFonts w:hint="eastAsia"/>
        </w:rPr>
        <w:t>。健全招商引资行为负面清单制度，规范政府采购和招标投标。</w:t>
      </w:r>
    </w:p>
    <w:p w14:paraId="68187337">
      <w:pPr>
        <w:spacing w:before="217" w:beforeLines="50" w:after="217" w:afterLines="50" w:line="550" w:lineRule="exact"/>
        <w:ind w:firstLine="0" w:firstLineChars="0"/>
        <w:jc w:val="center"/>
        <w:outlineLvl w:val="2"/>
        <w:rPr>
          <w:rFonts w:hAnsi="Calibri"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完善统一市场监管执法</w:t>
      </w:r>
    </w:p>
    <w:p w14:paraId="0D090051">
      <w:pPr>
        <w:ind w:firstLine="640"/>
        <w:rPr>
          <w:rFonts w:cs="仿宋"/>
          <w:kern w:val="0"/>
        </w:rPr>
      </w:pPr>
      <w:r>
        <w:rPr>
          <w:rFonts w:hint="eastAsia"/>
        </w:rPr>
        <w:t>全面对标全国统一大市场监管要求，构建标准统一、协同高效、公正透明的执法体系，严格执行国家和省级市场监管执法程序与裁量基准，细化食品药品、特种设备、知识产权等重点领域执法，实现“同案同罚、类案类罚”。</w:t>
      </w:r>
      <w:r>
        <w:t>加强市场监管标准化规范化建设，强化新经济、新业态监管制度供给，</w:t>
      </w:r>
      <w:r>
        <w:rPr>
          <w:rFonts w:hint="eastAsia"/>
        </w:rPr>
        <w:t>加大对不正当竞争和垄断行为的监管执法力度，</w:t>
      </w:r>
      <w:r>
        <w:rPr>
          <w:rFonts w:hint="eastAsia" w:ascii="仿宋_GB2312" w:hAnsi="仿宋_GB2312" w:cs="仿宋_GB2312"/>
        </w:rPr>
        <w:t>严厉打击滥收费用、强迫交易、搭售商品等限制竞争和垄断行为</w:t>
      </w:r>
      <w:r>
        <w:rPr>
          <w:rFonts w:hint="eastAsia"/>
        </w:rPr>
        <w:t>。强化跨区域执法协同，深化与周边省市市场监管执法协作，建立线索互移、案件互办、结果互认机制。依托永州智慧监管</w:t>
      </w:r>
      <w:r>
        <w:t>综合指挥中心</w:t>
      </w:r>
      <w:r>
        <w:rPr>
          <w:rFonts w:hint="eastAsia"/>
        </w:rPr>
        <w:t>，运用AI溯源、无感监管等技术，实现对网络交易、跨区域流通产品的精准监测与非现场执法。完善执法争议协调机制，建立跨</w:t>
      </w:r>
      <w:r>
        <w:t>区域</w:t>
      </w:r>
      <w:r>
        <w:rPr>
          <w:rFonts w:hint="eastAsia"/>
        </w:rPr>
        <w:t>执法异议处理通道，确保执法行为合法规范。</w:t>
      </w:r>
    </w:p>
    <w:p w14:paraId="2D5DD627">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提升现代物流服务效能</w:t>
      </w:r>
    </w:p>
    <w:p w14:paraId="03ED6EE3">
      <w:pPr>
        <w:ind w:firstLine="640"/>
      </w:pPr>
      <w:r>
        <w:rPr>
          <w:rFonts w:hint="eastAsia"/>
        </w:rPr>
        <w:t>建设现代商贸流通体系，</w:t>
      </w:r>
      <w:r>
        <w:rPr>
          <w:rFonts w:hint="eastAsia" w:ascii="仿宋_GB2312" w:cs="华文仿宋"/>
        </w:rPr>
        <w:t>引进境内外知名流通企业和服务领域品牌</w:t>
      </w:r>
      <w:r>
        <w:rPr>
          <w:rFonts w:hint="eastAsia"/>
        </w:rPr>
        <w:t>，吸引头部物流企业设立分拨中心</w:t>
      </w:r>
      <w:r>
        <w:rPr>
          <w:rFonts w:hint="eastAsia" w:ascii="仿宋_GB2312" w:cs="华文仿宋"/>
        </w:rPr>
        <w:t>，</w:t>
      </w:r>
      <w:r>
        <w:rPr>
          <w:rFonts w:hint="eastAsia"/>
        </w:rPr>
        <w:t>争创现代商贸流通体系试点城市。争创农村客货邮融合发展试点，鼓励</w:t>
      </w:r>
      <w:r>
        <w:rPr>
          <w:rFonts w:hint="eastAsia"/>
          <w:bCs/>
          <w:kern w:val="0"/>
          <w:lang w:bidi="ar"/>
        </w:rPr>
        <w:t>农村物流、电子商务与商贸流通、供销集配、邮政快递等设施整合，</w:t>
      </w:r>
      <w:r>
        <w:rPr>
          <w:rFonts w:hint="eastAsia"/>
        </w:rPr>
        <w:t>完善农产品冷链加工与配送设施，推广“互联网+”农产品直销与定制生产模式，引导传统商贸企业向一体化供应链平台转型，发展订单农业与产销一体模式。有效降低全社会物流成本，深化运价市场化改革，协调降低基础运价，优化高速公路通行差异化收费、仓储设施市场化收费政策。发展多式联运，畅通“公铁水空”货运衔接，打造一批多式联运品牌和精品路线。推动物流体系标准化、智能化、绿色化发展，加强流通设施、规则和标准统一衔接，推广标准托盘与周转箱循环共用，建设智慧物流公共服务平台，支持智能立体库与自动分拣应用。到2030年，每年新增限额以上商贸流通企业100家以上，新增3A级物流企业5家以上，社会物流总费用占GDP比重降至13%以下。</w:t>
      </w:r>
    </w:p>
    <w:tbl>
      <w:tblPr>
        <w:tblStyle w:val="1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5C5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84" w:type="dxa"/>
          </w:tcPr>
          <w:p w14:paraId="46C3B057">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11</w:t>
            </w:r>
            <w:r>
              <w:rPr>
                <w:rFonts w:hint="eastAsia"/>
              </w:rPr>
              <w:fldChar w:fldCharType="end"/>
            </w:r>
            <w:r>
              <w:rPr>
                <w:rFonts w:hint="eastAsia"/>
              </w:rPr>
              <w:t xml:space="preserve"> </w:t>
            </w:r>
            <w:r>
              <w:t>物流降本增效四大专项</w:t>
            </w:r>
            <w:r>
              <w:rPr>
                <w:rFonts w:hint="eastAsia"/>
              </w:rPr>
              <w:t>行动</w:t>
            </w:r>
          </w:p>
        </w:tc>
      </w:tr>
      <w:tr w14:paraId="5F0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84" w:type="dxa"/>
          </w:tcPr>
          <w:p w14:paraId="217F489A">
            <w:pPr>
              <w:pStyle w:val="68"/>
              <w:spacing w:line="440" w:lineRule="exact"/>
              <w:ind w:firstLine="482"/>
            </w:pPr>
            <w:r>
              <w:rPr>
                <w:rFonts w:hint="eastAsia"/>
                <w:b/>
                <w:bCs w:val="0"/>
              </w:rPr>
              <w:t>物流双向匹配行动。</w:t>
            </w:r>
            <w:r>
              <w:rPr>
                <w:rFonts w:hint="eastAsia"/>
              </w:rPr>
              <w:t>打造“通道</w:t>
            </w:r>
            <w:r>
              <w:t>+</w:t>
            </w:r>
            <w:r>
              <w:rPr>
                <w:rFonts w:hint="eastAsia"/>
              </w:rPr>
              <w:t>枢纽</w:t>
            </w:r>
            <w:r>
              <w:t>+</w:t>
            </w:r>
            <w:r>
              <w:rPr>
                <w:rFonts w:hint="eastAsia"/>
              </w:rPr>
              <w:t>网络”现代物流运行体系。构建高效集疏运体系，完善铁路场站、多式联运功能区、冷链物流区等七大功能区，强化货物集结与分拨能力。拓展双向物流通道，实现工业原材料与产成品及高附加值农产品双向流通。</w:t>
            </w:r>
          </w:p>
          <w:p w14:paraId="2B10EFCC">
            <w:pPr>
              <w:pStyle w:val="68"/>
              <w:spacing w:line="440" w:lineRule="exact"/>
              <w:ind w:firstLine="482"/>
            </w:pPr>
            <w:r>
              <w:rPr>
                <w:rFonts w:hint="eastAsia"/>
                <w:b/>
                <w:bCs w:val="0"/>
              </w:rPr>
              <w:t>“五位一体”多式联运网络建设行动。</w:t>
            </w:r>
            <w:r>
              <w:rPr>
                <w:rFonts w:hint="eastAsia"/>
              </w:rPr>
              <w:t>打造“公铁河海”多式联运网络，形成“产业</w:t>
            </w:r>
            <w:r>
              <w:t>+</w:t>
            </w:r>
            <w:r>
              <w:rPr>
                <w:rFonts w:hint="eastAsia"/>
              </w:rPr>
              <w:t>园区</w:t>
            </w:r>
            <w:r>
              <w:t>+</w:t>
            </w:r>
            <w:r>
              <w:rPr>
                <w:rFonts w:hint="eastAsia"/>
              </w:rPr>
              <w:t>口岸</w:t>
            </w:r>
            <w:r>
              <w:t>+</w:t>
            </w:r>
            <w:r>
              <w:rPr>
                <w:rFonts w:hint="eastAsia"/>
              </w:rPr>
              <w:t>通道</w:t>
            </w:r>
            <w:r>
              <w:t>+</w:t>
            </w:r>
            <w:r>
              <w:rPr>
                <w:rFonts w:hint="eastAsia"/>
              </w:rPr>
              <w:t>市场”五位一体格局。加快永州至衡阳三级航道建设，推动永州港、祁阳港等千吨级码头建设。挖掘洛湛铁路、湘桂铁路既有运力，引导大宗商品“公转铁”。联动零陵机场迁建项目。深化口岸功能，将永州陆港打造为中欧班列（长沙）集结中心在湘南地区的核心集货点，常态化运营永州陆港至广州南沙港、深圳盐田港的铁海联运班列。推动广州南沙港、深圳盐田港、广西</w:t>
            </w:r>
            <w:bookmarkStart w:id="211" w:name="OLE_LINK4"/>
            <w:r>
              <w:rPr>
                <w:rFonts w:hint="eastAsia"/>
              </w:rPr>
              <w:t>北部湾港</w:t>
            </w:r>
            <w:bookmarkEnd w:id="211"/>
            <w:r>
              <w:rPr>
                <w:rFonts w:hint="eastAsia"/>
              </w:rPr>
              <w:t>、湛江港等沿海港口的报关、订舱、查验等功能内移至永州陆港。加快永州陆港海关监管作业场所、保税仓配套建设，推广“抵港直装”等通关模式。</w:t>
            </w:r>
          </w:p>
          <w:p w14:paraId="43CC3342">
            <w:pPr>
              <w:pStyle w:val="68"/>
              <w:spacing w:line="440" w:lineRule="exact"/>
              <w:ind w:firstLine="482"/>
            </w:pPr>
            <w:r>
              <w:rPr>
                <w:rFonts w:hint="eastAsia"/>
                <w:b/>
                <w:bCs w:val="0"/>
              </w:rPr>
              <w:t>物流设施网络布局优化行动。</w:t>
            </w:r>
            <w:r>
              <w:rPr>
                <w:rFonts w:hint="eastAsia"/>
              </w:rPr>
              <w:t>构建以永州陆港为核心枢纽，以县级物流中心为支点，以乡村服务站为末梢的三级物流网络。完善集仓储、分拨、配送于一体的物流基础设施，搭建全市统一“智慧物流公共服务平台”，整合“人—车—货”信息，实现物流资源高效调度。构建“陆港枢纽集散中心</w:t>
            </w:r>
            <w:r>
              <w:t>+</w:t>
            </w:r>
            <w:r>
              <w:rPr>
                <w:rFonts w:hint="eastAsia"/>
              </w:rPr>
              <w:t>区域共享仓</w:t>
            </w:r>
            <w:r>
              <w:t>+</w:t>
            </w:r>
            <w:r>
              <w:rPr>
                <w:rFonts w:hint="eastAsia"/>
              </w:rPr>
              <w:t>陆港驿站”运输网络体系，完善</w:t>
            </w:r>
            <w:r>
              <w:t>11</w:t>
            </w:r>
            <w:r>
              <w:rPr>
                <w:rFonts w:hint="eastAsia"/>
              </w:rPr>
              <w:t>个县市区共享仓式卫星仓和毛细配送网络。引导新建物流项目与本地特色产业布局精准匹配，确保新建项目与现有设施网络高效衔接、错位发展。</w:t>
            </w:r>
          </w:p>
          <w:p w14:paraId="0BD75621">
            <w:pPr>
              <w:pStyle w:val="68"/>
              <w:spacing w:line="440" w:lineRule="exact"/>
              <w:ind w:firstLine="482"/>
            </w:pPr>
            <w:r>
              <w:rPr>
                <w:rFonts w:hint="eastAsia"/>
                <w:b/>
                <w:bCs w:val="0"/>
              </w:rPr>
              <w:t>物流与产业融合发展行动。</w:t>
            </w:r>
            <w:r>
              <w:rPr>
                <w:rFonts w:hint="eastAsia"/>
              </w:rPr>
              <w:t>发展枢纽经济，在永州陆港周边布局产业园区，重点引入新能源、新材料、高端制造等对物流依赖强、附加值高的产业。推动永州经开区、冷水滩区、永州陆港片区“三区”在规划、产业、要素保障上深度融合，搭建企业协作平台，提升本地产业配套率。促进物流与商贸、金融、跨境电商深度融合，依托永州陆港电商产业园，吸引电商平台集聚发展，打造湘西南地区电商仓储集聚中心，设立快递物流二级分拨中心。</w:t>
            </w:r>
          </w:p>
        </w:tc>
      </w:tr>
    </w:tbl>
    <w:p w14:paraId="7E206EB6">
      <w:pPr>
        <w:ind w:firstLine="880"/>
        <w:rPr>
          <w:sz w:val="44"/>
        </w:rPr>
      </w:pPr>
      <w:bookmarkStart w:id="212" w:name="_Hlk215303067"/>
      <w:r>
        <w:rPr>
          <w:rFonts w:hint="eastAsia"/>
          <w:sz w:val="44"/>
        </w:rPr>
        <w:br w:type="page"/>
      </w:r>
    </w:p>
    <w:p w14:paraId="3D443A86">
      <w:pPr>
        <w:pStyle w:val="5"/>
      </w:pPr>
      <w:bookmarkStart w:id="213" w:name="_Toc232094399"/>
      <w:r>
        <w:rPr>
          <w:rFonts w:hint="eastAsia"/>
        </w:rPr>
        <w:t>深化区域协调聚势赋能，打造湘粤桂省际区域发展新引擎</w:t>
      </w:r>
      <w:bookmarkEnd w:id="213"/>
    </w:p>
    <w:bookmarkEnd w:id="212"/>
    <w:p w14:paraId="7D85EAA3">
      <w:pPr>
        <w:spacing w:line="564" w:lineRule="exact"/>
        <w:ind w:firstLine="640"/>
        <w:rPr>
          <w:rFonts w:cs="Times New Roman"/>
        </w:rPr>
      </w:pPr>
    </w:p>
    <w:p w14:paraId="158765C1">
      <w:pPr>
        <w:spacing w:line="564" w:lineRule="exact"/>
        <w:ind w:firstLine="640"/>
        <w:rPr>
          <w:rFonts w:cs="Times New Roman"/>
        </w:rPr>
      </w:pPr>
      <w:r>
        <w:rPr>
          <w:rFonts w:hint="eastAsia" w:cs="Times New Roman"/>
        </w:rPr>
        <w:t>切实加强区域协同合作，深度融入国家重大战略，持续完善“一核两轴三圈”区域经济格局，深化内外联动、市域协同，推动永州从“三省交界”向“三省通衢”战略节点跃升。</w:t>
      </w:r>
    </w:p>
    <w:p w14:paraId="06575E61">
      <w:pPr>
        <w:pStyle w:val="6"/>
        <w:spacing w:before="435" w:after="217"/>
      </w:pPr>
      <w:bookmarkStart w:id="214" w:name="_Toc232094400"/>
      <w:r>
        <w:rPr>
          <w:rFonts w:hint="eastAsia"/>
        </w:rPr>
        <w:t>融入国家区域重大战略</w:t>
      </w:r>
      <w:bookmarkEnd w:id="214"/>
    </w:p>
    <w:p w14:paraId="60CC6ABB">
      <w:pPr>
        <w:spacing w:line="564" w:lineRule="exact"/>
        <w:ind w:firstLine="640"/>
      </w:pPr>
      <w:r>
        <w:rPr>
          <w:rFonts w:hint="eastAsia"/>
        </w:rPr>
        <w:t>主动服务和融入国家区域重大战略、深化省内协同联动，实现区域间的优势互补、资源共享、共同进步，推动永州深度嵌入全国区域发展格局。</w:t>
      </w:r>
    </w:p>
    <w:p w14:paraId="1D276A51">
      <w:pPr>
        <w:pStyle w:val="7"/>
        <w:spacing w:before="217" w:after="217" w:line="564" w:lineRule="exact"/>
        <w:rPr>
          <w:b w:val="0"/>
          <w:szCs w:val="20"/>
          <w14:ligatures w14:val="none"/>
        </w:rPr>
      </w:pPr>
      <w:r>
        <w:rPr>
          <w:rFonts w:hint="eastAsia"/>
        </w:rPr>
        <w:t>第一节 全方位融入粤港澳大湾区发展</w:t>
      </w:r>
    </w:p>
    <w:p w14:paraId="30F2F348">
      <w:pPr>
        <w:spacing w:line="564" w:lineRule="exact"/>
        <w:ind w:firstLine="643"/>
        <w:rPr>
          <w:rFonts w:cs="Times New Roman"/>
          <w:szCs w:val="32"/>
        </w:rPr>
      </w:pPr>
      <w:r>
        <w:rPr>
          <w:rFonts w:hint="eastAsia" w:cs="Times New Roman"/>
          <w:b/>
          <w:bCs/>
          <w:szCs w:val="32"/>
        </w:rPr>
        <w:t>构建高效融湾通道体系。</w:t>
      </w:r>
      <w:r>
        <w:rPr>
          <w:rFonts w:hint="eastAsia" w:cs="Times New Roman"/>
          <w:szCs w:val="32"/>
        </w:rPr>
        <w:t>依托永清广高铁强化与粤港澳大湾区核心节点链接，优化联通周边城市的城际交通，深度融入“粤港澳大湾区1.5小时经济圈”。进一步发挥零陵机场枢纽作用，争取开通至粤港澳大湾区的全货机航线，构建“公铁水空”多式联运体系。积极推动大型物流园区、物流集散地建设，引导我市优势特色产业与物流业融合发展，扩大对粤港澳大湾区市场的辐射影响力。积极配合湘粤背靠背联网工程建设，适时增加湘粤联网通道，实现与广东电网的电力灵活互济。加强新型信息基础设施建设，积极推动智算中心跨省直连和算力资源调度，构建“陆路+数字”多维度融湾通道。</w:t>
      </w:r>
    </w:p>
    <w:p w14:paraId="736BE719">
      <w:pPr>
        <w:spacing w:line="564" w:lineRule="exact"/>
        <w:ind w:firstLine="643"/>
        <w:rPr>
          <w:rFonts w:cs="Times New Roman"/>
          <w:szCs w:val="32"/>
        </w:rPr>
      </w:pPr>
      <w:r>
        <w:rPr>
          <w:rFonts w:hint="eastAsia" w:cs="Times New Roman"/>
          <w:b/>
          <w:bCs/>
          <w:szCs w:val="32"/>
        </w:rPr>
        <w:t>打造融湾产业合作基地。</w:t>
      </w:r>
      <w:r>
        <w:rPr>
          <w:rFonts w:hint="eastAsia" w:cs="Times New Roman"/>
          <w:szCs w:val="32"/>
        </w:rPr>
        <w:t>聚焦电子信息、新能源新材料、农副产品加工、再生资源循环利用等领域，</w:t>
      </w:r>
      <w:bookmarkStart w:id="215" w:name="OLE_LINK54"/>
      <w:r>
        <w:rPr>
          <w:rFonts w:hint="eastAsia" w:cs="Times New Roman"/>
          <w:szCs w:val="32"/>
        </w:rPr>
        <w:t>建设粤港澳大湾区制造业</w:t>
      </w:r>
      <w:bookmarkStart w:id="216" w:name="OLE_LINK53"/>
      <w:r>
        <w:rPr>
          <w:rFonts w:hint="eastAsia" w:cs="Times New Roman"/>
          <w:szCs w:val="32"/>
        </w:rPr>
        <w:t>配套基地</w:t>
      </w:r>
      <w:bookmarkEnd w:id="216"/>
      <w:r>
        <w:rPr>
          <w:rFonts w:hint="eastAsia" w:cs="Times New Roman"/>
          <w:szCs w:val="32"/>
        </w:rPr>
        <w:t>，</w:t>
      </w:r>
      <w:bookmarkEnd w:id="215"/>
      <w:r>
        <w:rPr>
          <w:rFonts w:hint="eastAsia" w:cs="Times New Roman"/>
          <w:szCs w:val="32"/>
        </w:rPr>
        <w:t>在产业链配套、科技创新、人才交流等方面建立长效机制。借力粤港澳大湾区城市科技高地力量推动永州创新能力升级，深化“研发设计在湾区，生产制造在永州”的“科创飞地”建设，推动本土企业和湾区高校、科研院所共建联合实验室，实现创新资源双向联动。推进粤港澳大湾区“人才返湘”计划，探索“周末工程师”“双聘制”等灵活用人模式，打造湘南地区柔性引才样板。</w:t>
      </w:r>
    </w:p>
    <w:p w14:paraId="02828B96">
      <w:pPr>
        <w:spacing w:line="564" w:lineRule="exact"/>
        <w:ind w:firstLine="643"/>
        <w:rPr>
          <w:rFonts w:cs="Times New Roman"/>
        </w:rPr>
      </w:pPr>
      <w:r>
        <w:rPr>
          <w:rFonts w:hint="eastAsia" w:cs="Times New Roman"/>
          <w:b/>
          <w:bCs/>
          <w:szCs w:val="32"/>
        </w:rPr>
        <w:t>精准对接湾区市场。</w:t>
      </w:r>
      <w:r>
        <w:rPr>
          <w:rFonts w:hint="eastAsia" w:cs="Times New Roman"/>
          <w:szCs w:val="32"/>
        </w:rPr>
        <w:t>对标粤港澳大湾区质量安全标准和溯源体系要求，引导和实施高标准优质种养，确保供粤港澳大湾区“菜篮子”认证基地稳定在240个左右。持续提升“永州之野”“湘江源（蔬菜）”品牌知名度和影响力，推动在粤港澳大湾区合作设立永州农产品展销中心和前置仓，建设供湾社区店、专卖店，探索特色湘味土菜直供广深湘菜馆模式。畅通果蔬、肉类、水产品、预制菜、医药产品等入粤通道。做强森林康养、瑶族医药康养等特色产品，创新特色文化IP资源开发，深化湘粤区域文旅合作，打造粤港澳大湾区生态文旅康养目的地。</w:t>
      </w:r>
    </w:p>
    <w:p w14:paraId="6531B369">
      <w:pPr>
        <w:spacing w:before="217" w:beforeLines="50" w:after="217" w:afterLines="50" w:line="564"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坚实推进区域多向协调联动</w:t>
      </w:r>
    </w:p>
    <w:p w14:paraId="77294D87">
      <w:pPr>
        <w:adjustRightInd w:val="0"/>
        <w:snapToGrid w:val="0"/>
        <w:spacing w:line="564" w:lineRule="exact"/>
        <w:ind w:firstLine="643"/>
        <w:rPr>
          <w:rFonts w:cs="Times New Roman"/>
          <w:szCs w:val="32"/>
        </w:rPr>
      </w:pPr>
      <w:r>
        <w:rPr>
          <w:rFonts w:hint="eastAsia" w:cs="Times New Roman"/>
          <w:b/>
          <w:bCs/>
          <w:szCs w:val="32"/>
          <w14:ligatures w14:val="none"/>
        </w:rPr>
        <w:t>深度嵌入长株潭一体化建设。</w:t>
      </w:r>
      <w:r>
        <w:rPr>
          <w:rFonts w:hint="eastAsia" w:cs="Times New Roman"/>
          <w:szCs w:val="32"/>
        </w:rPr>
        <w:t>强化基础设施对接，推动永州至长株潭方向的高速铁路、高速公路网络优化和运能提升，推进5G网络、工业互联网、数据中心等新型基础设施领域共建共享。主动对接长株潭国家自主创新示范区等创新平台，积极与长株潭等地高校、科研院所、新型研发机构建立常态化合作机制。承接长株潭都市圈产业配套需求，聚焦农产品精深加工、新能源新材料、现代装备配套、新能源汽车关键零部件等领域，开展技术合作与市场对接。</w:t>
      </w:r>
    </w:p>
    <w:p w14:paraId="06902C15">
      <w:pPr>
        <w:spacing w:line="564" w:lineRule="exact"/>
        <w:ind w:firstLine="643"/>
        <w:rPr>
          <w:rFonts w:cs="Times New Roman"/>
          <w:spacing w:val="-6"/>
          <w:szCs w:val="32"/>
        </w:rPr>
      </w:pPr>
      <w:r>
        <w:rPr>
          <w:rFonts w:hint="eastAsia" w:cs="Times New Roman"/>
          <w:b/>
          <w:bCs/>
          <w:szCs w:val="32"/>
        </w:rPr>
        <w:t>奋力投入中部地区崛起。</w:t>
      </w:r>
      <w:r>
        <w:rPr>
          <w:rFonts w:hint="eastAsia" w:cs="Times New Roman"/>
          <w:szCs w:val="32"/>
        </w:rPr>
        <w:t>抢抓国家促进中部地区崛起的重大战略机遇，争取在先进制造业配套、科技成果转化、绿色农产品供应等方面打造中部重要功能协作区。深化潇水—湘江—长江联运机制，以交通一体化助推区域市场融合，积极承接产业转移和</w:t>
      </w:r>
      <w:r>
        <w:rPr>
          <w:rFonts w:hint="eastAsia" w:cs="Times New Roman"/>
          <w:spacing w:val="-6"/>
          <w:szCs w:val="32"/>
        </w:rPr>
        <w:t>创新资源外溢。推动建立污染联防联治联动机制，筑牢中部地区生态屏障。积极联动周边城市，建立城市间产业协同发展机制，实现错位发展、形成整体合力。</w:t>
      </w:r>
    </w:p>
    <w:p w14:paraId="63F7D4CE">
      <w:pPr>
        <w:spacing w:line="564" w:lineRule="exact"/>
        <w:ind w:firstLine="643"/>
        <w:rPr>
          <w:rFonts w:cs="Times New Roman"/>
          <w:szCs w:val="32"/>
        </w:rPr>
      </w:pPr>
      <w:r>
        <w:rPr>
          <w:rFonts w:hint="eastAsia"/>
          <w:b/>
          <w:bCs/>
          <w:szCs w:val="32"/>
        </w:rPr>
        <w:t>强化湘桂经济走廊合作联动。</w:t>
      </w:r>
      <w:r>
        <w:rPr>
          <w:rFonts w:hint="eastAsia" w:cs="Times New Roman"/>
          <w:szCs w:val="32"/>
        </w:rPr>
        <w:t>积极推动江桂高速、衡柳高铁、湘桂运河等“公铁水”入桂通道前期工作，协同构建长株潭城市群与北部湾城市群之间的陆海贸易大通道，打造“借船出海、借港出海”的中西部地区内陆开放合作示范区。做强湘桂两地合作前沿阵地，承接广西北部湾港进出口货物集散业务。合作建立湘粤桂农产品产销协作网络，促进区域农业协同发展。依托南岭旅游联盟，一体化促进南岭旅游区域谋划、资源共享、项目包装、服务推进、品牌打造。深入开展跨界水体共保联治，共同守护南岭生态屏障、湘江潇水生态廊道，打造绿色环保的流域经济带。</w:t>
      </w:r>
    </w:p>
    <w:p w14:paraId="35ABBF00">
      <w:pPr>
        <w:spacing w:line="564" w:lineRule="exact"/>
        <w:ind w:firstLine="643"/>
        <w:rPr>
          <w:rFonts w:cs="Times New Roman"/>
          <w:szCs w:val="32"/>
        </w:rPr>
      </w:pPr>
      <w:r>
        <w:rPr>
          <w:rFonts w:hint="eastAsia" w:cs="Times New Roman"/>
          <w:b/>
          <w:bCs/>
          <w:szCs w:val="32"/>
        </w:rPr>
        <w:t>主动对接成渝地区双城经济圈。</w:t>
      </w:r>
      <w:r>
        <w:rPr>
          <w:rFonts w:hint="eastAsia" w:cs="Times New Roman"/>
          <w:szCs w:val="32"/>
        </w:rPr>
        <w:t>依托永清广高铁、邵永高铁连接成渝经济圈，着力打造成渝地区联接粤港澳大湾区的重要战略链接和协作配套区，共建共享西部陆海新通道。深化产业协同与创新协作，立足电子电机、皮具纺织等领域制造优势，积极嵌入成渝地区汽车、电子信息等产业链供应链，精准承接成渝地区产业外溢。深化巴蜀和潇湘文化交流，联合打造巴蜀古道与潇湘文脉穿越之旅，建立长效合作与协同推广机制。</w:t>
      </w:r>
    </w:p>
    <w:p w14:paraId="56CDDECD">
      <w:pPr>
        <w:ind w:firstLine="643"/>
      </w:pPr>
      <w:r>
        <w:rPr>
          <w:rFonts w:hint="eastAsia"/>
          <w:b/>
          <w:bCs/>
        </w:rPr>
        <w:t>积极与长江三角洲地区合作协同。</w:t>
      </w:r>
      <w:r>
        <w:rPr>
          <w:rFonts w:hint="eastAsia"/>
        </w:rPr>
        <w:t>探索建立市场主导、政府推动的跨行政区划区域合作新路径。深化苏商产业园等产业合作平台建设，加强区域供需对接和招商引资，引进长三角地区先进管理理念和市场网络，推动产业升级和技术赋能。支持特色农产品拓展长三角市场，推动永企永品嵌入长三角产业链供应链价值链。深化人才双向交流，强化产学研协同创新。</w:t>
      </w:r>
    </w:p>
    <w:p w14:paraId="32E94008">
      <w:pPr>
        <w:pStyle w:val="6"/>
        <w:spacing w:before="435" w:after="217"/>
      </w:pPr>
      <w:bookmarkStart w:id="217" w:name="_Toc232094401"/>
      <w:r>
        <w:rPr>
          <w:rFonts w:hint="eastAsia"/>
        </w:rPr>
        <w:t>统筹优化全市区域布局</w:t>
      </w:r>
      <w:bookmarkEnd w:id="217"/>
    </w:p>
    <w:p w14:paraId="394A396A">
      <w:pPr>
        <w:spacing w:line="564" w:lineRule="exact"/>
        <w:ind w:firstLine="640"/>
        <w:rPr>
          <w:rFonts w:cs="Times New Roman"/>
        </w:rPr>
      </w:pPr>
      <w:r>
        <w:rPr>
          <w:rFonts w:hint="eastAsia" w:cs="Times New Roman"/>
        </w:rPr>
        <w:t>持续完善核心引领、轴带辐射、群圈协同的“一核两轴三圈”区域经济格局，聚力打造永清广高铁经济带，推动南北县市区加速融合、优势互补，构建支撑高质量发展的区域协调发展体系，奋力建设现代化新永州。</w:t>
      </w:r>
    </w:p>
    <w:p w14:paraId="6F896E6C">
      <w:pPr>
        <w:pStyle w:val="7"/>
        <w:spacing w:before="217" w:after="217" w:line="564" w:lineRule="exact"/>
        <w:rPr>
          <w:b w:val="0"/>
        </w:rPr>
      </w:pPr>
      <w:r>
        <w:rPr>
          <w:rFonts w:hint="eastAsia"/>
        </w:rPr>
        <w:t>第一节 持续强化“一核”</w:t>
      </w:r>
    </w:p>
    <w:p w14:paraId="065E1A0D">
      <w:pPr>
        <w:spacing w:line="564" w:lineRule="exact"/>
        <w:ind w:firstLine="640"/>
      </w:pPr>
      <w:r>
        <w:rPr>
          <w:rFonts w:hint="eastAsia" w:cs="Times New Roman"/>
        </w:rPr>
        <w:t>强化中心城区核心增长极功能，加快冷零融城、相向发展，持续打造湘江左岸千亿产业带、湘江两岸生态走廊和教育中心、医疗中心、文化中心、消费中心，持续提升中心城区首位度。做大北部冷水滩组团，打造以行政办公、商业商贸、创新研发、生活服务等功能为主的现代化综合性城区。做强中部滨江新城组团，促进产业融城、交通融城、生态融城、公共服务融城和改革融城，打造绿色智慧产业新城。做优南部零陵组团，推动产业培育发展、科教创新融合、历史文化生态旅游发展，支持锰稀新能源新材料产业集聚，建成现代化新零陵。</w:t>
      </w:r>
    </w:p>
    <w:p w14:paraId="631A1F17">
      <w:pPr>
        <w:pStyle w:val="7"/>
        <w:spacing w:before="217" w:after="217" w:line="564" w:lineRule="exact"/>
        <w:rPr>
          <w:b w:val="0"/>
        </w:rPr>
      </w:pPr>
      <w:r>
        <w:rPr>
          <w:rFonts w:hint="eastAsia"/>
        </w:rPr>
        <w:t>第二节 提速发展“两轴”</w:t>
      </w:r>
    </w:p>
    <w:p w14:paraId="7C27A24C">
      <w:pPr>
        <w:spacing w:line="564" w:lineRule="exact"/>
        <w:ind w:firstLine="640"/>
        <w:rPr>
          <w:rFonts w:cs="Times New Roman"/>
        </w:rPr>
      </w:pPr>
      <w:r>
        <w:rPr>
          <w:rFonts w:hint="eastAsia" w:cs="Times New Roman"/>
        </w:rPr>
        <w:t>以中心城区为核心，辐射带动市域北部经济轴潇湘城镇群发展，加强与祁阳、东安、双牌协调联动，重点发展先进装备制造、新能源新材料、电子信息、轻纺制鞋等产业。推动市域南部经济轴“两翼齐飞”，推进西翼道县、江永、江华经济提质增效，提升新材料、农副产品精深加工、电机电器等产业能级。支持东翼宁远、蓝山、新田稳增长拓空间，大力发展特色锂电材料、皮具箱包纺织、家具制造等产业。坚持南北轴线联动与节点错位相结合，深化产业互嵌、要素对流和市场融通，推动各县市彰显特色优势、差异化发展。</w:t>
      </w:r>
    </w:p>
    <w:p w14:paraId="178A41DC">
      <w:pPr>
        <w:pStyle w:val="7"/>
        <w:spacing w:before="217" w:after="217" w:line="564" w:lineRule="exact"/>
        <w:rPr>
          <w:b w:val="0"/>
        </w:rPr>
      </w:pPr>
      <w:r>
        <w:rPr>
          <w:rFonts w:hint="eastAsia"/>
        </w:rPr>
        <w:t>第三节 拓宽联动“三圈”</w:t>
      </w:r>
    </w:p>
    <w:p w14:paraId="2E0D5F54">
      <w:pPr>
        <w:spacing w:line="564" w:lineRule="exact"/>
        <w:ind w:firstLine="640"/>
        <w:rPr>
          <w:rFonts w:cs="Times New Roman"/>
        </w:rPr>
      </w:pPr>
      <w:r>
        <w:rPr>
          <w:rFonts w:hint="eastAsia" w:cs="Times New Roman"/>
        </w:rPr>
        <w:t>深化30分钟“同城圈”一体化发展，加强区域内交通互联密度，推动北部城区功能、空间、产业、文化、旅游与科技深度协同融合，形成产业要素集聚、居住体验优质、服务功能完善的生态系统。推动60分钟“协同圈”聚合力、增活力，加强政策供给和资源保障，构建高效便捷的市域快速交通体系，推进各县市区功能互补、产业配套，持续改善生产生活条件，统筹推进县域园区与永州陆港联动发展，提升南北县域高质量发展能级。深度拓展90分钟“融入圈”，纵深推进“向南向海向外”发展战略，发挥衡道高速、二广高速以及衡柳高铁、永清广高铁动脉贯通作用，加强与粤港澳大湾区、长江经济带、长株潭城市群、成渝地区双城经济圈、东盟等区域要素共享、功能整合、上下游融通，统筹推进全市产业集群建设与集聚带延伸。</w:t>
      </w:r>
    </w:p>
    <w:p w14:paraId="520EDB27">
      <w:pPr>
        <w:widowControl/>
        <w:spacing w:before="100" w:beforeAutospacing="1" w:after="100" w:afterAutospacing="1" w:line="240" w:lineRule="auto"/>
        <w:ind w:firstLine="0" w:firstLineChars="0"/>
        <w:jc w:val="center"/>
        <w:rPr>
          <w:rFonts w:hint="eastAsia" w:ascii="宋体" w:hAnsi="宋体" w:eastAsia="宋体" w:cs="宋体"/>
          <w:kern w:val="0"/>
          <w:sz w:val="24"/>
          <w:szCs w:val="24"/>
          <w14:ligatures w14:val="none"/>
        </w:rPr>
      </w:pPr>
      <w:r>
        <w:rPr>
          <w14:ligatures w14:val="none"/>
        </w:rPr>
        <w:drawing>
          <wp:inline distT="0" distB="0" distL="0" distR="0">
            <wp:extent cx="5669915" cy="7442200"/>
            <wp:effectExtent l="0" t="0" r="6985" b="6350"/>
            <wp:docPr id="1918041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41887" name="图片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669915" cy="7442200"/>
                    </a:xfrm>
                    <a:prstGeom prst="rect">
                      <a:avLst/>
                    </a:prstGeom>
                  </pic:spPr>
                </pic:pic>
              </a:graphicData>
            </a:graphic>
          </wp:inline>
        </w:drawing>
      </w:r>
    </w:p>
    <w:p w14:paraId="1EFA4581">
      <w:pPr>
        <w:pStyle w:val="113"/>
        <w:ind w:left="0"/>
      </w:pPr>
      <w:r>
        <w:rPr>
          <w:rFonts w:hint="eastAsia"/>
        </w:rPr>
        <w:t>永州市区域经济分布图</w:t>
      </w:r>
    </w:p>
    <w:p w14:paraId="024933A5">
      <w:pPr>
        <w:pStyle w:val="7"/>
        <w:spacing w:before="217" w:after="217"/>
      </w:pPr>
      <w:r>
        <w:rPr>
          <w:rFonts w:hint="eastAsia"/>
        </w:rPr>
        <w:t>第四节 推动南北均衡发展</w:t>
      </w:r>
    </w:p>
    <w:p w14:paraId="4D4EE2E2">
      <w:pPr>
        <w:ind w:firstLine="640"/>
        <w:rPr>
          <w:rFonts w:cs="Times New Roman"/>
        </w:rPr>
      </w:pPr>
      <w:bookmarkStart w:id="218" w:name="OLE_LINK26"/>
      <w:r>
        <w:rPr>
          <w:rFonts w:hint="eastAsia" w:cs="Times New Roman"/>
        </w:rPr>
        <w:t>大力推动北五县、南六县区域均衡发展，加大主城区对南六县的辐射和带动力，推动实现基础设施和公共服务全方位多领域深层协同。推动道县、江永、江华、新田等县与永清广高铁沿途车站的快速通道建设，开行零陵机场与南部县的定制班车。统筹教育、医疗资源向南部县区倾斜。支持市域高校对口帮扶南部县区学校，常态化开展南部县区师生培优活动。</w:t>
      </w:r>
      <w:bookmarkStart w:id="219" w:name="OLE_LINK42"/>
      <w:r>
        <w:rPr>
          <w:rFonts w:hint="eastAsia" w:cs="Times New Roman"/>
        </w:rPr>
        <w:t>继续实施市直公立医院结对帮扶南部县区工作，</w:t>
      </w:r>
      <w:r>
        <w:rPr>
          <w:rFonts w:hint="eastAsia" w:ascii="仿宋_GB2312" w:hAnsi="仿宋_GB2312" w:cs="仿宋_GB2312"/>
          <w:szCs w:val="32"/>
        </w:rPr>
        <w:t>加强专科共建、人才下沉、技术帮扶和管理支持，</w:t>
      </w:r>
      <w:r>
        <w:rPr>
          <w:rFonts w:hint="eastAsia"/>
        </w:rPr>
        <w:t>持续推动道县、蓝山县省级边界类区域医疗中心建设</w:t>
      </w:r>
      <w:r>
        <w:rPr>
          <w:rFonts w:hint="eastAsia" w:cs="Times New Roman"/>
        </w:rPr>
        <w:t>。</w:t>
      </w:r>
      <w:r>
        <w:rPr>
          <w:rFonts w:hint="eastAsia"/>
        </w:rPr>
        <w:t>依托南六县赴市就医交通专线，促进南六县“大病不出市”。</w:t>
      </w:r>
    </w:p>
    <w:bookmarkEnd w:id="218"/>
    <w:bookmarkEnd w:id="219"/>
    <w:p w14:paraId="6662DCCE">
      <w:pPr>
        <w:pStyle w:val="6"/>
        <w:spacing w:before="435" w:after="217"/>
      </w:pPr>
      <w:bookmarkStart w:id="220" w:name="_Toc216869309"/>
      <w:bookmarkEnd w:id="220"/>
      <w:bookmarkStart w:id="221" w:name="_Toc216830683"/>
      <w:bookmarkEnd w:id="221"/>
      <w:bookmarkStart w:id="222" w:name="_Toc215169826"/>
      <w:bookmarkEnd w:id="222"/>
      <w:bookmarkStart w:id="223" w:name="_Toc215169968"/>
      <w:bookmarkEnd w:id="223"/>
      <w:bookmarkStart w:id="224" w:name="_Toc216806609"/>
      <w:bookmarkEnd w:id="224"/>
      <w:bookmarkStart w:id="225" w:name="_Toc215168879"/>
      <w:bookmarkEnd w:id="225"/>
      <w:bookmarkStart w:id="226" w:name="_Toc216803091"/>
      <w:bookmarkEnd w:id="226"/>
      <w:bookmarkStart w:id="227" w:name="_Toc215169074"/>
      <w:bookmarkEnd w:id="227"/>
      <w:bookmarkStart w:id="228" w:name="_Toc216814646"/>
      <w:bookmarkEnd w:id="228"/>
      <w:bookmarkStart w:id="229" w:name="_Toc216770174"/>
      <w:bookmarkEnd w:id="229"/>
      <w:bookmarkStart w:id="230" w:name="_Toc215169897"/>
      <w:bookmarkEnd w:id="230"/>
      <w:bookmarkStart w:id="231" w:name="_Toc212282393"/>
      <w:bookmarkStart w:id="232" w:name="_Toc232094402"/>
      <w:bookmarkStart w:id="233" w:name="_Toc214617142"/>
      <w:r>
        <w:rPr>
          <w:rFonts w:hint="eastAsia"/>
        </w:rPr>
        <w:t>推动国土空间优化发展</w:t>
      </w:r>
      <w:bookmarkEnd w:id="231"/>
      <w:bookmarkEnd w:id="232"/>
      <w:bookmarkEnd w:id="233"/>
    </w:p>
    <w:p w14:paraId="79BDC078">
      <w:pPr>
        <w:ind w:firstLine="640"/>
        <w:rPr>
          <w:rFonts w:cs="Times New Roman"/>
        </w:rPr>
      </w:pPr>
      <w:r>
        <w:rPr>
          <w:rFonts w:hint="eastAsia" w:cs="Times New Roman"/>
        </w:rPr>
        <w:t>优化国土空间开发保护格局，推动空间格局有序化、差异化发展，逐步形成城镇、农业、生态三大空间，健全国土空间管控机制，助力美丽城市建设。</w:t>
      </w:r>
    </w:p>
    <w:p w14:paraId="7F8DC28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第一节 </w:t>
      </w:r>
      <w:bookmarkStart w:id="234" w:name="OLE_LINK20"/>
      <w:r>
        <w:rPr>
          <w:rFonts w:hint="eastAsia" w:eastAsia="楷体_GB2312" w:cstheme="majorBidi"/>
          <w:b/>
          <w:color w:val="000000" w:themeColor="text1"/>
          <w:szCs w:val="32"/>
          <w14:textFill>
            <w14:solidFill>
              <w14:schemeClr w14:val="tx1"/>
            </w14:solidFill>
          </w14:textFill>
        </w:rPr>
        <w:t>落实主体功能区战略</w:t>
      </w:r>
      <w:bookmarkEnd w:id="234"/>
    </w:p>
    <w:p w14:paraId="7C6D0737">
      <w:pPr>
        <w:ind w:firstLine="640"/>
        <w:rPr>
          <w:rFonts w:cs="Times New Roman"/>
        </w:rPr>
      </w:pPr>
      <w:r>
        <w:rPr>
          <w:rFonts w:hint="eastAsia" w:cs="Times New Roman"/>
        </w:rPr>
        <w:t>健全主体功能分区分类引导机制。城市化地区重点提升城市功能，优化布局交通、水利、能源、环境保护等重大基础设施，重点增强经济和人口承载能力。农产品主产区聚焦完善农业创新体系，打造以精细农业为特色的优质农副产品供应基地，提升农产品供给保障能力，确保粮食安全。重点生态功能区注重创新生态保护模式，维护生态系统服务功能，落实产业准入禁止限制目录制度，确保区域生态安全。历史文化资源富集区依托人文和自然景观资源适度拓展文化旅游功能，适当放宽旅游用地指标。</w:t>
      </w:r>
    </w:p>
    <w:p w14:paraId="7DBAB62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优化国土空间开发保护新格局</w:t>
      </w:r>
    </w:p>
    <w:p w14:paraId="7EEAC2AB">
      <w:pPr>
        <w:ind w:firstLine="640"/>
      </w:pPr>
      <w:r>
        <w:rPr>
          <w:rFonts w:hint="eastAsia" w:cs="Times New Roman"/>
        </w:rPr>
        <w:t>构建“一廊三屏两区、一核两圈四轴”的国土空间总体格局，强化“三区三线”刚性约束与统一国土空间规划用途管制。完善全市“三级三类”国土空间规划体系，</w:t>
      </w:r>
      <w:r>
        <w:rPr>
          <w:rFonts w:hint="eastAsia" w:cs="Times New Roman"/>
          <w:szCs w:val="22"/>
          <w:lang w:bidi="ar"/>
        </w:rPr>
        <w:t>建立覆盖市、县、乡三级的国土空间规划“一张图”实施监督管理系统，</w:t>
      </w:r>
      <w:r>
        <w:rPr>
          <w:rFonts w:hint="eastAsia" w:cs="Times New Roman"/>
        </w:rPr>
        <w:t>开展国土空间规划实施监督和体检评估。加强存量土地使用管理，优化土地要素供给方式。持续深入推进河田长制工作，完善耕地保护、河湖管理制度建设。严厉打击违法违规用地行为，维护国土空间开发秩序。到2030年，单位GDP建设用地使用面积下降率达15%。</w:t>
      </w:r>
    </w:p>
    <w:p w14:paraId="0F3B057F">
      <w:pPr>
        <w:spacing w:line="240" w:lineRule="auto"/>
        <w:ind w:firstLine="0" w:firstLineChars="0"/>
        <w:jc w:val="center"/>
        <w:rPr>
          <w:rFonts w:cs="Times New Roman"/>
        </w:rPr>
      </w:pPr>
      <w:r>
        <w:rPr>
          <w:rFonts w:cs="Times New Roman"/>
        </w:rPr>
        <w:drawing>
          <wp:inline distT="0" distB="0" distL="114300" distR="114300">
            <wp:extent cx="5173980" cy="6839585"/>
            <wp:effectExtent l="0" t="0" r="762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173980" cy="6839585"/>
                    </a:xfrm>
                    <a:prstGeom prst="rect">
                      <a:avLst/>
                    </a:prstGeom>
                    <a:noFill/>
                    <a:ln>
                      <a:noFill/>
                    </a:ln>
                  </pic:spPr>
                </pic:pic>
              </a:graphicData>
            </a:graphic>
          </wp:inline>
        </w:drawing>
      </w:r>
    </w:p>
    <w:p w14:paraId="664E97DA">
      <w:pPr>
        <w:pStyle w:val="113"/>
        <w:ind w:left="0"/>
      </w:pPr>
      <w:r>
        <w:rPr>
          <w:rFonts w:hint="eastAsia"/>
        </w:rPr>
        <w:t>永州市国土空间总体格局规划图</w:t>
      </w:r>
    </w:p>
    <w:p w14:paraId="7024614E">
      <w:pPr>
        <w:pStyle w:val="6"/>
        <w:spacing w:before="435" w:after="217"/>
      </w:pPr>
      <w:bookmarkStart w:id="235" w:name="_Toc215343783"/>
      <w:bookmarkStart w:id="236" w:name="_Toc232094403"/>
      <w:bookmarkStart w:id="237" w:name="_Toc212282417"/>
      <w:r>
        <w:rPr>
          <w:rFonts w:hint="eastAsia"/>
        </w:rPr>
        <w:t>构建现代化基础设施体系</w:t>
      </w:r>
      <w:bookmarkEnd w:id="235"/>
      <w:bookmarkEnd w:id="236"/>
    </w:p>
    <w:p w14:paraId="3EB5E8BE">
      <w:pPr>
        <w:ind w:firstLine="640"/>
      </w:pPr>
      <w:r>
        <w:rPr>
          <w:rFonts w:hint="eastAsia"/>
        </w:rPr>
        <w:t>以提升永州区位能级、增进发展质效为导向，优化基础设施布局、结构、功能和系统集成，打造系统完备、高效实用、智能绿色、安全可靠的现代化基础设施体系。</w:t>
      </w:r>
    </w:p>
    <w:p w14:paraId="63AEA128">
      <w:pPr>
        <w:pStyle w:val="7"/>
        <w:spacing w:before="217" w:after="217"/>
        <w:rPr>
          <w:b w:val="0"/>
        </w:rPr>
      </w:pPr>
      <w:r>
        <w:rPr>
          <w:rFonts w:hint="eastAsia"/>
        </w:rPr>
        <w:t>第一节 完善多层次交通基础设施体系</w:t>
      </w:r>
    </w:p>
    <w:p w14:paraId="3D695718">
      <w:pPr>
        <w:ind w:firstLine="640"/>
      </w:pPr>
      <w:r>
        <w:rPr>
          <w:rFonts w:hint="eastAsia"/>
        </w:rPr>
        <w:t>持续滚动实施交通基础设施十大工程，构建对外大畅通、对内大循环的交通运输体系。</w:t>
      </w:r>
    </w:p>
    <w:p w14:paraId="0D3F0C36">
      <w:pPr>
        <w:adjustRightInd w:val="0"/>
        <w:snapToGrid w:val="0"/>
        <w:ind w:firstLine="643"/>
        <w:rPr>
          <w:rFonts w:cs="Times New Roman"/>
          <w:szCs w:val="20"/>
          <w14:ligatures w14:val="none"/>
        </w:rPr>
      </w:pPr>
      <w:r>
        <w:rPr>
          <w:rFonts w:hint="eastAsia" w:cs="Times New Roman"/>
          <w:b/>
          <w:bCs/>
          <w:szCs w:val="20"/>
          <w14:ligatures w14:val="none"/>
        </w:rPr>
        <w:t>推动“对外大畅通”。</w:t>
      </w:r>
      <w:r>
        <w:rPr>
          <w:rFonts w:hint="eastAsia" w:cs="Times New Roman"/>
          <w:szCs w:val="20"/>
          <w14:ligatures w14:val="none"/>
        </w:rPr>
        <w:t>加快推进邵永铁路建成投运与永清广高铁开工建设，</w:t>
      </w:r>
      <w:r>
        <w:rPr>
          <w:rFonts w:hint="eastAsia" w:cs="Times New Roman"/>
          <w:bCs/>
          <w:szCs w:val="20"/>
          <w14:ligatures w14:val="none"/>
        </w:rPr>
        <w:t>争取衡柳高铁、兴永郴赣铁路、益湛铁路永贺段扩能改造启动前期工作</w:t>
      </w:r>
      <w:r>
        <w:rPr>
          <w:rFonts w:hint="eastAsia" w:cs="Times New Roman"/>
          <w:szCs w:val="20"/>
          <w14:ligatures w14:val="none"/>
        </w:rPr>
        <w:t>，全面打造“米”字型铁路网布局。推动永州高铁站综合交通枢纽建设。完善“一环四纵五横”高速公路骨架网，实现高质量“县县通高速”，重点推动江华至连山、江永至桂林、东安至全州等省际通道项目。建设“一主两支”航道体系，推进湘江衡永航道工程建成通航和湘桂运河谋划建设，同步规划港口铁路集疏运系统。加快构建以永州机场为核心、8个通用机场为支撑的“1+8”机场布局体系，推动机场与高铁站、城市交通的快速衔接，探索发展空铁联运服务。统筹布局起降场地，打造“空天地一体化”低空智联网，着力构建系统、实用、协同、创新的低空基础设施体系。</w:t>
      </w:r>
    </w:p>
    <w:p w14:paraId="46C43AF3">
      <w:pPr>
        <w:adjustRightInd w:val="0"/>
        <w:snapToGrid w:val="0"/>
        <w:ind w:firstLine="643"/>
        <w:rPr>
          <w:rFonts w:cs="Times New Roman"/>
          <w:bCs/>
          <w:szCs w:val="20"/>
          <w14:ligatures w14:val="none"/>
        </w:rPr>
      </w:pPr>
      <w:r>
        <w:rPr>
          <w:rFonts w:hint="eastAsia" w:cs="Times New Roman"/>
          <w:b/>
          <w:bCs/>
          <w:szCs w:val="20"/>
          <w14:ligatures w14:val="none"/>
        </w:rPr>
        <w:t>完善“对内大循环”。</w:t>
      </w:r>
      <w:r>
        <w:rPr>
          <w:rFonts w:hint="eastAsia" w:cs="Times New Roman"/>
          <w:bCs/>
          <w:szCs w:val="20"/>
          <w14:ligatures w14:val="none"/>
        </w:rPr>
        <w:t>推动永清广高铁与城市交通有机衔接，增强沿线站点辐射能力，助力永州构建内畅外联、高效便捷的综合交通网络。大力推进普通国道项目建设，重点推进G357道县屋脊干至白马渡、G357宁远至道县快速通道公路开工建设，持续推进G207道县至江华（江华段）、G538江永神湾至瓦屋下（回龙圩界）、G537蓝山祠堂圩至岭脚公路等续建项目建设，完善区域路网，构建各县市区与高铁站的快速联通格局。</w:t>
      </w:r>
      <w:r>
        <w:rPr>
          <w:rFonts w:hint="eastAsia" w:cs="Times New Roman"/>
          <w:szCs w:val="20"/>
          <w14:ligatures w14:val="none"/>
        </w:rPr>
        <w:t>抓好普通国道待贯通路段和低等级路段建设，持续深化“四好农村路”建设，到2030年，基本实现乡镇通三级及以上公路。</w:t>
      </w:r>
    </w:p>
    <w:p w14:paraId="7116531E">
      <w:pPr>
        <w:ind w:firstLine="640"/>
      </w:pPr>
    </w:p>
    <w:p w14:paraId="007F93BF">
      <w:pPr>
        <w:adjustRightInd w:val="0"/>
        <w:snapToGrid w:val="0"/>
        <w:spacing w:line="240" w:lineRule="auto"/>
        <w:ind w:firstLine="0" w:firstLineChars="0"/>
        <w:jc w:val="center"/>
        <w:rPr>
          <w:rFonts w:cs="Times New Roman"/>
          <w:szCs w:val="20"/>
          <w14:ligatures w14:val="none"/>
        </w:rPr>
      </w:pPr>
      <w:r>
        <w:rPr>
          <w:rFonts w:cs="Times New Roman"/>
          <w:szCs w:val="20"/>
          <w14:ligatures w14:val="none"/>
        </w:rPr>
        <w:drawing>
          <wp:inline distT="0" distB="0" distL="0" distR="0">
            <wp:extent cx="5451475" cy="7279640"/>
            <wp:effectExtent l="0" t="0" r="0" b="0"/>
            <wp:docPr id="11679348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934822"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t="5587"/>
                    <a:stretch>
                      <a:fillRect/>
                    </a:stretch>
                  </pic:blipFill>
                  <pic:spPr>
                    <a:xfrm>
                      <a:off x="0" y="0"/>
                      <a:ext cx="5452354" cy="7280945"/>
                    </a:xfrm>
                    <a:prstGeom prst="rect">
                      <a:avLst/>
                    </a:prstGeom>
                    <a:noFill/>
                    <a:ln>
                      <a:noFill/>
                    </a:ln>
                  </pic:spPr>
                </pic:pic>
              </a:graphicData>
            </a:graphic>
          </wp:inline>
        </w:drawing>
      </w:r>
    </w:p>
    <w:p w14:paraId="3953C4F4">
      <w:pPr>
        <w:numPr>
          <w:ilvl w:val="0"/>
          <w:numId w:val="2"/>
        </w:numPr>
        <w:adjustRightInd w:val="0"/>
        <w:snapToGrid w:val="0"/>
        <w:ind w:left="0" w:firstLine="0" w:firstLineChars="0"/>
        <w:jc w:val="center"/>
        <w:outlineLvl w:val="5"/>
        <w:rPr>
          <w:rFonts w:ascii="仿宋_GB2312" w:hAnsi="Calibri"/>
          <w:b/>
          <w:sz w:val="28"/>
          <w:szCs w:val="22"/>
        </w:rPr>
      </w:pPr>
      <w:r>
        <w:rPr>
          <w:rFonts w:hint="eastAsia" w:ascii="仿宋_GB2312" w:hAnsi="Calibri"/>
          <w:b/>
          <w:sz w:val="28"/>
          <w:szCs w:val="22"/>
        </w:rPr>
        <w:t>永清广高铁站点公路衔接规划示意图</w:t>
      </w:r>
    </w:p>
    <w:tbl>
      <w:tblPr>
        <w:tblStyle w:val="1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661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5DB791D1">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12</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交通基础设施重点工程</w:t>
            </w:r>
          </w:p>
        </w:tc>
      </w:tr>
      <w:tr w14:paraId="2675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5501AF23">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铁路建设工程。</w:t>
            </w:r>
            <w:r>
              <w:rPr>
                <w:rFonts w:hint="eastAsia" w:cs="Times New Roman"/>
                <w:bCs/>
                <w:kern w:val="0"/>
                <w:sz w:val="24"/>
                <w:szCs w:val="22"/>
                <w14:ligatures w14:val="none"/>
              </w:rPr>
              <w:t>重点推动邵永铁路建成投运、永清广高铁开工建设，争取衡柳高铁、兴永郴赣铁路、益湛铁路永贺段扩能改造启动前期工作。</w:t>
            </w:r>
          </w:p>
          <w:p w14:paraId="3CA8C302">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公路建设工程。</w:t>
            </w:r>
            <w:r>
              <w:rPr>
                <w:rFonts w:hint="eastAsia" w:cs="Times New Roman"/>
                <w:bCs/>
                <w:kern w:val="0"/>
                <w:sz w:val="24"/>
                <w:szCs w:val="22"/>
                <w14:ligatures w14:val="none"/>
              </w:rPr>
              <w:t>建成零陵至道县高速、桂阳至新田（宁远）高速，重点推动江华至连山（湘粤界）高速（永清高速）、江永至桂林（湘桂界）高速、东安至全州（湘桂界）高速等省际通道项目。积极推动永州南环高速、常宁经新田至嘉禾（临武）高速公路前期工作。</w:t>
            </w:r>
          </w:p>
          <w:p w14:paraId="314DEFC8">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水运建设工程。</w:t>
            </w:r>
            <w:r>
              <w:rPr>
                <w:rFonts w:hint="eastAsia" w:cs="Times New Roman"/>
                <w:kern w:val="0"/>
                <w:sz w:val="24"/>
                <w:szCs w:val="22"/>
                <w14:ligatures w14:val="none"/>
              </w:rPr>
              <w:t>建成永州至衡阳三级航道，</w:t>
            </w:r>
            <w:r>
              <w:rPr>
                <w:rFonts w:hint="eastAsia" w:cs="Times New Roman"/>
                <w:bCs/>
                <w:spacing w:val="-6"/>
                <w:kern w:val="0"/>
                <w:sz w:val="24"/>
                <w:szCs w:val="22"/>
                <w14:ligatures w14:val="none"/>
              </w:rPr>
              <w:t>重点推进江华涔天河库区航运建设工程，加快推动建设永州港货运码头项目，研究论证湘桂运河。</w:t>
            </w:r>
          </w:p>
          <w:p w14:paraId="15F48D25">
            <w:pPr>
              <w:spacing w:line="440" w:lineRule="exact"/>
              <w:ind w:firstLine="482"/>
              <w:rPr>
                <w:rFonts w:cs="Times New Roman"/>
                <w:b/>
                <w:kern w:val="0"/>
                <w:sz w:val="24"/>
                <w:szCs w:val="22"/>
                <w14:ligatures w14:val="none"/>
              </w:rPr>
            </w:pPr>
            <w:r>
              <w:rPr>
                <w:rFonts w:hint="eastAsia" w:cs="Times New Roman"/>
                <w:b/>
                <w:kern w:val="0"/>
                <w:sz w:val="24"/>
                <w:szCs w:val="22"/>
                <w14:ligatures w14:val="none"/>
              </w:rPr>
              <w:t>机场建设工程。</w:t>
            </w:r>
            <w:r>
              <w:rPr>
                <w:rFonts w:hint="eastAsia" w:cs="Times New Roman"/>
                <w:bCs/>
                <w:kern w:val="0"/>
                <w:sz w:val="24"/>
                <w:szCs w:val="22"/>
                <w14:ligatures w14:val="none"/>
              </w:rPr>
              <w:t>推动永州机场迁建和祁阳、江华、道县、宁远、新田、东安、蓝山、江永八大县市区通用机场建设。</w:t>
            </w:r>
          </w:p>
          <w:p w14:paraId="61D794D6">
            <w:pPr>
              <w:spacing w:line="440" w:lineRule="exact"/>
              <w:ind w:firstLine="482"/>
              <w:rPr>
                <w:rFonts w:ascii="Calibri" w:hAnsi="Calibri" w:eastAsia="宋体" w:cs="Times New Roman"/>
                <w:sz w:val="21"/>
                <w:szCs w:val="24"/>
                <w14:ligatures w14:val="none"/>
              </w:rPr>
            </w:pPr>
            <w:r>
              <w:rPr>
                <w:rFonts w:hint="eastAsia" w:cs="Times New Roman"/>
                <w:b/>
                <w:kern w:val="0"/>
                <w:sz w:val="24"/>
                <w:szCs w:val="22"/>
                <w14:ligatures w14:val="none"/>
              </w:rPr>
              <w:t>交通枢纽建设工程。</w:t>
            </w:r>
            <w:r>
              <w:rPr>
                <w:rFonts w:hint="eastAsia" w:cs="Times New Roman"/>
                <w:bCs/>
                <w:kern w:val="0"/>
                <w:sz w:val="24"/>
                <w:szCs w:val="22"/>
                <w14:ligatures w14:val="none"/>
              </w:rPr>
              <w:t>推动永州高铁站综合交通枢纽工程及配套基础设施项目建设。打造一体化综合客运枢纽，推动普通客运站转型升级。</w:t>
            </w:r>
          </w:p>
        </w:tc>
      </w:tr>
    </w:tbl>
    <w:p w14:paraId="110ADD2F">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第二节 </w:t>
      </w:r>
      <w:r>
        <w:rPr>
          <w:rFonts w:eastAsia="楷体_GB2312" w:cstheme="majorBidi"/>
          <w:b/>
          <w:color w:val="000000" w:themeColor="text1"/>
          <w:szCs w:val="32"/>
          <w14:textFill>
            <w14:solidFill>
              <w14:schemeClr w14:val="tx1"/>
            </w14:solidFill>
          </w14:textFill>
        </w:rPr>
        <w:t>打造</w:t>
      </w:r>
      <w:r>
        <w:rPr>
          <w:rFonts w:hint="eastAsia" w:eastAsia="楷体_GB2312" w:cstheme="majorBidi"/>
          <w:b/>
          <w:color w:val="000000" w:themeColor="text1"/>
          <w:szCs w:val="32"/>
          <w14:textFill>
            <w14:solidFill>
              <w14:schemeClr w14:val="tx1"/>
            </w14:solidFill>
          </w14:textFill>
        </w:rPr>
        <w:t>清洁低碳安全高效的新型能源体系</w:t>
      </w:r>
    </w:p>
    <w:p w14:paraId="68D41975">
      <w:pPr>
        <w:ind w:firstLine="640"/>
      </w:pPr>
      <w:r>
        <w:rPr>
          <w:rFonts w:hint="eastAsia"/>
        </w:rPr>
        <w:t>统筹能源低碳转型和安全保障，推进源网荷储一体化开发。巩固水电基础，有序实施已建水电老旧机组优化升级和扩机增容。重点布局山地风电项目，推动风电规模化、可持续发展。因地制宜建设农光互补、林光互补和渔光互补等集中式光伏项目。积极开展“新能源＋”应用场景模式创新，加快新能源赋能零碳园区建设，提升虚拟电厂发展规模和水平，拓展人工智能与新能源领域深度融合应用场景，探索算力中心绿电直供项目试点。加快湘桂背靠背跨省直流联网工程前期研究，推进新能源项目跨网互联。加强数智化坚强电网和微电网建设，推动电网协调发展。推进新型储能在电源侧、电网侧和用户侧多场景应用，推广“新能源+新型储能”深度融合发展模式。合理保障火电装机裕度，逐步推动火电向基础保障性和系统调节性电源并重方向转型发展。实施气化永州工程，实现管道天然气覆盖率大幅提升。</w:t>
      </w:r>
    </w:p>
    <w:tbl>
      <w:tblPr>
        <w:tblStyle w:val="1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04D1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2BE17EFD">
            <w:pPr>
              <w:tabs>
                <w:tab w:val="left" w:pos="4800"/>
              </w:tabs>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13</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能源基础设施重点工程</w:t>
            </w:r>
          </w:p>
        </w:tc>
      </w:tr>
      <w:tr w14:paraId="2B66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71AD69D0">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能源拓源工程。</w:t>
            </w:r>
          </w:p>
          <w:p w14:paraId="24C14501">
            <w:pPr>
              <w:tabs>
                <w:tab w:val="left" w:pos="4800"/>
              </w:tabs>
              <w:spacing w:line="440" w:lineRule="exact"/>
              <w:ind w:firstLine="480"/>
              <w:rPr>
                <w:sz w:val="24"/>
              </w:rPr>
            </w:pPr>
            <w:r>
              <w:rPr>
                <w:rFonts w:hint="eastAsia"/>
                <w:bCs/>
                <w:sz w:val="24"/>
              </w:rPr>
              <w:t>到2030年，全市风电、光伏装机达到1200万千瓦，水电装机达到217.4万千瓦。合理布局、科学有序开发建设抽水蓄能电站，加快推进江华湾水源、双牌天子山抽水蓄能电站建成投产。</w:t>
            </w:r>
          </w:p>
          <w:p w14:paraId="2580F555">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能源输配工程。</w:t>
            </w:r>
          </w:p>
          <w:p w14:paraId="5F5079AC">
            <w:pPr>
              <w:tabs>
                <w:tab w:val="left" w:pos="4800"/>
              </w:tabs>
              <w:spacing w:line="440" w:lineRule="exact"/>
              <w:ind w:firstLine="480"/>
              <w:rPr>
                <w:rFonts w:cs="Times New Roman"/>
                <w:b/>
                <w:bCs/>
                <w:color w:val="538135"/>
                <w:kern w:val="0"/>
                <w:sz w:val="24"/>
                <w:szCs w:val="22"/>
                <w14:ligatures w14:val="none"/>
              </w:rPr>
            </w:pPr>
            <w:r>
              <w:rPr>
                <w:rFonts w:hint="eastAsia" w:cs="Times New Roman"/>
                <w:bCs/>
                <w:kern w:val="0"/>
                <w:sz w:val="24"/>
                <w:szCs w:val="22"/>
                <w14:ligatures w14:val="none"/>
              </w:rPr>
              <w:t>推进永州南500千伏输变电工程建设投产。建设220千伏电网项目13个，新增变电容量66万千伏安。建设35—110千伏电网项目100个，新增变电容量127万千伏安。加快永州—祁阳支线、永州—东安支线、嘉禾—宁远—道县支线等输气管道工程投产，建设天然气管网130千米。布局建设永州市LNG应急调峰站，液化能力达40万立方米/天，LNG储罐总规模达1万立方米。推进国能湖南永州电厂向中心城区供热工程项目建设。</w:t>
            </w:r>
          </w:p>
          <w:p w14:paraId="2D589360">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“新能源+”应用工程。</w:t>
            </w:r>
          </w:p>
          <w:p w14:paraId="3A1AA630">
            <w:pPr>
              <w:tabs>
                <w:tab w:val="left" w:pos="4800"/>
              </w:tabs>
              <w:spacing w:line="440" w:lineRule="exact"/>
              <w:ind w:firstLine="480"/>
              <w:rPr>
                <w:rFonts w:cs="Times New Roman"/>
                <w:bCs/>
                <w:kern w:val="0"/>
                <w:sz w:val="24"/>
                <w:szCs w:val="22"/>
                <w14:ligatures w14:val="none"/>
              </w:rPr>
            </w:pPr>
            <w:r>
              <w:rPr>
                <w:rFonts w:hint="eastAsia" w:cs="Times New Roman"/>
                <w:bCs/>
                <w:kern w:val="0"/>
                <w:sz w:val="24"/>
                <w:szCs w:val="22"/>
                <w14:ligatures w14:val="none"/>
              </w:rPr>
              <w:t>聚焦“源网荷储一体化”“零碳园区”“虚拟电厂”“绿电直连”等新型场景，深化“新能源</w:t>
            </w:r>
            <w:r>
              <w:rPr>
                <w:rFonts w:cs="Times New Roman"/>
                <w:bCs/>
                <w:kern w:val="0"/>
                <w:sz w:val="24"/>
                <w:szCs w:val="22"/>
                <w14:ligatures w14:val="none"/>
              </w:rPr>
              <w:t>+</w:t>
            </w:r>
            <w:r>
              <w:rPr>
                <w:rFonts w:hint="eastAsia" w:cs="Times New Roman"/>
                <w:bCs/>
                <w:kern w:val="0"/>
                <w:sz w:val="24"/>
                <w:szCs w:val="22"/>
                <w14:ligatures w14:val="none"/>
              </w:rPr>
              <w:t>”创新，实现从单一电力消纳向多能综合利用转型。建立优质项目动态遴选机制，筛选培育标杆项目，为构建新型能源体系提供支撑。</w:t>
            </w:r>
          </w:p>
        </w:tc>
      </w:tr>
    </w:tbl>
    <w:p w14:paraId="0F39D8F4">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筑牢现代化水安全保障体系</w:t>
      </w:r>
    </w:p>
    <w:p w14:paraId="3944BCDE">
      <w:pPr>
        <w:ind w:firstLine="640"/>
      </w:pPr>
      <w:r>
        <w:rPr>
          <w:rFonts w:hint="eastAsia"/>
        </w:rPr>
        <w:t>以全面提升水安全保障能力为主线，优化水利基础设施布局与发展模式，增强水安全风险防控的主动性和有效性。深入开展河流防洪治理，聚焦湘江干流及其主要支流，实施堤防加固、河道整治工程。推进防洪控制性枢纽建设，增强水库洪水调蓄能力。对标韧性城市建设要求，提质改造城市防洪排涝系统。建立健全中小河流雨水情监测预报“三道防线”机制，持续完善山洪灾害监测预警系统建设。加快水资源配置骨干网与水系连通工程建设，形成多源互补、高效运转的供水网络。实施万库千容增蓄提质行动，推进应急备用水源工程，健全水资源安全战略储备体系。积极打造集数据监测、安防监控、智能预警等功能为一体的二次供水管理系统，全力推进老旧二次供水设施改造。开展农村供水水质提升专项行动，构建“水源—水龙头”全过程保障体系，实现城乡供水同源、同网、同质、同监管、同服务。实施“渠润潇湘”建设行动，完善农业灌排设施网络，打造现代化农田水利体系。持续做好河湖水质保护，滚动编制实施“一河（湖）一策”，稳步推进幸福河湖建设。</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4AD0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1D0E5B48">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14</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水利基础设施重点工程</w:t>
            </w:r>
          </w:p>
        </w:tc>
      </w:tr>
      <w:tr w14:paraId="6D0D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3D317A37">
            <w:pPr>
              <w:spacing w:line="440" w:lineRule="exact"/>
              <w:ind w:firstLine="482"/>
              <w:rPr>
                <w:rFonts w:cs="Times New Roman"/>
                <w:b/>
                <w:bCs/>
                <w:kern w:val="0"/>
                <w:sz w:val="24"/>
                <w:szCs w:val="22"/>
                <w14:ligatures w14:val="none"/>
              </w:rPr>
            </w:pPr>
            <w:r>
              <w:rPr>
                <w:rFonts w:hint="eastAsia" w:cs="Times New Roman"/>
                <w:b/>
                <w:bCs/>
                <w:kern w:val="0"/>
                <w:sz w:val="24"/>
                <w:szCs w:val="22"/>
                <w14:ligatures w14:val="none"/>
              </w:rPr>
              <w:t>城市防洪工程。</w:t>
            </w:r>
            <w:r>
              <w:rPr>
                <w:rFonts w:hint="eastAsia" w:cs="Times New Roman"/>
                <w:kern w:val="0"/>
                <w:sz w:val="24"/>
                <w:szCs w:val="22"/>
                <w14:ligatures w14:val="none"/>
              </w:rPr>
              <w:t>实施城市防洪保护圈堤防闭合达标工程，对部分存在移民拆迁等制约因素的城市防洪保护圈，采取临时或非工程措施保障城市防洪安全，新建城区务必先期完成城市防洪堤防达标建设。</w:t>
            </w:r>
          </w:p>
          <w:p w14:paraId="2E2A5EE2">
            <w:pPr>
              <w:spacing w:line="440" w:lineRule="exact"/>
              <w:ind w:firstLine="482"/>
              <w:rPr>
                <w:rFonts w:cs="Times New Roman"/>
                <w:b/>
                <w:bCs/>
                <w:kern w:val="0"/>
                <w:sz w:val="24"/>
                <w:szCs w:val="22"/>
                <w14:ligatures w14:val="none"/>
              </w:rPr>
            </w:pPr>
            <w:r>
              <w:rPr>
                <w:rFonts w:hint="eastAsia" w:cs="Times New Roman"/>
                <w:b/>
                <w:bCs/>
                <w:kern w:val="0"/>
                <w:sz w:val="24"/>
                <w:szCs w:val="22"/>
                <w14:ligatures w14:val="none"/>
              </w:rPr>
              <w:t>中小河流治理工程。</w:t>
            </w:r>
            <w:r>
              <w:rPr>
                <w:rFonts w:hint="eastAsia" w:cs="Times New Roman"/>
                <w:kern w:val="0"/>
                <w:sz w:val="24"/>
                <w:szCs w:val="22"/>
                <w14:ligatures w14:val="none"/>
              </w:rPr>
              <w:t>实施湘江干流、永明河等中小河流治理工程，推进重点山洪沟治理工程，推动潇水治理工程建设。</w:t>
            </w:r>
          </w:p>
          <w:p w14:paraId="2A86C1D8">
            <w:pPr>
              <w:spacing w:line="440" w:lineRule="exact"/>
              <w:ind w:firstLine="482"/>
              <w:rPr>
                <w:rFonts w:cs="Times New Roman"/>
                <w:kern w:val="0"/>
                <w:sz w:val="24"/>
                <w:szCs w:val="22"/>
                <w14:ligatures w14:val="none"/>
              </w:rPr>
            </w:pPr>
            <w:r>
              <w:rPr>
                <w:rFonts w:hint="eastAsia" w:cs="Times New Roman"/>
                <w:b/>
                <w:bCs/>
                <w:kern w:val="0"/>
                <w:sz w:val="24"/>
                <w:szCs w:val="22"/>
                <w14:ligatures w14:val="none"/>
              </w:rPr>
              <w:t>水库防洪调蓄工程。</w:t>
            </w:r>
            <w:r>
              <w:rPr>
                <w:rFonts w:hint="eastAsia" w:cs="Times New Roman"/>
                <w:kern w:val="0"/>
                <w:sz w:val="24"/>
                <w:szCs w:val="22"/>
                <w14:ligatures w14:val="none"/>
              </w:rPr>
              <w:t>推进源口水库扩建工程等大中型水库工程建设，实施新建水闸、病险水库水闸除险加固等工程。</w:t>
            </w:r>
          </w:p>
          <w:p w14:paraId="0EC748B9">
            <w:pPr>
              <w:spacing w:line="440" w:lineRule="exact"/>
              <w:ind w:firstLine="482"/>
              <w:rPr>
                <w:rFonts w:cs="Times New Roman"/>
                <w:kern w:val="0"/>
                <w:sz w:val="24"/>
                <w:szCs w:val="22"/>
                <w14:ligatures w14:val="none"/>
              </w:rPr>
            </w:pPr>
            <w:r>
              <w:rPr>
                <w:rFonts w:hint="eastAsia" w:cs="Times New Roman"/>
                <w:b/>
                <w:bCs/>
                <w:kern w:val="0"/>
                <w:sz w:val="24"/>
                <w:szCs w:val="22"/>
                <w14:ligatures w14:val="none"/>
              </w:rPr>
              <w:t>水资源配置工程。</w:t>
            </w:r>
            <w:r>
              <w:rPr>
                <w:rFonts w:hint="eastAsia" w:cs="Times New Roman"/>
                <w:kern w:val="0"/>
                <w:sz w:val="24"/>
                <w:szCs w:val="22"/>
                <w14:ligatures w14:val="none"/>
              </w:rPr>
              <w:t>实施何仙观水库工程等水源工程，推进双牌灌区、毛俊灌区续建配套与现代化改造工程等农田灌溉工程建设。</w:t>
            </w:r>
          </w:p>
          <w:p w14:paraId="0E3D9F1A">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雨水情监测预报能力提升工程。</w:t>
            </w:r>
            <w:r>
              <w:rPr>
                <w:rFonts w:hint="eastAsia" w:cs="Times New Roman"/>
                <w:bCs/>
                <w:kern w:val="0"/>
                <w:sz w:val="24"/>
                <w:szCs w:val="22"/>
                <w14:ligatures w14:val="none"/>
              </w:rPr>
              <w:t>按照“应设尽设、应测尽测、应在线尽在线”原则，积极推进暴雨洪水集中来源区、山洪灾害易发区以及大型水库、重大引调水工程防洪影响区测雨雷达组网建设，加密雨量站、水文站，构建“气象卫星和测雨雷达</w:t>
            </w:r>
            <w:r>
              <w:rPr>
                <w:rFonts w:cs="Times New Roman"/>
                <w:bCs/>
                <w:kern w:val="0"/>
                <w:sz w:val="24"/>
                <w:szCs w:val="22"/>
                <w14:ligatures w14:val="none"/>
              </w:rPr>
              <w:t>+</w:t>
            </w:r>
            <w:r>
              <w:rPr>
                <w:rFonts w:hint="eastAsia" w:cs="Times New Roman"/>
                <w:bCs/>
                <w:kern w:val="0"/>
                <w:sz w:val="24"/>
                <w:szCs w:val="22"/>
                <w14:ligatures w14:val="none"/>
              </w:rPr>
              <w:t>雨量站</w:t>
            </w:r>
            <w:r>
              <w:rPr>
                <w:rFonts w:cs="Times New Roman"/>
                <w:bCs/>
                <w:kern w:val="0"/>
                <w:sz w:val="24"/>
                <w:szCs w:val="22"/>
                <w14:ligatures w14:val="none"/>
              </w:rPr>
              <w:t>+</w:t>
            </w:r>
            <w:r>
              <w:rPr>
                <w:rFonts w:hint="eastAsia" w:cs="Times New Roman"/>
                <w:bCs/>
                <w:kern w:val="0"/>
                <w:sz w:val="24"/>
                <w:szCs w:val="22"/>
                <w14:ligatures w14:val="none"/>
              </w:rPr>
              <w:t>水文站”雨水情监测预报“三道防线”。完善中小河流、水库、山洪灾害监测预警设施，提高预报预警精准度，拓宽预警信息发布渠道。</w:t>
            </w:r>
          </w:p>
        </w:tc>
      </w:tr>
    </w:tbl>
    <w:p w14:paraId="34BFFC14">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优化升级数字基础设施体系</w:t>
      </w:r>
    </w:p>
    <w:p w14:paraId="44366734">
      <w:pPr>
        <w:ind w:firstLine="640"/>
        <w:rPr>
          <w:szCs w:val="32"/>
        </w:rPr>
      </w:pPr>
      <w:r>
        <w:rPr>
          <w:rFonts w:hint="eastAsia" w:cs="Times New Roman"/>
          <w:szCs w:val="32"/>
          <w14:ligatures w14:val="none"/>
        </w:rPr>
        <w:t>坚持适度超前布局，打造布局合理、层级清晰、协同高效的网络枢纽中心和算力供给体系，积极融入全国一体化算力网。加快潇湘超智融合算力中心建设，推动打造湘南地区领先的算力枢纽节点。深化区域算力基础设施战略合作，积极开展</w:t>
      </w:r>
      <w:bookmarkStart w:id="238" w:name="OLE_LINK24"/>
      <w:r>
        <w:rPr>
          <w:rFonts w:hint="eastAsia" w:cs="Times New Roman"/>
          <w:szCs w:val="32"/>
          <w14:ligatures w14:val="none"/>
        </w:rPr>
        <w:t>粤港澳大湾区推理智算中心</w:t>
      </w:r>
      <w:bookmarkEnd w:id="238"/>
      <w:r>
        <w:rPr>
          <w:rFonts w:hint="eastAsia" w:cs="Times New Roman"/>
          <w:szCs w:val="32"/>
          <w14:ligatures w14:val="none"/>
        </w:rPr>
        <w:t>协同建设。争创超高速传输干线网节点城市，建设成渝经济圈经永州至粤港澳大湾区高带宽低时延信息高速公路，推动永州算力“拓湘入湾联渝”。提速布局北斗等新域新质数据基础设施，积极推进永州申报北斗规模应用试点城市。</w:t>
      </w:r>
      <w:r>
        <w:rPr>
          <w:rFonts w:hint="eastAsia"/>
          <w:szCs w:val="32"/>
        </w:rPr>
        <w:t>建设数据流通新型基础设施，实现数据要素高效流通与价值释放。建设安全可靠、智慧高效的高水平数字档案馆，打造跨区域、跨层级、跨部门档案信息资源共享平台。建设“双千兆”网络，强化通信基础网络规划建设和升级改造。持续深化电信普遍服务，推动农村地区5G和光纤网络建设，提升乡村治理、农业生产、农民生活等场景网络覆盖质量。</w:t>
      </w:r>
    </w:p>
    <w:tbl>
      <w:tblPr>
        <w:tblStyle w:val="1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307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000" w:type="pct"/>
          </w:tcPr>
          <w:p w14:paraId="76220ADB">
            <w:pPr>
              <w:spacing w:before="217" w:beforeLines="50" w:after="217" w:afterLines="50" w:line="440" w:lineRule="exact"/>
              <w:ind w:firstLine="22" w:firstLineChars="0"/>
              <w:jc w:val="center"/>
              <w:outlineLvl w:val="3"/>
              <w:rPr>
                <w:rFonts w:cs="Times New Roman"/>
                <w:b/>
                <w:color w:val="000000"/>
                <w:kern w:val="0"/>
                <w:szCs w:val="28"/>
                <w14:ligatures w14:val="none"/>
              </w:rPr>
            </w:pPr>
            <w:r>
              <w:rPr>
                <w:rFonts w:hint="eastAsia" w:cstheme="majorBidi"/>
                <w:b/>
                <w:szCs w:val="28"/>
                <w14:ligatures w14:val="none"/>
              </w:rPr>
              <w:t>专栏</w:t>
            </w:r>
            <w:r>
              <w:rPr>
                <w:rFonts w:cstheme="majorBidi"/>
                <w:b/>
                <w:szCs w:val="28"/>
                <w14:ligatures w14:val="none"/>
              </w:rPr>
              <w:t xml:space="preserve"> </w:t>
            </w:r>
            <w:r>
              <w:rPr>
                <w:rFonts w:hint="eastAsia" w:cstheme="majorBidi"/>
                <w:b/>
                <w:szCs w:val="28"/>
                <w14:ligatures w14:val="none"/>
              </w:rPr>
              <w:fldChar w:fldCharType="begin"/>
            </w:r>
            <w:r>
              <w:rPr>
                <w:rFonts w:cstheme="majorBidi"/>
                <w:b/>
                <w:szCs w:val="28"/>
                <w14:ligatures w14:val="none"/>
              </w:rPr>
              <w:instrText xml:space="preserve"> SEQ </w:instrText>
            </w:r>
            <w:r>
              <w:rPr>
                <w:rFonts w:hint="eastAsia" w:cstheme="majorBidi"/>
                <w:b/>
                <w:szCs w:val="28"/>
                <w14:ligatures w14:val="none"/>
              </w:rPr>
              <w:instrText xml:space="preserve">专栏</w:instrText>
            </w:r>
            <w:r>
              <w:rPr>
                <w:rFonts w:cstheme="majorBidi"/>
                <w:b/>
                <w:szCs w:val="28"/>
                <w14:ligatures w14:val="none"/>
              </w:rPr>
              <w:instrText xml:space="preserve"> \* ARABIC </w:instrText>
            </w:r>
            <w:r>
              <w:rPr>
                <w:rFonts w:hint="eastAsia" w:cstheme="majorBidi"/>
                <w:b/>
                <w:szCs w:val="28"/>
                <w14:ligatures w14:val="none"/>
              </w:rPr>
              <w:fldChar w:fldCharType="separate"/>
            </w:r>
            <w:r>
              <w:rPr>
                <w:rFonts w:cstheme="majorBidi"/>
                <w:b/>
                <w:szCs w:val="28"/>
                <w14:ligatures w14:val="none"/>
              </w:rPr>
              <w:t>15</w:t>
            </w:r>
            <w:r>
              <w:rPr>
                <w:rFonts w:hint="eastAsia" w:cstheme="majorBidi"/>
                <w:b/>
                <w:szCs w:val="28"/>
                <w14:ligatures w14:val="none"/>
              </w:rPr>
              <w:fldChar w:fldCharType="end"/>
            </w:r>
            <w:r>
              <w:rPr>
                <w:rFonts w:cstheme="majorBidi"/>
                <w:b/>
                <w:szCs w:val="28"/>
                <w14:ligatures w14:val="none"/>
              </w:rPr>
              <w:t xml:space="preserve"> </w:t>
            </w:r>
            <w:r>
              <w:rPr>
                <w:rFonts w:hint="eastAsia" w:cstheme="majorBidi"/>
                <w:b/>
                <w:szCs w:val="28"/>
                <w14:ligatures w14:val="none"/>
              </w:rPr>
              <w:t>数字</w:t>
            </w:r>
            <w:r>
              <w:rPr>
                <w:rFonts w:hint="eastAsia" w:cstheme="majorBidi"/>
                <w:b/>
                <w:szCs w:val="28"/>
              </w:rPr>
              <w:t>基础设施支撑牵引</w:t>
            </w:r>
            <w:r>
              <w:rPr>
                <w:rFonts w:hint="eastAsia" w:cstheme="majorBidi"/>
                <w:b/>
                <w:szCs w:val="28"/>
                <w14:ligatures w14:val="none"/>
              </w:rPr>
              <w:t>工程</w:t>
            </w:r>
          </w:p>
        </w:tc>
      </w:tr>
      <w:tr w14:paraId="5871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1FD412E2">
            <w:pPr>
              <w:spacing w:line="440" w:lineRule="exact"/>
              <w:ind w:firstLine="482"/>
              <w:rPr>
                <w:bCs/>
                <w:sz w:val="24"/>
              </w:rPr>
            </w:pPr>
            <w:r>
              <w:rPr>
                <w:rFonts w:hint="eastAsia"/>
                <w:b/>
                <w:sz w:val="24"/>
              </w:rPr>
              <w:t>算力支撑能力提升工程。</w:t>
            </w:r>
            <w:r>
              <w:rPr>
                <w:rFonts w:hint="eastAsia"/>
                <w:bCs/>
                <w:sz w:val="24"/>
              </w:rPr>
              <w:t>重点推动建设潇湘超智融合算力中心项目、潇湘算力中心改造项目，全市统一信创云建设项目、永州市城市实景三维项目，协同推动粤港澳大湾区推理智算中心项目建设，扩能升级永州潇湘智算产业园，依托潇湘算力中心建设永州时空大数据中心和卫星应用中心。</w:t>
            </w:r>
          </w:p>
          <w:p w14:paraId="25E524F2">
            <w:pPr>
              <w:spacing w:line="440" w:lineRule="exact"/>
              <w:ind w:firstLine="482"/>
              <w:rPr>
                <w:bCs/>
                <w:sz w:val="24"/>
              </w:rPr>
            </w:pPr>
            <w:r>
              <w:rPr>
                <w:rFonts w:hint="eastAsia"/>
                <w:b/>
                <w:sz w:val="24"/>
              </w:rPr>
              <w:t>网络节点城市建设工程。</w:t>
            </w:r>
            <w:r>
              <w:rPr>
                <w:rFonts w:hint="eastAsia"/>
                <w:bCs/>
                <w:sz w:val="24"/>
              </w:rPr>
              <w:t>重点推动超高速传输干线网建设项目，构建区域一体化算力调度平台，实现粤港澳大湾区、成渝、贵州等国家枢纽节点算力资源动态匹配。纵向通道规划新建永州—广州超低时延直连光缆，支撑粤港澳AI模型训练数据西迁，横向通道规划新建永州—贵阳超低时延直连光缆，承接“东数西算”溢出需求。谋划建设成渝经济圈经永州至粤港澳大湾区高带宽低时延信息高速公路（超高速算力网）。</w:t>
            </w:r>
          </w:p>
          <w:p w14:paraId="62C71E45">
            <w:pPr>
              <w:spacing w:line="440" w:lineRule="exact"/>
              <w:ind w:firstLine="482"/>
              <w:rPr>
                <w:bCs/>
                <w:sz w:val="24"/>
              </w:rPr>
            </w:pPr>
            <w:r>
              <w:rPr>
                <w:rFonts w:hint="eastAsia"/>
                <w:b/>
                <w:sz w:val="24"/>
              </w:rPr>
              <w:t>数据流通价值释放工程。</w:t>
            </w:r>
            <w:r>
              <w:rPr>
                <w:rFonts w:hint="eastAsia"/>
                <w:bCs/>
                <w:sz w:val="24"/>
              </w:rPr>
              <w:t>重点推动数据融合流通利用平台项目、高质量数据集项目、行业可信数据空间项目等建设，打造湖南省首个市州数据要素服务中心（永州数据要素服务中心），构建分层推进的市场化运营体系。</w:t>
            </w:r>
          </w:p>
          <w:p w14:paraId="0BE12C6A">
            <w:pPr>
              <w:spacing w:line="440" w:lineRule="exact"/>
              <w:ind w:firstLine="482"/>
              <w:rPr>
                <w:bCs/>
                <w:sz w:val="24"/>
                <w:szCs w:val="22"/>
              </w:rPr>
            </w:pPr>
            <w:r>
              <w:rPr>
                <w:rFonts w:hint="eastAsia"/>
                <w:b/>
                <w:sz w:val="24"/>
              </w:rPr>
              <w:t>数据安全能力提升工程。</w:t>
            </w:r>
            <w:r>
              <w:rPr>
                <w:rFonts w:hint="eastAsia"/>
                <w:bCs/>
                <w:sz w:val="24"/>
              </w:rPr>
              <w:t>重点建设永州市数据安全防护平台项目，覆盖永州市各类信息系统的数据安全防护需求，支撑数据安全基础防护、国密安全资源池建设、政务终端统一安全防护、网络安全运营、数据安全运管以及数据要素安全交易，全面提升永州政府单位、医院学校、企业园区等各类信息系统的数据安全防护能力，推动数据要素的安全交易与合规管理，打造永州市安全运营中心。</w:t>
            </w:r>
          </w:p>
        </w:tc>
      </w:tr>
    </w:tbl>
    <w:p w14:paraId="178187A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第五节 构建现代化物流基础设施体系</w:t>
      </w:r>
    </w:p>
    <w:p w14:paraId="5F3DD853">
      <w:pPr>
        <w:ind w:firstLine="640"/>
      </w:pPr>
      <w:r>
        <w:rPr>
          <w:rFonts w:hint="eastAsia"/>
        </w:rPr>
        <w:t>加快构建以永州陆港为核心的“通道+枢纽+网络+节点”现代物流运行体系，进一步强化对区域经济产业转型升级发展的支撑保障作用。深化陆港型国家物流枢纽和国家骨干冷链物流基地建设，推进永州陆港冷链物流园、永州陆港型国家物流枢纽多式联运中心项目等项目建设。畅通对外物流大通道，加快开通永州—东盟铁海联运专线，积极对接湖南省五大国际贸易通道。</w:t>
      </w:r>
      <w:bookmarkStart w:id="239" w:name="OLE_LINK61"/>
      <w:r>
        <w:rPr>
          <w:rFonts w:hint="eastAsia"/>
        </w:rPr>
        <w:t>持续提升公铁水区域联通水平和多式联运</w:t>
      </w:r>
      <w:bookmarkEnd w:id="239"/>
      <w:r>
        <w:rPr>
          <w:rFonts w:hint="eastAsia"/>
        </w:rPr>
        <w:t>效能，构建连接粤港澳大湾区、长江经济带等主要区域通道的物流专线网络。优化全市物流设施节点布局，推动主城区内物流园区集约化、规模化发展，加快县市区标准化物流集散中心全覆盖。</w:t>
      </w:r>
    </w:p>
    <w:tbl>
      <w:tblPr>
        <w:tblStyle w:val="30"/>
        <w:tblW w:w="5000" w:type="pct"/>
        <w:jc w:val="center"/>
        <w:tblLayout w:type="autofit"/>
        <w:tblCellMar>
          <w:top w:w="0" w:type="dxa"/>
          <w:left w:w="0" w:type="dxa"/>
          <w:bottom w:w="0" w:type="dxa"/>
          <w:right w:w="0" w:type="dxa"/>
        </w:tblCellMar>
      </w:tblPr>
      <w:tblGrid>
        <w:gridCol w:w="9070"/>
      </w:tblGrid>
      <w:tr w14:paraId="4DE58BEF">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62A0CD01">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16</w:t>
            </w:r>
            <w:r>
              <w:rPr>
                <w:rFonts w:hint="eastAsia" w:cs="Times New Roman"/>
                <w:b/>
                <w:color w:val="000000"/>
                <w:szCs w:val="28"/>
              </w:rPr>
              <w:fldChar w:fldCharType="end"/>
            </w:r>
            <w:r>
              <w:rPr>
                <w:rFonts w:hint="eastAsia" w:cs="Times New Roman"/>
                <w:b/>
                <w:color w:val="000000"/>
                <w:szCs w:val="28"/>
              </w:rPr>
              <w:t xml:space="preserve"> 物流基础设施布局优化工程</w:t>
            </w:r>
          </w:p>
        </w:tc>
      </w:tr>
      <w:tr w14:paraId="374B1AA6">
        <w:tblPrEx>
          <w:tblCellMar>
            <w:top w:w="0" w:type="dxa"/>
            <w:left w:w="0" w:type="dxa"/>
            <w:bottom w:w="0" w:type="dxa"/>
            <w:right w:w="0" w:type="dxa"/>
          </w:tblCellMar>
        </w:tblPrEx>
        <w:trPr>
          <w:trHeight w:val="1295"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A36313A">
            <w:pPr>
              <w:spacing w:line="440" w:lineRule="exact"/>
              <w:ind w:firstLine="482"/>
              <w:rPr>
                <w:bCs/>
                <w:sz w:val="24"/>
              </w:rPr>
            </w:pPr>
            <w:r>
              <w:rPr>
                <w:rFonts w:hint="eastAsia"/>
                <w:b/>
                <w:sz w:val="24"/>
              </w:rPr>
              <w:t>一核</w:t>
            </w:r>
            <w:r>
              <w:rPr>
                <w:b/>
                <w:bCs/>
                <w:sz w:val="24"/>
              </w:rPr>
              <w:t>——</w:t>
            </w:r>
            <w:r>
              <w:rPr>
                <w:rFonts w:hint="eastAsia"/>
                <w:b/>
                <w:sz w:val="24"/>
              </w:rPr>
              <w:t>陆港型国家物流枢纽发展核心区。</w:t>
            </w:r>
            <w:r>
              <w:rPr>
                <w:rFonts w:hint="eastAsia"/>
                <w:bCs/>
                <w:sz w:val="24"/>
              </w:rPr>
              <w:t>以永州陆港为陆港型国家物流枢纽发展核心区，完善陆港铁路场站作业区、多式联运功能区、冷链物流区、快递物流区、通用及大宗物资仓储区、口岸及保税功能区等核心功能板块，打造立足湘西南、辐射湘粤桂、联通全国的现代化物流枢纽。</w:t>
            </w:r>
          </w:p>
          <w:p w14:paraId="0C0B835F">
            <w:pPr>
              <w:spacing w:line="440" w:lineRule="exact"/>
              <w:ind w:firstLine="482"/>
              <w:rPr>
                <w:bCs/>
                <w:sz w:val="24"/>
              </w:rPr>
            </w:pPr>
            <w:r>
              <w:rPr>
                <w:rFonts w:hint="eastAsia"/>
                <w:b/>
                <w:sz w:val="24"/>
              </w:rPr>
              <w:t>两区块</w:t>
            </w:r>
            <w:r>
              <w:rPr>
                <w:b/>
                <w:bCs/>
                <w:sz w:val="24"/>
              </w:rPr>
              <w:t>——</w:t>
            </w:r>
            <w:r>
              <w:rPr>
                <w:rFonts w:hint="eastAsia"/>
                <w:b/>
                <w:sz w:val="24"/>
              </w:rPr>
              <w:t>北部、南部物流功能区。</w:t>
            </w:r>
            <w:r>
              <w:rPr>
                <w:rFonts w:hint="eastAsia"/>
                <w:bCs/>
                <w:sz w:val="24"/>
              </w:rPr>
              <w:t>北部物流功能区：重点建设冷水滩区高科园冷链物流园、零陵区绿色低碳智能商贸物流园、祁阳市现代铁路物流园等项目。南部物流功能区：发展仓储集运、农产品冷链物流基础设施、寄递物流二级分拨中心，重点建设蓝山县创品国际物流园、京东物流供应链（永州）产业基地以及江华、道县等物流集散中心。</w:t>
            </w:r>
          </w:p>
          <w:p w14:paraId="30BB8C62">
            <w:pPr>
              <w:spacing w:line="440" w:lineRule="exact"/>
              <w:ind w:firstLine="482"/>
              <w:rPr>
                <w:bCs/>
                <w:sz w:val="24"/>
              </w:rPr>
            </w:pPr>
            <w:r>
              <w:rPr>
                <w:rFonts w:hint="eastAsia"/>
                <w:b/>
                <w:sz w:val="24"/>
              </w:rPr>
              <w:t>三节点</w:t>
            </w:r>
            <w:r>
              <w:rPr>
                <w:b/>
                <w:bCs/>
                <w:sz w:val="24"/>
              </w:rPr>
              <w:t>——</w:t>
            </w:r>
            <w:r>
              <w:rPr>
                <w:rFonts w:hint="eastAsia"/>
                <w:b/>
                <w:sz w:val="24"/>
              </w:rPr>
              <w:t>祁阳、道县、宁远物流节点。</w:t>
            </w:r>
            <w:r>
              <w:rPr>
                <w:rFonts w:hint="eastAsia"/>
                <w:bCs/>
                <w:sz w:val="24"/>
              </w:rPr>
              <w:t>祁阳物流节点：重点建设祁阳现代铁路物流园、祁阳公铁水联运中心等物流园区。道县物流节点：重点建设道县高新区仓储物流园、江华粤港澳大湾区智慧冷链物流产业园、江永供销商贸物流城等物流园区。宁远物流节点：重点建设永州南商贸物流园、新田县电商物流园、蓝山县现代物流产业园等物流园区。</w:t>
            </w:r>
          </w:p>
          <w:p w14:paraId="26056046">
            <w:pPr>
              <w:spacing w:line="440" w:lineRule="exact"/>
              <w:ind w:firstLine="482"/>
              <w:rPr>
                <w:bCs/>
                <w:sz w:val="24"/>
              </w:rPr>
            </w:pPr>
            <w:r>
              <w:rPr>
                <w:rFonts w:hint="eastAsia"/>
                <w:b/>
                <w:sz w:val="24"/>
              </w:rPr>
              <w:t>四通道</w:t>
            </w:r>
            <w:r>
              <w:rPr>
                <w:b/>
                <w:bCs/>
                <w:sz w:val="24"/>
              </w:rPr>
              <w:t>——</w:t>
            </w:r>
            <w:r>
              <w:rPr>
                <w:rFonts w:hint="eastAsia"/>
                <w:b/>
                <w:sz w:val="24"/>
              </w:rPr>
              <w:t>“永广、湘桂、永湛、厦蓉”四大物流通道。</w:t>
            </w:r>
            <w:r>
              <w:rPr>
                <w:rFonts w:hint="eastAsia"/>
                <w:bCs/>
                <w:sz w:val="24"/>
              </w:rPr>
              <w:t>永广物流通道：依托二广高速、永清广高铁、江连高速等线路，深化与广州、深圳等国家物流枢纽战略协同。湘桂物流通道：依托衡永高速、泉南高速、湘桂铁路以及湘江主要港口间航线，向西融入北部湾地区联通对接东盟大通道，向北融入长株潭城市群。永湛物流通道：依托国道207、道贺高速、洛湛铁路，串联湘中南、桂东南及粤西地区，构建“永州—湛江—海南”物流通道。厦蓉物流通道：依托厦蓉高速构建永州与福建沿海、江西赣州、浙江等东部地区的重要联系通道，主动融入湘赣边区域合作。</w:t>
            </w:r>
          </w:p>
        </w:tc>
      </w:tr>
    </w:tbl>
    <w:p w14:paraId="574A1524">
      <w:pPr>
        <w:ind w:firstLine="640"/>
      </w:pPr>
    </w:p>
    <w:p w14:paraId="5019E0D1">
      <w:pPr>
        <w:widowControl/>
        <w:spacing w:line="240" w:lineRule="auto"/>
        <w:ind w:firstLine="0" w:firstLineChars="0"/>
        <w:jc w:val="left"/>
      </w:pPr>
      <w:r>
        <w:br w:type="page"/>
      </w:r>
    </w:p>
    <w:bookmarkEnd w:id="237"/>
    <w:p w14:paraId="0BD28A7F">
      <w:pPr>
        <w:pStyle w:val="5"/>
        <w:rPr>
          <w:spacing w:val="11"/>
        </w:rPr>
      </w:pPr>
      <w:bookmarkStart w:id="240" w:name="_Toc215501219"/>
      <w:bookmarkEnd w:id="240"/>
      <w:bookmarkStart w:id="241" w:name="_Toc215438316"/>
      <w:bookmarkEnd w:id="241"/>
      <w:bookmarkStart w:id="242" w:name="_Toc215437404"/>
      <w:bookmarkEnd w:id="242"/>
      <w:bookmarkStart w:id="243" w:name="_Toc215500624"/>
      <w:bookmarkEnd w:id="243"/>
      <w:bookmarkStart w:id="244" w:name="_Toc215436225"/>
      <w:bookmarkEnd w:id="244"/>
      <w:bookmarkStart w:id="245" w:name="_Toc215436285"/>
      <w:bookmarkEnd w:id="245"/>
      <w:bookmarkStart w:id="246" w:name="_Toc215434328"/>
      <w:bookmarkEnd w:id="246"/>
      <w:bookmarkStart w:id="247" w:name="_Toc215438381"/>
      <w:bookmarkEnd w:id="247"/>
      <w:bookmarkStart w:id="248" w:name="_Toc215501136"/>
      <w:bookmarkEnd w:id="248"/>
      <w:bookmarkStart w:id="249" w:name="_Toc215270553"/>
      <w:bookmarkStart w:id="250" w:name="_Toc232094404"/>
      <w:bookmarkStart w:id="251" w:name="_Toc215270557"/>
      <w:r>
        <w:rPr>
          <w:rFonts w:hint="eastAsia"/>
          <w:spacing w:val="11"/>
        </w:rPr>
        <w:t>推进以人为本的新型城镇化，绘就人民城市新图景</w:t>
      </w:r>
      <w:bookmarkEnd w:id="249"/>
      <w:bookmarkEnd w:id="250"/>
    </w:p>
    <w:p w14:paraId="2717D213">
      <w:pPr>
        <w:adjustRightInd w:val="0"/>
        <w:snapToGrid w:val="0"/>
        <w:ind w:firstLine="640"/>
        <w:rPr>
          <w:rFonts w:cs="Times New Roman"/>
          <w:szCs w:val="20"/>
          <w14:ligatures w14:val="none"/>
        </w:rPr>
      </w:pPr>
    </w:p>
    <w:p w14:paraId="57E2F59F">
      <w:pPr>
        <w:adjustRightInd w:val="0"/>
        <w:snapToGrid w:val="0"/>
        <w:ind w:firstLine="640"/>
        <w:rPr>
          <w:rFonts w:cs="Times New Roman"/>
          <w:szCs w:val="20"/>
          <w14:ligatures w14:val="none"/>
        </w:rPr>
      </w:pPr>
      <w:r>
        <w:rPr>
          <w:rFonts w:hint="eastAsia" w:cs="Times New Roman"/>
          <w:szCs w:val="20"/>
          <w14:ligatures w14:val="none"/>
        </w:rPr>
        <w:t>深入实施以人为本的新型城镇化战略，构建科学合理的城镇化格局，因地制宜、分类施策，稳步提高城镇化质量和水平，建设创新、宜居、美丽、韧性、文明、智慧的现代化人民城市。</w:t>
      </w:r>
    </w:p>
    <w:p w14:paraId="38F5C2FB">
      <w:pPr>
        <w:pStyle w:val="6"/>
        <w:spacing w:before="435" w:after="217"/>
      </w:pPr>
      <w:bookmarkStart w:id="252" w:name="_Toc232094405"/>
      <w:bookmarkStart w:id="253" w:name="_Toc215270554"/>
      <w:r>
        <w:rPr>
          <w:rFonts w:hint="eastAsia"/>
        </w:rPr>
        <w:t>提升农业转移人口市民化质量</w:t>
      </w:r>
      <w:bookmarkEnd w:id="252"/>
      <w:bookmarkEnd w:id="253"/>
    </w:p>
    <w:p w14:paraId="4745F871">
      <w:pPr>
        <w:ind w:firstLine="640"/>
        <w:rPr>
          <w:szCs w:val="22"/>
        </w:rPr>
      </w:pPr>
      <w:r>
        <w:rPr>
          <w:rFonts w:hint="eastAsia"/>
          <w:szCs w:val="22"/>
        </w:rPr>
        <w:t>坚持把推进农业转移人口市民化作为新型城镇化的首要任务，深入推进户籍制度改革，推动城镇基本公共服务均等化，健全配套政策体系，促进农业转移人口加快融入城市，提高农业转移人口市民化质量。</w:t>
      </w:r>
    </w:p>
    <w:p w14:paraId="6258D80C">
      <w:pPr>
        <w:pStyle w:val="7"/>
        <w:spacing w:before="217" w:after="217"/>
        <w:rPr>
          <w:b w:val="0"/>
        </w:rPr>
      </w:pPr>
      <w:r>
        <w:rPr>
          <w:rFonts w:hint="eastAsia"/>
        </w:rPr>
        <w:t>第一节 健全农业转移人口市民化机制</w:t>
      </w:r>
    </w:p>
    <w:p w14:paraId="05652BC4">
      <w:pPr>
        <w:adjustRightInd w:val="0"/>
        <w:snapToGrid w:val="0"/>
        <w:ind w:firstLine="640"/>
        <w:rPr>
          <w:szCs w:val="20"/>
          <w14:ligatures w14:val="none"/>
        </w:rPr>
      </w:pPr>
      <w:r>
        <w:rPr>
          <w:rFonts w:hint="eastAsia" w:hAnsi="仿宋_GB2312" w:cs="仿宋_GB2312"/>
          <w:kern w:val="0"/>
          <w:szCs w:val="20"/>
          <w:shd w:val="clear" w:color="auto" w:fill="FFFFFF"/>
          <w:lang w:bidi="ar"/>
          <w14:ligatures w14:val="none"/>
        </w:rPr>
        <w:t>统筹深化户籍制度改革和常住地提供基本公共服务，推行以经常居住地登记户口制度，</w:t>
      </w:r>
      <w:r>
        <w:rPr>
          <w:rFonts w:hint="eastAsia" w:cs="Times New Roman"/>
          <w:szCs w:val="20"/>
          <w14:ligatures w14:val="none"/>
        </w:rPr>
        <w:t>持续缩小户籍人口城镇化率与常住人口城镇化率的差距</w:t>
      </w:r>
      <w:r>
        <w:rPr>
          <w:rFonts w:hint="eastAsia" w:hAnsi="仿宋_GB2312" w:cs="仿宋_GB2312"/>
          <w:kern w:val="0"/>
          <w:szCs w:val="20"/>
          <w:shd w:val="clear" w:color="auto" w:fill="FFFFFF"/>
          <w:lang w:bidi="ar"/>
          <w14:ligatures w14:val="none"/>
        </w:rPr>
        <w:t>。规范开展农村不动产确权登记颁证工作，规范做好集体林权“三权分置”确权登记，依法</w:t>
      </w:r>
      <w:r>
        <w:rPr>
          <w:rFonts w:hint="eastAsia" w:cs="Times New Roman"/>
          <w:szCs w:val="20"/>
          <w14:ligatures w14:val="none"/>
        </w:rPr>
        <w:t>维护进城落户农民土地承包权、宅基地使用权、集体收益分配权，探索建立自愿有偿退出办法。</w:t>
      </w:r>
      <w:bookmarkStart w:id="254" w:name="OLE_LINK8"/>
      <w:r>
        <w:rPr>
          <w:rFonts w:hint="eastAsia" w:cs="Times New Roman"/>
          <w:szCs w:val="20"/>
          <w14:ligatures w14:val="none"/>
        </w:rPr>
        <w:t>进一步健全“人地钱”挂钩机制。</w:t>
      </w:r>
    </w:p>
    <w:bookmarkEnd w:id="254"/>
    <w:p w14:paraId="154CA4CB">
      <w:pPr>
        <w:pStyle w:val="7"/>
        <w:spacing w:before="217" w:after="217"/>
        <w:rPr>
          <w:b w:val="0"/>
        </w:rPr>
      </w:pPr>
      <w:r>
        <w:rPr>
          <w:rFonts w:hint="eastAsia"/>
        </w:rPr>
        <w:t>第二节 推动农业转移人口基本公共服务均等化</w:t>
      </w:r>
    </w:p>
    <w:p w14:paraId="385AC821">
      <w:pPr>
        <w:adjustRightInd w:val="0"/>
        <w:snapToGrid w:val="0"/>
        <w:ind w:firstLine="640"/>
        <w:rPr>
          <w:rFonts w:cs="Times New Roman"/>
          <w:spacing w:val="-6"/>
          <w:szCs w:val="20"/>
          <w14:ligatures w14:val="none"/>
        </w:rPr>
      </w:pPr>
      <w:bookmarkStart w:id="255" w:name="OLE_LINK1"/>
      <w:r>
        <w:rPr>
          <w:rFonts w:hint="eastAsia"/>
          <w:szCs w:val="22"/>
        </w:rPr>
        <w:t>促进农业转移人口稳定就业，拓宽就业增收渠道，实施先进制造业促进就业行动，持续建设一批就业帮</w:t>
      </w:r>
      <w:bookmarkEnd w:id="255"/>
      <w:r>
        <w:rPr>
          <w:rFonts w:hint="eastAsia"/>
          <w:szCs w:val="22"/>
        </w:rPr>
        <w:t>扶车间和帮扶基地。保障农业转移人口随迁子女受教育权利，加快完善随迁子女凭居住证接受义务教育政策。扩大农业转移人口社会保障覆盖面，取消参保户籍限制，落实持居住证参加城乡居民基本医疗保险政策，引导农业转移人口按规定参加职工养老保险和医疗保险，推进异地就医直接结算定点医疗机构扩面，优化农业转移人口参保流程。加大农业转移人口住房保障力度，鼓励有条件的县市区将</w:t>
      </w:r>
      <w:r>
        <w:rPr>
          <w:rFonts w:hint="eastAsia"/>
          <w:spacing w:val="-6"/>
          <w:szCs w:val="22"/>
        </w:rPr>
        <w:t>稳定就业生活的农业转移人口逐步纳入住房保障政策范围。</w:t>
      </w:r>
    </w:p>
    <w:p w14:paraId="0DBC5F4D">
      <w:pPr>
        <w:pStyle w:val="6"/>
        <w:spacing w:before="435" w:after="217"/>
      </w:pPr>
      <w:bookmarkStart w:id="256" w:name="_Toc215270555"/>
      <w:bookmarkStart w:id="257" w:name="_Toc232094406"/>
      <w:r>
        <w:rPr>
          <w:rFonts w:hint="eastAsia"/>
        </w:rPr>
        <w:t>增强县城</w:t>
      </w:r>
      <w:bookmarkEnd w:id="256"/>
      <w:r>
        <w:rPr>
          <w:rFonts w:hint="eastAsia"/>
        </w:rPr>
        <w:t>综合承载能力</w:t>
      </w:r>
      <w:bookmarkEnd w:id="257"/>
    </w:p>
    <w:p w14:paraId="0EA0C120">
      <w:pPr>
        <w:ind w:firstLine="640"/>
        <w:rPr>
          <w:szCs w:val="32"/>
        </w:rPr>
      </w:pPr>
      <w:r>
        <w:rPr>
          <w:rFonts w:hint="eastAsia"/>
          <w:szCs w:val="32"/>
        </w:rPr>
        <w:t>因地制宜推动兴业、强县、富民，实现县域经济高质量发展，充分发挥县域连接城市、服务乡村作用，增强对乡村的辐射带动能力。</w:t>
      </w:r>
    </w:p>
    <w:p w14:paraId="481DAC49">
      <w:pPr>
        <w:pStyle w:val="7"/>
        <w:spacing w:before="217" w:after="217"/>
        <w:rPr>
          <w:b w:val="0"/>
        </w:rPr>
      </w:pPr>
      <w:r>
        <w:rPr>
          <w:rFonts w:hint="eastAsia"/>
        </w:rPr>
        <w:t>第一节 促进县域经济发展</w:t>
      </w:r>
    </w:p>
    <w:p w14:paraId="3567472F">
      <w:pPr>
        <w:adjustRightInd w:val="0"/>
        <w:snapToGrid w:val="0"/>
        <w:ind w:firstLine="640"/>
        <w:rPr>
          <w:rFonts w:cs="Times New Roman"/>
          <w:szCs w:val="20"/>
          <w14:ligatures w14:val="none"/>
        </w:rPr>
      </w:pPr>
      <w:r>
        <w:rPr>
          <w:rFonts w:hint="eastAsia" w:cs="Times New Roman"/>
          <w:szCs w:val="20"/>
          <w14:ligatures w14:val="none"/>
        </w:rPr>
        <w:t>持续壮大县域经济，推动经济体量大的挑大梁、作贡献，体量小的创特色、提增速。构建县域特色产业体系，实施县域特色产业强链、补链、延链行动，打造县域“一主一特”优势产业集群，</w:t>
      </w:r>
      <w:r>
        <w:rPr>
          <w:rFonts w:hint="eastAsia" w:hAnsi="仿宋_GB2312" w:cs="仿宋_GB2312"/>
          <w:szCs w:val="20"/>
          <w14:ligatures w14:val="none"/>
        </w:rPr>
        <w:t>着力</w:t>
      </w:r>
      <w:r>
        <w:rPr>
          <w:rFonts w:hint="eastAsia" w:cs="Times New Roman"/>
          <w:szCs w:val="20"/>
          <w14:ligatures w14:val="none"/>
        </w:rPr>
        <w:t>构建</w:t>
      </w:r>
      <w:r>
        <w:rPr>
          <w:rFonts w:hint="eastAsia" w:ascii="仿宋_GB2312" w:hAnsi="仿宋_GB2312" w:cs="仿宋_GB2312"/>
          <w:szCs w:val="40"/>
          <w14:ligatures w14:val="none"/>
        </w:rPr>
        <w:t>“宜农则农、宜工则工、</w:t>
      </w:r>
      <w:r>
        <w:rPr>
          <w:rFonts w:hint="eastAsia" w:ascii="仿宋_GB2312" w:hAnsi="仿宋_GB2312" w:cs="仿宋_GB2312"/>
          <w:szCs w:val="20"/>
          <w14:ligatures w14:val="none"/>
        </w:rPr>
        <w:t>宜商则商、</w:t>
      </w:r>
      <w:r>
        <w:rPr>
          <w:rFonts w:hint="eastAsia" w:ascii="仿宋_GB2312" w:hAnsi="仿宋_GB2312" w:cs="仿宋_GB2312"/>
          <w:szCs w:val="40"/>
          <w14:ligatures w14:val="none"/>
        </w:rPr>
        <w:t>宜游则游”</w:t>
      </w:r>
      <w:r>
        <w:rPr>
          <w:rFonts w:hint="eastAsia" w:cs="Times New Roman"/>
          <w:szCs w:val="20"/>
          <w14:ligatures w14:val="none"/>
        </w:rPr>
        <w:t>的错位发展县域经济格局</w:t>
      </w:r>
      <w:r>
        <w:rPr>
          <w:rFonts w:hint="eastAsia" w:hAnsi="仿宋_GB2312" w:cs="仿宋_GB2312"/>
          <w:szCs w:val="20"/>
          <w14:ligatures w14:val="none"/>
        </w:rPr>
        <w:t>。</w:t>
      </w:r>
      <w:r>
        <w:rPr>
          <w:rFonts w:hint="eastAsia" w:cs="Times New Roman"/>
          <w:szCs w:val="20"/>
          <w14:ligatures w14:val="none"/>
        </w:rPr>
        <w:t>加强县域产业园区规划引领，引导园区整合优化和扩容升级。</w:t>
      </w:r>
      <w:r>
        <w:rPr>
          <w:rFonts w:hint="eastAsia" w:hAnsi="仿宋_GB2312" w:cs="仿宋_GB2312"/>
          <w:szCs w:val="20"/>
          <w14:ligatures w14:val="none"/>
        </w:rPr>
        <w:t>推动</w:t>
      </w:r>
      <w:bookmarkStart w:id="258" w:name="OLE_LINK11"/>
      <w:r>
        <w:rPr>
          <w:rFonts w:hint="eastAsia" w:hAnsi="仿宋_GB2312" w:cs="仿宋_GB2312"/>
          <w:szCs w:val="20"/>
          <w14:ligatures w14:val="none"/>
        </w:rPr>
        <w:t>数字技术赋能县域经济</w:t>
      </w:r>
      <w:bookmarkEnd w:id="258"/>
      <w:r>
        <w:rPr>
          <w:rFonts w:hint="eastAsia" w:hAnsi="仿宋_GB2312" w:cs="仿宋_GB2312"/>
          <w:szCs w:val="20"/>
          <w14:ligatures w14:val="none"/>
        </w:rPr>
        <w:t>，</w:t>
      </w:r>
      <w:bookmarkStart w:id="259" w:name="OLE_LINK12"/>
      <w:r>
        <w:rPr>
          <w:rFonts w:hint="eastAsia" w:hAnsi="仿宋_GB2312" w:cs="仿宋_GB2312"/>
          <w:szCs w:val="20"/>
          <w14:ligatures w14:val="none"/>
        </w:rPr>
        <w:t>加快产业数字化应用，促进</w:t>
      </w:r>
      <w:bookmarkEnd w:id="259"/>
      <w:r>
        <w:rPr>
          <w:rFonts w:hint="eastAsia" w:hAnsi="仿宋_GB2312" w:cs="仿宋_GB2312"/>
          <w:szCs w:val="20"/>
          <w14:ligatures w14:val="none"/>
        </w:rPr>
        <w:t>产业集聚融合与提质增效，催生县域新产业新业态新模式</w:t>
      </w:r>
      <w:r>
        <w:rPr>
          <w:rFonts w:hint="eastAsia" w:hAnsi="等线" w:cs="Times New Roman"/>
          <w:szCs w:val="20"/>
          <w14:ligatures w14:val="none"/>
        </w:rPr>
        <w:t>。</w:t>
      </w:r>
      <w:r>
        <w:rPr>
          <w:rFonts w:hint="eastAsia" w:cs="Times New Roman"/>
          <w:szCs w:val="20"/>
          <w14:ligatures w14:val="none"/>
        </w:rPr>
        <w:t>持续推进“特色镇群”建设，</w:t>
      </w:r>
      <w:r>
        <w:rPr>
          <w:rFonts w:hint="eastAsia" w:hAnsi="等线" w:cs="Times New Roman"/>
          <w:szCs w:val="20"/>
          <w14:ligatures w14:val="none"/>
        </w:rPr>
        <w:t>支持</w:t>
      </w:r>
      <w:r>
        <w:rPr>
          <w:rFonts w:hint="eastAsia" w:cs="Times New Roman"/>
          <w:szCs w:val="20"/>
          <w14:ligatures w14:val="none"/>
        </w:rPr>
        <w:t>基础好、潜力大、势头强的乡镇率先发展，建设一批工业重镇、商贸强镇、文旅名镇、农业大镇。促进江华民族地区振兴发展，打造民族地区县域经济高质量发展标杆。</w:t>
      </w:r>
    </w:p>
    <w:p w14:paraId="5622A7AC">
      <w:pPr>
        <w:pStyle w:val="7"/>
        <w:spacing w:before="217" w:after="217"/>
        <w:rPr>
          <w:b w:val="0"/>
        </w:rPr>
      </w:pPr>
      <w:r>
        <w:rPr>
          <w:rFonts w:hint="eastAsia"/>
        </w:rPr>
        <w:t>第二节 推进以县城为重要载体的城镇化建设</w:t>
      </w:r>
    </w:p>
    <w:p w14:paraId="0A8743E9">
      <w:pPr>
        <w:adjustRightInd w:val="0"/>
        <w:snapToGrid w:val="0"/>
        <w:ind w:firstLine="640"/>
        <w:rPr>
          <w:rFonts w:cs="Times New Roman"/>
          <w:szCs w:val="20"/>
          <w14:ligatures w14:val="none"/>
        </w:rPr>
      </w:pPr>
      <w:bookmarkStart w:id="260" w:name="OLE_LINK33"/>
      <w:r>
        <w:rPr>
          <w:rFonts w:hint="eastAsia" w:cs="Times New Roman"/>
          <w:szCs w:val="20"/>
          <w14:ligatures w14:val="none"/>
        </w:rPr>
        <w:t>科学把握各县定位，分类引导专业功能县城、农产品主产区县城、生态功能区县城发展。</w:t>
      </w:r>
      <w:r>
        <w:rPr>
          <w:rFonts w:hint="eastAsia"/>
          <w:szCs w:val="32"/>
        </w:rPr>
        <w:t>实施潜力地区城镇化水平提升行动，强化祁阳市、道县国家潜力地区城镇化水平提升试点县引领作用，</w:t>
      </w:r>
      <w:r>
        <w:rPr>
          <w:szCs w:val="32"/>
        </w:rPr>
        <w:t>推动</w:t>
      </w:r>
      <w:r>
        <w:rPr>
          <w:rFonts w:hint="eastAsia"/>
          <w:szCs w:val="32"/>
        </w:rPr>
        <w:t>宁远以县城为重要载体的城镇化建设省级试点工作。</w:t>
      </w:r>
      <w:bookmarkStart w:id="261" w:name="OLE_LINK17"/>
      <w:r>
        <w:rPr>
          <w:rFonts w:hint="eastAsia" w:cs="Times New Roman"/>
          <w:szCs w:val="20"/>
          <w14:ligatures w14:val="none"/>
        </w:rPr>
        <w:t>强化县城与乡村联动发展，</w:t>
      </w:r>
      <w:r>
        <w:rPr>
          <w:rFonts w:hint="eastAsia"/>
          <w:szCs w:val="32"/>
        </w:rPr>
        <w:t>协同推进新型工业化和新型城镇化</w:t>
      </w:r>
      <w:bookmarkEnd w:id="261"/>
      <w:r>
        <w:rPr>
          <w:rFonts w:hint="eastAsia"/>
          <w:szCs w:val="32"/>
        </w:rPr>
        <w:t>，重点发展优势特色、就业容量大、带动农业农村能力强的产业，吸引农业转移人口就近就业安家。</w:t>
      </w:r>
      <w:r>
        <w:rPr>
          <w:rFonts w:hint="eastAsia" w:cs="Times New Roman"/>
          <w:szCs w:val="20"/>
          <w14:ligatures w14:val="none"/>
        </w:rPr>
        <w:t>推进县城产业配套设施提质增效、市政公用设施提档升级、公共服务设施提标扩面、环境基础设施提级扩能，加快县城人口集聚、产业集中和功能集成。</w:t>
      </w:r>
      <w:bookmarkStart w:id="262" w:name="OLE_LINK15"/>
      <w:r>
        <w:rPr>
          <w:rFonts w:hint="eastAsia" w:cs="Times New Roman"/>
          <w:szCs w:val="20"/>
          <w14:ligatures w14:val="none"/>
        </w:rPr>
        <w:t>强化县城教育、医疗资源供给，完善市直优质高中、医院对口帮扶机制。</w:t>
      </w:r>
      <w:bookmarkEnd w:id="262"/>
      <w:r>
        <w:rPr>
          <w:color w:val="000000" w:themeColor="text1"/>
          <w14:textFill>
            <w14:solidFill>
              <w14:schemeClr w14:val="tx1"/>
            </w14:solidFill>
          </w14:textFill>
        </w:rPr>
        <w:t>实施重点镇扩权改革，赋予同人口和经济规模相适应的经济社会管理权限。稳妥推进人口小县机构优化，鼓励探索建设运营治理新机制，引导人口和公共服务资源适度集中。</w:t>
      </w:r>
    </w:p>
    <w:p w14:paraId="0244EDA2">
      <w:pPr>
        <w:pStyle w:val="6"/>
        <w:spacing w:before="435" w:after="217"/>
      </w:pPr>
      <w:bookmarkStart w:id="263" w:name="_Toc215270556"/>
      <w:bookmarkStart w:id="264" w:name="_Toc227059002"/>
      <w:bookmarkStart w:id="265" w:name="_Toc232094407"/>
      <w:r>
        <w:rPr>
          <w:rFonts w:hint="eastAsia"/>
        </w:rPr>
        <w:t>大力推进</w:t>
      </w:r>
      <w:bookmarkEnd w:id="263"/>
      <w:r>
        <w:rPr>
          <w:rFonts w:hint="eastAsia"/>
        </w:rPr>
        <w:t>城市更新</w:t>
      </w:r>
      <w:bookmarkEnd w:id="264"/>
      <w:bookmarkEnd w:id="265"/>
    </w:p>
    <w:p w14:paraId="295D04DE">
      <w:pPr>
        <w:ind w:firstLine="640"/>
        <w:rPr>
          <w:szCs w:val="32"/>
        </w:rPr>
      </w:pPr>
      <w:r>
        <w:rPr>
          <w:rFonts w:hint="eastAsia"/>
          <w:szCs w:val="32"/>
        </w:rPr>
        <w:t>以推进城市更新为重要抓手，大力推动城市结构优化、功能完善、品质提升、绿色转型、文脉赓续、治理增效，牢牢守住城市安全底线，推动城市内涵式发展。</w:t>
      </w:r>
    </w:p>
    <w:p w14:paraId="70908826">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统筹推进城市改造提质</w:t>
      </w:r>
    </w:p>
    <w:p w14:paraId="73C3FFEE">
      <w:pPr>
        <w:adjustRightInd w:val="0"/>
        <w:snapToGrid w:val="0"/>
        <w:ind w:firstLine="640"/>
        <w:rPr>
          <w:rFonts w:cs="Times New Roman"/>
          <w:szCs w:val="20"/>
          <w14:ligatures w14:val="none"/>
        </w:rPr>
      </w:pPr>
      <w:r>
        <w:rPr>
          <w:rFonts w:hint="eastAsia" w:cs="Times New Roman"/>
          <w:szCs w:val="20"/>
          <w14:ligatures w14:val="none"/>
        </w:rPr>
        <w:t>坚持“先体检、后更新，无体检、不更新”原则，科学统筹、有序推进城市更新改造，健全城市更新实施机制。实施老旧小区改造，积极</w:t>
      </w:r>
      <w:bookmarkStart w:id="266" w:name="OLE_LINK74"/>
      <w:r>
        <w:rPr>
          <w:rFonts w:hint="eastAsia" w:cs="Times New Roman"/>
          <w:szCs w:val="20"/>
          <w14:ligatures w14:val="none"/>
        </w:rPr>
        <w:t>开展老旧街区、老旧厂区、</w:t>
      </w:r>
      <w:bookmarkEnd w:id="266"/>
      <w:r>
        <w:rPr>
          <w:rFonts w:hint="eastAsia" w:cs="Times New Roman"/>
          <w:szCs w:val="20"/>
          <w14:ligatures w14:val="none"/>
        </w:rPr>
        <w:t>城中村等更新改造。</w:t>
      </w:r>
      <w:bookmarkStart w:id="267" w:name="OLE_LINK76"/>
      <w:r>
        <w:rPr>
          <w:rFonts w:hint="eastAsia" w:cs="Times New Roman"/>
          <w:spacing w:val="-1"/>
          <w:szCs w:val="20"/>
          <w14:ligatures w14:val="none"/>
        </w:rPr>
        <w:t>推进城市地下空间统筹开发和综合利用，开展燃气、供水、排水、污水等城市</w:t>
      </w:r>
      <w:r>
        <w:rPr>
          <w:rFonts w:cs="Times New Roman"/>
          <w:spacing w:val="-1"/>
          <w:szCs w:val="20"/>
          <w14:ligatures w14:val="none"/>
        </w:rPr>
        <w:t>地下</w:t>
      </w:r>
      <w:r>
        <w:rPr>
          <w:rFonts w:hint="eastAsia" w:cs="Times New Roman"/>
          <w:spacing w:val="-1"/>
          <w:szCs w:val="20"/>
          <w14:ligatures w14:val="none"/>
        </w:rPr>
        <w:t>管网</w:t>
      </w:r>
      <w:r>
        <w:rPr>
          <w:rFonts w:cs="Times New Roman"/>
          <w:spacing w:val="-1"/>
          <w:szCs w:val="20"/>
          <w14:ligatures w14:val="none"/>
        </w:rPr>
        <w:t>建设和老旧管线改造升级，</w:t>
      </w:r>
      <w:r>
        <w:rPr>
          <w:rFonts w:hint="eastAsia" w:cs="Times New Roman"/>
          <w:szCs w:val="20"/>
          <w14:ligatures w14:val="none"/>
        </w:rPr>
        <w:t>消除老旧管线安全隐患，同步加强联网监测，建立完善覆盖城市生命线的地下管线感知网系统。推动既有建筑改造利用，开</w:t>
      </w:r>
      <w:bookmarkEnd w:id="267"/>
      <w:r>
        <w:rPr>
          <w:rFonts w:hint="eastAsia" w:cs="Times New Roman"/>
          <w:szCs w:val="20"/>
          <w14:ligatures w14:val="none"/>
        </w:rPr>
        <w:t>展危旧房屋质量安全隐患排查和改造，推动建筑功能转换和混合利用。加强用地、资金等要素保障，用好用足“两重”“两新”等支持政策，鼓励金融机构强化信贷支持，完善市场化融资模式，吸引社会资本参与城市更新。</w:t>
      </w:r>
    </w:p>
    <w:p w14:paraId="413E3D7B">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实现城市内涵式发展</w:t>
      </w:r>
    </w:p>
    <w:p w14:paraId="0BC96071">
      <w:pPr>
        <w:adjustRightInd w:val="0"/>
        <w:snapToGrid w:val="0"/>
        <w:ind w:firstLine="640"/>
        <w:rPr>
          <w:rFonts w:cs="Times New Roman"/>
          <w:szCs w:val="20"/>
          <w14:ligatures w14:val="none"/>
        </w:rPr>
      </w:pPr>
      <w:r>
        <w:rPr>
          <w:rFonts w:cs="Times New Roman"/>
          <w:szCs w:val="20"/>
          <w14:ligatures w14:val="none"/>
        </w:rPr>
        <w:t>精心培育城市创新生态，提升城市产业创新策源力。</w:t>
      </w:r>
      <w:r>
        <w:rPr>
          <w:rFonts w:hint="eastAsia" w:cs="Times New Roman"/>
          <w:szCs w:val="20"/>
          <w14:ligatures w14:val="none"/>
        </w:rPr>
        <w:t>推进完整社区建设，深度整合医疗、养老、托幼、文化、商业等公共服务资源，因地制宜打造“15分钟便民生活圈”，加快补齐适老、适幼等社区嵌入式服务设施短板，持续增加公园绿地、体育健身、休闲游憩等公共场所。实施城市洪涝治理工程，加强雨水管网和排涝泵站建设，推进雨污分流改造，治理历史易涝积水点，加快海绵城市建设，构建“源头减排、管网排放、蓄排并举、超标应急”的城市排水防涝工程体系。</w:t>
      </w:r>
      <w:r>
        <w:rPr>
          <w:rFonts w:cs="Times New Roman"/>
          <w:szCs w:val="20"/>
          <w14:ligatures w14:val="none"/>
        </w:rPr>
        <w:t>严格限制超高层建筑，提升高层建筑火灾防范和救援能力。加强城市风貌和建筑设计管理</w:t>
      </w:r>
      <w:r>
        <w:rPr>
          <w:rFonts w:hint="eastAsia" w:cs="Times New Roman"/>
          <w:szCs w:val="20"/>
          <w14:ligatures w14:val="none"/>
        </w:rPr>
        <w:t>。稳步推进“平急两用”公共基础设施建设。加大保障性住房供给，规范共有产权住房，收购存量商品房用作保障性住房。推动城市建设、运营、治理等全域数字化转型，积极推进“城市大脑”建设，</w:t>
      </w:r>
      <w:bookmarkStart w:id="268" w:name="OLE_LINK80"/>
      <w:r>
        <w:rPr>
          <w:rFonts w:hint="eastAsia" w:cs="Times New Roman"/>
          <w:szCs w:val="20"/>
          <w14:ligatures w14:val="none"/>
        </w:rPr>
        <w:t>深化建筑信息模型（BIM）及城市信息模型（CIM）</w:t>
      </w:r>
      <w:bookmarkStart w:id="269" w:name="OLE_LINK84"/>
      <w:r>
        <w:rPr>
          <w:rFonts w:hint="eastAsia" w:cs="Times New Roman"/>
          <w:szCs w:val="20"/>
          <w14:ligatures w14:val="none"/>
        </w:rPr>
        <w:t>应用</w:t>
      </w:r>
      <w:bookmarkEnd w:id="268"/>
      <w:r>
        <w:rPr>
          <w:rFonts w:hint="eastAsia" w:cs="Times New Roman"/>
          <w:szCs w:val="20"/>
          <w14:ligatures w14:val="none"/>
        </w:rPr>
        <w:t>，推动城市</w:t>
      </w:r>
      <w:bookmarkStart w:id="270" w:name="OLE_LINK81"/>
      <w:r>
        <w:rPr>
          <w:rFonts w:hint="eastAsia" w:cs="Times New Roman"/>
          <w:szCs w:val="20"/>
          <w14:ligatures w14:val="none"/>
        </w:rPr>
        <w:t>公共服务设施</w:t>
      </w:r>
      <w:bookmarkEnd w:id="270"/>
      <w:r>
        <w:rPr>
          <w:rFonts w:hint="eastAsia" w:cs="Times New Roman"/>
          <w:szCs w:val="20"/>
          <w14:ligatures w14:val="none"/>
        </w:rPr>
        <w:t>数智化升级。探索开展智慧住区与数字家庭建设。</w:t>
      </w:r>
      <w:bookmarkEnd w:id="269"/>
      <w:r>
        <w:rPr>
          <w:rFonts w:hint="eastAsia" w:cs="Times New Roman"/>
          <w:szCs w:val="20"/>
          <w14:ligatures w14:val="none"/>
        </w:rPr>
        <w:t>大力推动城市治理增效，坚持依法治市，创新城市治理的理念、模式、手段。</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A12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478590D6">
            <w:pPr>
              <w:spacing w:before="217" w:beforeLines="50" w:after="217" w:afterLines="50" w:line="440" w:lineRule="exact"/>
              <w:ind w:firstLine="0" w:firstLineChars="0"/>
              <w:jc w:val="center"/>
              <w:outlineLvl w:val="3"/>
              <w:rPr>
                <w:rFonts w:cstheme="majorBidi"/>
                <w:b/>
                <w:szCs w:val="28"/>
              </w:rPr>
            </w:pPr>
            <w:r>
              <w:rPr>
                <w:rFonts w:hint="eastAsia" w:cstheme="majorBidi"/>
                <w:b/>
                <w:szCs w:val="28"/>
              </w:rPr>
              <w:t>专栏</w:t>
            </w:r>
            <w:r>
              <w:rPr>
                <w:rFonts w:cstheme="majorBidi"/>
                <w:b/>
                <w:szCs w:val="28"/>
              </w:rPr>
              <w:t xml:space="preserve">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17</w:t>
            </w:r>
            <w:r>
              <w:rPr>
                <w:rFonts w:hint="eastAsia" w:cstheme="majorBidi"/>
                <w:b/>
                <w:szCs w:val="28"/>
              </w:rPr>
              <w:fldChar w:fldCharType="end"/>
            </w:r>
            <w:r>
              <w:rPr>
                <w:rFonts w:cstheme="majorBidi"/>
                <w:b/>
                <w:szCs w:val="28"/>
              </w:rPr>
              <w:t xml:space="preserve"> </w:t>
            </w:r>
            <w:r>
              <w:rPr>
                <w:rFonts w:hint="eastAsia" w:cstheme="majorBidi"/>
                <w:b/>
                <w:szCs w:val="28"/>
              </w:rPr>
              <w:t>城市品质提升工程</w:t>
            </w:r>
          </w:p>
        </w:tc>
      </w:tr>
      <w:tr w14:paraId="5A88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B47B4FC">
            <w:pPr>
              <w:spacing w:line="440" w:lineRule="exact"/>
              <w:ind w:firstLine="482"/>
              <w:rPr>
                <w:rFonts w:cs="Times New Roman"/>
                <w:bCs/>
                <w:sz w:val="24"/>
              </w:rPr>
            </w:pPr>
            <w:r>
              <w:rPr>
                <w:rFonts w:hint="eastAsia" w:cs="Times New Roman"/>
                <w:b/>
                <w:sz w:val="24"/>
              </w:rPr>
              <w:t>城市韧性提升工程。</w:t>
            </w:r>
            <w:r>
              <w:rPr>
                <w:rFonts w:hint="eastAsia" w:cs="Times New Roman"/>
                <w:bCs/>
                <w:sz w:val="24"/>
              </w:rPr>
              <w:t>保障城市供水安全，推进永州市中心城区应急备用水源工程和城乡供水一体化建设。推进海绵城市建设，到2030年，全市改造建设污水管网300公里、雨水管网200公里、供水管网300公里、燃气管道500公里，建设供热管道70公里。</w:t>
            </w:r>
          </w:p>
          <w:p w14:paraId="68F716F7">
            <w:pPr>
              <w:spacing w:line="440" w:lineRule="exact"/>
              <w:ind w:firstLine="482"/>
              <w:rPr>
                <w:rFonts w:cs="Times New Roman"/>
                <w:bCs/>
                <w:sz w:val="24"/>
              </w:rPr>
            </w:pPr>
            <w:r>
              <w:rPr>
                <w:rFonts w:hint="eastAsia" w:cs="Times New Roman"/>
                <w:b/>
                <w:sz w:val="24"/>
              </w:rPr>
              <w:t>居住空间提质工程。</w:t>
            </w:r>
            <w:r>
              <w:rPr>
                <w:rFonts w:hint="eastAsia" w:cs="Times New Roman"/>
                <w:bCs/>
                <w:sz w:val="24"/>
              </w:rPr>
              <w:t>持续推进老旧小区及城中村改造，重点推进湘江西岸城市更新、零陵区七里店街道日升社区改造、零陵区老埠头村城中村改造等项目，到2030年，完成中心城区14个城中村改造项目，改善约1182套现有住房。</w:t>
            </w:r>
          </w:p>
          <w:p w14:paraId="6A38DF63">
            <w:pPr>
              <w:spacing w:line="440" w:lineRule="exact"/>
              <w:ind w:firstLine="482"/>
              <w:rPr>
                <w:rFonts w:cs="Times New Roman"/>
                <w:bCs/>
                <w:sz w:val="24"/>
              </w:rPr>
            </w:pPr>
            <w:r>
              <w:rPr>
                <w:rFonts w:hint="eastAsia" w:cs="Times New Roman"/>
                <w:b/>
                <w:sz w:val="24"/>
              </w:rPr>
              <w:t>城市住房保障工程。</w:t>
            </w:r>
            <w:r>
              <w:rPr>
                <w:rFonts w:hint="eastAsia" w:cs="Times New Roman"/>
                <w:bCs/>
                <w:sz w:val="24"/>
              </w:rPr>
              <w:t>加快完善多元住房保障体系。到2030年，保障性住房覆盖城镇常住人口15%以上，全市新增保障性住房6000套（间）以上，保障性租赁住房占比60%，人才公寓占比20%，共有产权房占比20%。</w:t>
            </w:r>
          </w:p>
          <w:p w14:paraId="22DEDB1E">
            <w:pPr>
              <w:pStyle w:val="68"/>
              <w:spacing w:line="440" w:lineRule="exact"/>
              <w:ind w:firstLine="482"/>
            </w:pPr>
            <w:r>
              <w:rPr>
                <w:rFonts w:hint="eastAsia" w:cs="Times New Roman"/>
                <w:b/>
              </w:rPr>
              <w:t>完整宜居民生工程。</w:t>
            </w:r>
            <w:r>
              <w:rPr>
                <w:rFonts w:hint="eastAsia" w:cs="Times New Roman"/>
              </w:rPr>
              <w:t>全面推进完整社区建设。到2030年，力争完整社区覆盖率达到80%以上，社区公共服务设施15分钟步行可达，中心城区规划学校100所，医疗床位数达12000张，人均体育设施用地面积达0.5平方米。</w:t>
            </w:r>
          </w:p>
        </w:tc>
      </w:tr>
      <w:bookmarkEnd w:id="260"/>
    </w:tbl>
    <w:p w14:paraId="4E5D8FCB">
      <w:pPr>
        <w:pStyle w:val="7"/>
        <w:spacing w:before="217" w:after="217"/>
        <w:rPr>
          <w:b w:val="0"/>
        </w:rPr>
      </w:pPr>
      <w:r>
        <w:rPr>
          <w:rFonts w:hint="eastAsia"/>
        </w:rPr>
        <w:t>第三节 加强历史文化名城活化利用</w:t>
      </w:r>
    </w:p>
    <w:p w14:paraId="766236B5">
      <w:pPr>
        <w:ind w:firstLine="640"/>
        <w:rPr>
          <w:rFonts w:hint="eastAsia" w:ascii="仿宋_GB2312" w:hAnsi="仿宋_GB2312" w:cs="仿宋_GB2312"/>
          <w:szCs w:val="22"/>
        </w:rPr>
      </w:pPr>
      <w:r>
        <w:rPr>
          <w:rFonts w:hint="eastAsia" w:cs="Times New Roman"/>
          <w:szCs w:val="20"/>
          <w14:ligatures w14:val="none"/>
        </w:rPr>
        <w:t>统筹历史文化保护与城市高质量发展，整体保护“两山一水一城”古城格局，擦亮永州国家历史文化名城名片，</w:t>
      </w:r>
      <w:r>
        <w:rPr>
          <w:rFonts w:hint="eastAsia" w:ascii="仿宋_GB2312" w:hAnsi="仿宋_GB2312" w:cs="仿宋_GB2312"/>
        </w:rPr>
        <w:t>推动道县、宁远、江永省级历史文化名城建设，</w:t>
      </w:r>
      <w:r>
        <w:rPr>
          <w:rFonts w:hint="eastAsia" w:cs="Times New Roman"/>
          <w:szCs w:val="20"/>
          <w14:ligatures w14:val="none"/>
        </w:rPr>
        <w:t>打造具有全国影响力的历史文化传承标杆。</w:t>
      </w:r>
      <w:r>
        <w:rPr>
          <w:rFonts w:hint="eastAsia" w:ascii="仿宋_GB2312" w:hAnsi="仿宋_GB2312" w:cs="仿宋_GB2312"/>
          <w:szCs w:val="22"/>
        </w:rPr>
        <w:t>坚持“留改拆”优于“拆改留”，开展历史文化街区和历史建筑保护、修缮和整治，推进永州市柳子街—大西门—正大街城南路历史文化片区建设。</w:t>
      </w:r>
      <w:r>
        <w:rPr>
          <w:rFonts w:hint="eastAsia" w:cs="Times New Roman"/>
          <w:szCs w:val="20"/>
          <w14:ligatures w14:val="none"/>
        </w:rPr>
        <w:t>整合全市历史文化名城、名镇、名村资源，建立完善保护对象动态增补机制，强化古建筑与文化线路整体保护，推动文物保护、学术研究、旅游服务融合发展。</w:t>
      </w:r>
      <w:r>
        <w:rPr>
          <w:rFonts w:hint="eastAsia" w:ascii="仿宋_GB2312" w:hAnsi="仿宋_GB2312" w:cs="仿宋_GB2312"/>
          <w:szCs w:val="22"/>
        </w:rPr>
        <w:t>加强对湘桂古道、潇贺古道、古驿道等历史线路保护与文化资源挖掘，培育“文化廊道</w:t>
      </w:r>
      <w:r>
        <w:rPr>
          <w:rFonts w:hint="eastAsia" w:cs="Times New Roman"/>
          <w:szCs w:val="22"/>
        </w:rPr>
        <w:t>+</w:t>
      </w:r>
      <w:r>
        <w:rPr>
          <w:rFonts w:hint="eastAsia" w:ascii="仿宋_GB2312" w:hAnsi="仿宋_GB2312" w:cs="仿宋_GB2312"/>
          <w:szCs w:val="22"/>
        </w:rPr>
        <w:t>旅游线路”新业态新模式。</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DC3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30D9C766">
            <w:pPr>
              <w:spacing w:before="217" w:beforeLines="50" w:after="217" w:afterLines="50" w:line="440" w:lineRule="exact"/>
              <w:ind w:firstLine="0" w:firstLineChars="0"/>
              <w:jc w:val="center"/>
              <w:outlineLvl w:val="3"/>
              <w:rPr>
                <w:rFonts w:cstheme="majorBidi"/>
                <w:b/>
                <w:szCs w:val="28"/>
              </w:rPr>
            </w:pPr>
            <w:r>
              <w:rPr>
                <w:rFonts w:hint="eastAsia" w:cstheme="majorBidi"/>
                <w:b/>
                <w:szCs w:val="28"/>
              </w:rPr>
              <w:t>专栏</w:t>
            </w:r>
            <w:r>
              <w:rPr>
                <w:rFonts w:cstheme="majorBidi"/>
                <w:b/>
                <w:szCs w:val="28"/>
              </w:rPr>
              <w:t xml:space="preserve">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18</w:t>
            </w:r>
            <w:r>
              <w:rPr>
                <w:rFonts w:hint="eastAsia" w:cstheme="majorBidi"/>
                <w:b/>
                <w:szCs w:val="28"/>
              </w:rPr>
              <w:fldChar w:fldCharType="end"/>
            </w:r>
            <w:r>
              <w:rPr>
                <w:rFonts w:hint="eastAsia" w:cstheme="majorBidi"/>
                <w:b/>
                <w:szCs w:val="28"/>
              </w:rPr>
              <w:t xml:space="preserve"> </w:t>
            </w:r>
            <w:r>
              <w:rPr>
                <w:rFonts w:hint="eastAsia" w:cs="Times New Roman"/>
                <w:b/>
                <w:color w:val="000000"/>
                <w:szCs w:val="28"/>
              </w:rPr>
              <w:t>历史文化保护与利用重点工程</w:t>
            </w:r>
          </w:p>
        </w:tc>
      </w:tr>
      <w:tr w14:paraId="78EC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3B7E9155">
            <w:pPr>
              <w:spacing w:line="440" w:lineRule="exact"/>
              <w:ind w:firstLine="482"/>
              <w:rPr>
                <w:rFonts w:cs="Times New Roman"/>
                <w:bCs/>
                <w:sz w:val="24"/>
                <w:szCs w:val="22"/>
              </w:rPr>
            </w:pPr>
            <w:r>
              <w:rPr>
                <w:rFonts w:hint="eastAsia" w:cs="Times New Roman"/>
                <w:b/>
                <w:sz w:val="24"/>
                <w:szCs w:val="22"/>
              </w:rPr>
              <w:t>历史文化街区焕新工程。</w:t>
            </w:r>
            <w:r>
              <w:rPr>
                <w:rFonts w:hint="eastAsia" w:cs="Times New Roman"/>
                <w:bCs/>
                <w:sz w:val="24"/>
                <w:szCs w:val="22"/>
              </w:rPr>
              <w:t>实施柳子街、大西门、正大街—城南路街区修缮，同步推进街景立面改造、市政管网升级。到2030年，完成3个街区核心区修缮，实施</w:t>
            </w:r>
            <w:r>
              <w:rPr>
                <w:rFonts w:cs="Times New Roman"/>
                <w:bCs/>
                <w:sz w:val="24"/>
                <w:szCs w:val="22"/>
              </w:rPr>
              <w:t>64</w:t>
            </w:r>
            <w:r>
              <w:rPr>
                <w:rFonts w:hint="eastAsia" w:cs="Times New Roman"/>
                <w:bCs/>
                <w:sz w:val="24"/>
                <w:szCs w:val="22"/>
              </w:rPr>
              <w:t>栋公有历史建筑修缮、</w:t>
            </w:r>
            <w:r>
              <w:rPr>
                <w:rFonts w:cs="Times New Roman"/>
                <w:bCs/>
                <w:sz w:val="24"/>
                <w:szCs w:val="22"/>
              </w:rPr>
              <w:t>136</w:t>
            </w:r>
            <w:r>
              <w:rPr>
                <w:rFonts w:hint="eastAsia" w:cs="Times New Roman"/>
                <w:bCs/>
                <w:sz w:val="24"/>
                <w:szCs w:val="22"/>
              </w:rPr>
              <w:t>栋传统建筑立面改造，完成大西门历史文化广场建设，打造“一街一主题”文化场景。</w:t>
            </w:r>
          </w:p>
          <w:p w14:paraId="019A3CD4">
            <w:pPr>
              <w:spacing w:line="440" w:lineRule="exact"/>
              <w:ind w:firstLine="482"/>
              <w:rPr>
                <w:rFonts w:cs="Times New Roman"/>
                <w:bCs/>
                <w:sz w:val="24"/>
                <w:szCs w:val="22"/>
              </w:rPr>
            </w:pPr>
            <w:r>
              <w:rPr>
                <w:rFonts w:hint="eastAsia" w:cs="Times New Roman"/>
                <w:b/>
                <w:sz w:val="24"/>
                <w:szCs w:val="22"/>
              </w:rPr>
              <w:t>历史文化街区活化利用工程。</w:t>
            </w:r>
            <w:r>
              <w:rPr>
                <w:rFonts w:hint="eastAsia" w:cs="Times New Roman"/>
                <w:bCs/>
                <w:sz w:val="24"/>
                <w:szCs w:val="22"/>
              </w:rPr>
              <w:t>推进街区数字化展示与智慧旅游服务，植入多元新业态，打造“零陵夜宴”夜游IP。修缮街区历史建筑与古码头、古驿道，恢复传统商贸院落功能，开发“潇湘古道—湘江码头”文化体验线路，配套民宿、文创商店、民俗展演场地等设施。到2030年，实现历史街区活化利用业态占比达60%以上，年接待游客量增长30%，创建省级历史文化街区保护利用示范片区。</w:t>
            </w:r>
          </w:p>
          <w:p w14:paraId="151C476B">
            <w:pPr>
              <w:spacing w:line="440" w:lineRule="exact"/>
              <w:ind w:firstLine="482"/>
              <w:rPr>
                <w:rFonts w:cs="Times New Roman"/>
                <w:bCs/>
                <w:sz w:val="24"/>
              </w:rPr>
            </w:pPr>
            <w:r>
              <w:rPr>
                <w:rFonts w:hint="eastAsia" w:cs="Times New Roman"/>
                <w:b/>
                <w:sz w:val="24"/>
                <w:szCs w:val="22"/>
              </w:rPr>
              <w:t>文保单位保护与数字化利用工程。</w:t>
            </w:r>
            <w:r>
              <w:rPr>
                <w:rFonts w:hint="eastAsia" w:cs="Times New Roman"/>
                <w:bCs/>
                <w:sz w:val="24"/>
                <w:szCs w:val="22"/>
              </w:rPr>
              <w:t>对全市34处全国重点文保单位开展本体修缮、病害治理，建立文物保护监测预警系统，开展数字化建档与三维建模，到2030年，全国重点文保单位本体完好率达98%，预防性保护机制全面建立。对市域131处省级、157处市级文保单位开展常态化修缮与环境整治，完善文物保护单位标识系统与展示设施，积极申报全国重点文保单位，到2030年，各级文保单位保护措施落实率达100%，新增全国重点文保单位2—3处，文物展示开放率提升至70%。</w:t>
            </w:r>
          </w:p>
        </w:tc>
      </w:tr>
      <w:bookmarkEnd w:id="251"/>
    </w:tbl>
    <w:p w14:paraId="2453870B">
      <w:pPr>
        <w:ind w:firstLine="640"/>
      </w:pPr>
    </w:p>
    <w:p w14:paraId="33707628">
      <w:pPr>
        <w:pStyle w:val="16"/>
      </w:pPr>
      <w:r>
        <w:br w:type="page"/>
      </w:r>
    </w:p>
    <w:p w14:paraId="7C71A91B">
      <w:pPr>
        <w:pStyle w:val="5"/>
      </w:pPr>
      <w:bookmarkStart w:id="271" w:name="_Toc232094408"/>
      <w:r>
        <w:rPr>
          <w:rFonts w:hint="eastAsia"/>
          <w:spacing w:val="11"/>
        </w:rPr>
        <w:t>坚持农业农村优先发展，推进乡村全</w:t>
      </w:r>
      <w:r>
        <w:rPr>
          <w:rFonts w:hint="eastAsia"/>
        </w:rPr>
        <w:t>面振兴</w:t>
      </w:r>
      <w:bookmarkEnd w:id="271"/>
    </w:p>
    <w:p w14:paraId="2F716313">
      <w:pPr>
        <w:ind w:firstLine="640"/>
      </w:pPr>
    </w:p>
    <w:p w14:paraId="2BF2A9E5">
      <w:pPr>
        <w:ind w:firstLine="640"/>
      </w:pPr>
      <w:r>
        <w:rPr>
          <w:rFonts w:hint="eastAsia"/>
        </w:rPr>
        <w:t>坚持把解决好“三农”问题作为重中之重，一体推进农业农村现代化，坚决守牢粮食安全底线和不发生规模性返贫致贫底线，加快建设宜居宜业和美乡村，促进农业高质高效、乡村宜居宜业、农民富裕富足，有力有效推进乡村全面振兴。</w:t>
      </w:r>
    </w:p>
    <w:p w14:paraId="176C6F70">
      <w:pPr>
        <w:pStyle w:val="6"/>
        <w:spacing w:before="435" w:after="217"/>
      </w:pPr>
      <w:bookmarkStart w:id="272" w:name="_Toc232094409"/>
      <w:r>
        <w:rPr>
          <w:rFonts w:hint="eastAsia"/>
        </w:rPr>
        <w:t>提高农业综合生产能力</w:t>
      </w:r>
      <w:bookmarkEnd w:id="272"/>
    </w:p>
    <w:p w14:paraId="35FBECD6">
      <w:pPr>
        <w:ind w:firstLine="640"/>
      </w:pPr>
      <w:r>
        <w:rPr>
          <w:rFonts w:hint="eastAsia"/>
        </w:rPr>
        <w:t>坚持源头抓品种、生产抓品质、市场抓品牌，统筹发展科技农业、绿色农业、质量农业、品牌农业，进一步夯实农业发展基础，推动农业高质量发展。</w:t>
      </w:r>
    </w:p>
    <w:p w14:paraId="1CB99CB8">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筑牢粮食安全根基</w:t>
      </w:r>
    </w:p>
    <w:p w14:paraId="17BE038E">
      <w:pPr>
        <w:adjustRightInd w:val="0"/>
        <w:snapToGrid w:val="0"/>
        <w:ind w:firstLine="640"/>
        <w:rPr>
          <w:rFonts w:hint="eastAsia" w:hAnsi="仿宋_GB2312" w:cs="仿宋_GB2312"/>
          <w:szCs w:val="20"/>
          <w14:ligatures w14:val="none"/>
        </w:rPr>
      </w:pPr>
      <w:r>
        <w:rPr>
          <w:rFonts w:hint="eastAsia" w:hAnsi="仿宋_GB2312" w:cs="仿宋_GB2312"/>
          <w:szCs w:val="20"/>
          <w14:ligatures w14:val="none"/>
        </w:rPr>
        <w:t>全面落实粮食安全党政同责，深入实施藏粮于地、藏粮于技战略，开展新一轮粮食产能提升行动，大力推进国家储备粮源基地建设。</w:t>
      </w:r>
      <w:r>
        <w:rPr>
          <w:rFonts w:hint="eastAsia" w:cs="Times New Roman"/>
          <w:szCs w:val="20"/>
          <w14:ligatures w14:val="none"/>
        </w:rPr>
        <w:t>严守耕地保护红线，完善耕地占补平衡制度，确保耕地数量稳定、质量提升。高质量推进高标准农田建设，打造全国丘陵山区高标准农田建设“永州样板”。推进“五小水利工程”，开展水源连通与扩容，完善田间渠系配套</w:t>
      </w:r>
      <w:r>
        <w:rPr>
          <w:rFonts w:hint="eastAsia" w:hAnsi="仿宋_GB2312" w:cs="仿宋_GB2312"/>
          <w:szCs w:val="20"/>
          <w14:ligatures w14:val="none"/>
        </w:rPr>
        <w:t>。实施主要粮油作物大面积单产提升行动。</w:t>
      </w:r>
      <w:r>
        <w:rPr>
          <w:rFonts w:hint="eastAsia" w:cs="Times New Roman"/>
          <w:szCs w:val="20"/>
          <w14:ligatures w14:val="none"/>
        </w:rPr>
        <w:t>增强农业防灾减灾能力，构建农业保险大灾风险分散体系。</w:t>
      </w:r>
      <w:r>
        <w:rPr>
          <w:rFonts w:hint="eastAsia" w:hAnsi="仿宋_GB2312" w:cs="仿宋_GB2312"/>
          <w:szCs w:val="20"/>
          <w14:ligatures w14:val="none"/>
        </w:rPr>
        <w:t>全面落实粮油储存安全责任，加强安全储粮管理。</w:t>
      </w:r>
      <w:r>
        <w:rPr>
          <w:rFonts w:hint="eastAsia" w:cs="Times New Roman"/>
          <w:szCs w:val="20"/>
          <w14:ligatures w14:val="none"/>
        </w:rPr>
        <w:t>到2030年，全市粮食播种面积稳定在730万亩左右，</w:t>
      </w:r>
      <w:r>
        <w:rPr>
          <w:rFonts w:hint="eastAsia" w:hAnsi="仿宋_GB2312" w:cs="仿宋_GB2312"/>
          <w:szCs w:val="20"/>
          <w14:ligatures w14:val="none"/>
        </w:rPr>
        <w:t>总产量稳定在60.5亿斤以上</w:t>
      </w:r>
      <w:r>
        <w:rPr>
          <w:rFonts w:hint="eastAsia" w:cs="Times New Roman"/>
          <w:szCs w:val="20"/>
          <w14:ligatures w14:val="none"/>
        </w:rPr>
        <w:t>，</w:t>
      </w:r>
      <w:r>
        <w:rPr>
          <w:rFonts w:hint="eastAsia" w:hAnsi="仿宋_GB2312" w:cs="仿宋_GB2312"/>
          <w:szCs w:val="20"/>
          <w14:ligatures w14:val="none"/>
        </w:rPr>
        <w:t>新建高标准</w:t>
      </w:r>
      <w:bookmarkStart w:id="273" w:name="OLE_LINK32"/>
      <w:r>
        <w:rPr>
          <w:rFonts w:hint="eastAsia" w:hAnsi="仿宋_GB2312" w:cs="仿宋_GB2312"/>
          <w:szCs w:val="20"/>
          <w14:ligatures w14:val="none"/>
        </w:rPr>
        <w:t>农田</w:t>
      </w:r>
      <w:bookmarkEnd w:id="273"/>
      <w:r>
        <w:rPr>
          <w:rFonts w:hint="eastAsia" w:hAnsi="仿宋_GB2312" w:cs="仿宋_GB2312"/>
          <w:szCs w:val="20"/>
          <w14:ligatures w14:val="none"/>
        </w:rPr>
        <w:t>41万亩，提质改造69万亩</w:t>
      </w:r>
      <w:r>
        <w:rPr>
          <w:rFonts w:hint="eastAsia" w:cs="Times New Roman"/>
          <w:szCs w:val="20"/>
          <w14:ligatures w14:val="none"/>
        </w:rPr>
        <w:t>。</w:t>
      </w:r>
    </w:p>
    <w:p w14:paraId="6F9B27B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做强做优乡村产业</w:t>
      </w:r>
    </w:p>
    <w:p w14:paraId="2E4F7C1C">
      <w:pPr>
        <w:ind w:firstLine="640"/>
      </w:pPr>
      <w:r>
        <w:rPr>
          <w:rFonts w:hint="eastAsia"/>
        </w:rPr>
        <w:t>持续优化种养结构，构建多元化食物供给体系，壮大果蔬、油茶、生猪三大优势产业，加快培育蛋鸡养殖、设施渔业、肉羊肉牛养殖三大新兴产业，因地制宜发展林下经济，加大</w:t>
      </w:r>
      <w:r>
        <w:rPr>
          <w:rFonts w:hint="eastAsia" w:ascii="仿宋_GB2312" w:hAnsi="仿宋_GB2312" w:cs="仿宋_GB2312"/>
        </w:rPr>
        <w:t>永州特色农产品生产。到</w:t>
      </w:r>
      <w:r>
        <w:rPr>
          <w:rFonts w:hint="eastAsia"/>
        </w:rPr>
        <w:t>2030年，生猪出栏量稳定在800万头左右，肉牛33万头，肉羊100万只，家禽6000万羽，禽蛋20万吨，水产品27万吨，蔬菜700万吨。推动农产品精深加工发展，建设一批农产品加工集聚区或产业园，分级培育壮大一批龙头企业，引导产业链上下游企业入园集聚发展，打造农业优势特色产业集群。</w:t>
      </w:r>
      <w:r>
        <w:rPr>
          <w:color w:val="000000" w:themeColor="text1"/>
          <w14:textFill>
            <w14:solidFill>
              <w14:schemeClr w14:val="tx1"/>
            </w14:solidFill>
          </w14:textFill>
        </w:rPr>
        <w:t>拓展新型蛋白来源，稳慎推进新型食物产业化。健全粮食和食物节约长效机制</w:t>
      </w:r>
      <w:r>
        <w:rPr>
          <w:rFonts w:hint="eastAsia"/>
          <w:color w:val="000000" w:themeColor="text1"/>
          <w14:textFill>
            <w14:solidFill>
              <w14:schemeClr w14:val="tx1"/>
            </w14:solidFill>
          </w14:textFill>
        </w:rPr>
        <w:t>。</w:t>
      </w:r>
      <w:r>
        <w:rPr>
          <w:rFonts w:hint="eastAsia"/>
        </w:rPr>
        <w:t>做优唱响区域农业品牌，培育绿色、有机、地理标志和名特优新农产品，打造“永州之野”区域公用品牌，构建“区域公用品牌+企业产品品牌+农产品品牌”的母子品牌矩阵。升级完善农产品流通网络，加强冷链基础设施建设，发展农业农村电子商务新业态，增强农产品数字化营销能力，拓宽品牌流通渠道。推动一二三产业融合发展，培育发展现代农业与休闲旅游、教育研学融合等“农业+”新业态新模式。</w:t>
      </w:r>
    </w:p>
    <w:p w14:paraId="3A5915EA">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大力发展现代农业</w:t>
      </w:r>
    </w:p>
    <w:p w14:paraId="06AA8063">
      <w:pPr>
        <w:ind w:firstLine="640"/>
      </w:pPr>
      <w:r>
        <w:rPr>
          <w:rFonts w:hint="eastAsia"/>
        </w:rPr>
        <w:t>深入实施种业振兴行动，发掘东山猪、东安鸡、湘南牛、江永“五香”等优异种质资源，提纯复壮道州灰鹅、九嶷山兔、新田大豆、双牌旱稻、祁阳槟榔芋等地方特色品种，选育水稻、油菜、大豆等高产优质突破性新品种。培育壮大本地种业企业，建设一批种子生产基地，建立种质资源保护与利用制度。</w:t>
      </w:r>
      <w:r>
        <w:t>实施农机装备高质量发展行动，促进良田良种良机良法集成增效</w:t>
      </w:r>
      <w:r>
        <w:rPr>
          <w:rFonts w:hint="eastAsia"/>
        </w:rPr>
        <w:t>。加快发展智慧农业，鼓励各县市区结合主导产业筛选推广一批智慧农业技术和装备，推动农业生产经营信息化改造，培育智慧农（牧、渔）场。鼓励各县市区布局差异化的现代设施农业，发展规模化种植养殖。加强市、县、乡三级农产品质量安全检测体系建设，推动与主要销售市场建立互认的检测标准和质量追溯体系。建立健全</w:t>
      </w:r>
      <w:r>
        <w:t>农业科技创新体系，培育农业科技领军企业</w:t>
      </w:r>
      <w:r>
        <w:rPr>
          <w:rFonts w:hint="eastAsia"/>
        </w:rPr>
        <w:t>。</w:t>
      </w:r>
      <w:r>
        <w:t>健全公益性和经营性相结合的农业科技推广体系。</w:t>
      </w:r>
    </w:p>
    <w:tbl>
      <w:tblPr>
        <w:tblStyle w:val="8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26CD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60C094A">
            <w:pPr>
              <w:spacing w:before="217" w:beforeLines="50" w:after="217" w:afterLines="50" w:line="440" w:lineRule="exact"/>
              <w:ind w:firstLine="0" w:firstLineChars="0"/>
              <w:jc w:val="center"/>
              <w:outlineLvl w:val="3"/>
              <w:rPr>
                <w:rFonts w:cs="Times New Roman"/>
                <w:b/>
              </w:rPr>
            </w:pPr>
            <w:r>
              <w:rPr>
                <w:rFonts w:hint="eastAsia" w:cstheme="majorBidi"/>
                <w:b/>
                <w:szCs w:val="28"/>
              </w:rPr>
              <w:t xml:space="preserve">专栏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19</w:t>
            </w:r>
            <w:r>
              <w:rPr>
                <w:rFonts w:hint="eastAsia" w:cstheme="majorBidi"/>
                <w:b/>
                <w:szCs w:val="28"/>
              </w:rPr>
              <w:fldChar w:fldCharType="end"/>
            </w:r>
            <w:r>
              <w:rPr>
                <w:rFonts w:hint="eastAsia" w:cstheme="majorBidi"/>
                <w:b/>
                <w:szCs w:val="28"/>
              </w:rPr>
              <w:t xml:space="preserve"> </w:t>
            </w:r>
            <w:r>
              <w:rPr>
                <w:rFonts w:hint="eastAsia" w:hAnsi="等线" w:cs="Times New Roman"/>
                <w:b/>
              </w:rPr>
              <w:t>农业现代化发展行动</w:t>
            </w:r>
          </w:p>
        </w:tc>
      </w:tr>
      <w:tr w14:paraId="497D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2C028FD1">
            <w:pPr>
              <w:spacing w:line="440" w:lineRule="exact"/>
              <w:ind w:firstLine="482"/>
              <w:rPr>
                <w:rFonts w:cs="Times New Roman"/>
                <w:sz w:val="24"/>
              </w:rPr>
            </w:pPr>
            <w:r>
              <w:rPr>
                <w:rFonts w:hint="eastAsia" w:cs="Times New Roman"/>
                <w:b/>
                <w:sz w:val="24"/>
              </w:rPr>
              <w:t>农田产能提升行动。</w:t>
            </w:r>
            <w:r>
              <w:rPr>
                <w:rFonts w:hint="eastAsia" w:cs="Times New Roman"/>
                <w:sz w:val="24"/>
              </w:rPr>
              <w:t>到</w:t>
            </w:r>
            <w:r>
              <w:rPr>
                <w:rFonts w:cs="Times New Roman"/>
                <w:sz w:val="24"/>
              </w:rPr>
              <w:t>2028</w:t>
            </w:r>
            <w:r>
              <w:rPr>
                <w:rFonts w:hint="eastAsia" w:cs="Times New Roman"/>
                <w:sz w:val="24"/>
              </w:rPr>
              <w:t>年，推动祁阳、新田依托超长期特别国债，优先将符合条件的永久基本农田建成高标准农田。鼓励江华、江永、道县、宁远等依托涔天河灌区，推进“小田改大田”。支持东安、冷水滩、零陵等传统产粮区加快高标准农田建设。</w:t>
            </w:r>
          </w:p>
          <w:p w14:paraId="79541266">
            <w:pPr>
              <w:spacing w:line="440" w:lineRule="exact"/>
              <w:ind w:firstLine="482"/>
              <w:rPr>
                <w:rFonts w:cs="Times New Roman"/>
                <w:sz w:val="24"/>
              </w:rPr>
            </w:pPr>
            <w:r>
              <w:rPr>
                <w:rFonts w:hint="eastAsia" w:cs="Times New Roman"/>
                <w:b/>
                <w:sz w:val="24"/>
              </w:rPr>
              <w:t>种业创新行动。</w:t>
            </w:r>
            <w:r>
              <w:rPr>
                <w:rFonts w:hint="eastAsia" w:cs="Times New Roman"/>
                <w:sz w:val="24"/>
              </w:rPr>
              <w:t>开展全市农业种质资源普查、收集与鉴定。组织市</w:t>
            </w:r>
            <w:bookmarkStart w:id="274" w:name="OLE_LINK37"/>
            <w:r>
              <w:rPr>
                <w:rFonts w:hint="eastAsia" w:cs="Times New Roman"/>
                <w:sz w:val="24"/>
              </w:rPr>
              <w:t>农科</w:t>
            </w:r>
            <w:bookmarkEnd w:id="274"/>
            <w:r>
              <w:rPr>
                <w:rFonts w:hint="eastAsia" w:cs="Times New Roman"/>
                <w:sz w:val="24"/>
              </w:rPr>
              <w:t>所等科研单位开展育种攻关。推动祁阳、冷水滩、江永、道县、东安等县市区建设高标准、集约化种子（苗）生产基地。开展新品种示范推广，建立百亩攻关田、千亩示范方、万亩辐射带。加强市县种子管理与执法队伍建设。</w:t>
            </w:r>
          </w:p>
          <w:p w14:paraId="2952CC37">
            <w:pPr>
              <w:spacing w:line="440" w:lineRule="exact"/>
              <w:ind w:firstLine="482"/>
              <w:rPr>
                <w:rFonts w:cs="Times New Roman"/>
                <w:sz w:val="24"/>
              </w:rPr>
            </w:pPr>
            <w:r>
              <w:rPr>
                <w:rFonts w:hint="eastAsia" w:cs="Times New Roman"/>
                <w:b/>
                <w:sz w:val="24"/>
              </w:rPr>
              <w:t>农业科技装备发展行动。</w:t>
            </w:r>
            <w:r>
              <w:rPr>
                <w:rFonts w:hint="eastAsia" w:cs="Times New Roman"/>
                <w:sz w:val="24"/>
              </w:rPr>
              <w:t>推广适配丘陵山区的中小型智能农机与配套作业监测传感器。推广畜禽粪污资源化利用、节水灌溉、高效低毒农药喷洒等农业绿色高效技术装备。推动农机合作社规模发展，创建省级区域农事服务中心和农机服务中心，推广“共享农机”模式。</w:t>
            </w:r>
          </w:p>
          <w:p w14:paraId="687128E1">
            <w:pPr>
              <w:spacing w:line="440" w:lineRule="exact"/>
              <w:ind w:firstLine="482"/>
              <w:rPr>
                <w:rFonts w:cs="Times New Roman"/>
                <w:sz w:val="24"/>
              </w:rPr>
            </w:pPr>
            <w:r>
              <w:rPr>
                <w:rFonts w:hint="eastAsia" w:cs="Times New Roman"/>
                <w:b/>
                <w:sz w:val="24"/>
              </w:rPr>
              <w:t>优势特色产业升级行动。</w:t>
            </w:r>
            <w:r>
              <w:rPr>
                <w:rFonts w:hint="eastAsia" w:cs="Times New Roman"/>
                <w:sz w:val="24"/>
              </w:rPr>
              <w:t>做强优质湘猪产业，推动生猪养殖标准化、规模化、绿色化升级，补齐加工短板，重点发展冷鲜分割肉、特色猪肉制品。做优特色畜禽产业，推广林下养殖、生态放养模式。做精蔬菜水果产业，调优品种结构，发展反季蔬菜、特色水果、高档食用菌，推进果蔬精深加工，建设高标准出口蔬菜备案基地和供粤港澳大湾区认证基地。做大特色水产产业，重点发展名优品种高效养殖，推广健康养殖模式，补齐种苗繁育、品牌培育、加工流通等短板。</w:t>
            </w:r>
          </w:p>
          <w:p w14:paraId="583A23D7">
            <w:pPr>
              <w:spacing w:line="440" w:lineRule="exact"/>
              <w:ind w:firstLine="482"/>
              <w:rPr>
                <w:rFonts w:cs="Times New Roman"/>
                <w:sz w:val="24"/>
              </w:rPr>
            </w:pPr>
            <w:r>
              <w:rPr>
                <w:rFonts w:hint="eastAsia" w:cs="Times New Roman"/>
                <w:b/>
                <w:bCs/>
                <w:sz w:val="24"/>
              </w:rPr>
              <w:t>永州优质农产品“南下对接”行动。</w:t>
            </w:r>
            <w:bookmarkStart w:id="275" w:name="OLE_LINK46"/>
            <w:r>
              <w:rPr>
                <w:rFonts w:hint="eastAsia" w:cs="Times New Roman"/>
                <w:sz w:val="24"/>
              </w:rPr>
              <w:t>推动初级农产品转化为符合粤港澳大湾区中高端市场需求的便捷食品、精品食材和健康饮品，重点发展HPP超高压杀菌、速冻锁鲜、健康预制菜、特色食品等高附加值精深加工</w:t>
            </w:r>
            <w:bookmarkEnd w:id="275"/>
            <w:r>
              <w:rPr>
                <w:rFonts w:hint="eastAsia" w:cs="Times New Roman"/>
                <w:sz w:val="24"/>
              </w:rPr>
              <w:t>。主动对接粤港澳大湾区核心城市，建立农产品稳定直销渠道。积极开展多元对接活动，全面提升永州农产品在粤港澳大湾区的品牌知名度、市场占有率。</w:t>
            </w:r>
          </w:p>
        </w:tc>
      </w:tr>
    </w:tbl>
    <w:p w14:paraId="7D6F9118">
      <w:pPr>
        <w:ind w:firstLine="640"/>
      </w:pPr>
    </w:p>
    <w:p w14:paraId="3C1E4745">
      <w:pPr>
        <w:pStyle w:val="6"/>
        <w:spacing w:before="435" w:after="217"/>
      </w:pPr>
      <w:bookmarkStart w:id="276" w:name="_Toc232094410"/>
      <w:r>
        <w:rPr>
          <w:rFonts w:hint="eastAsia"/>
        </w:rPr>
        <w:t>建设宜居宜业“和美湘村”</w:t>
      </w:r>
      <w:bookmarkEnd w:id="276"/>
    </w:p>
    <w:p w14:paraId="70A0FE27">
      <w:pPr>
        <w:ind w:firstLine="640"/>
        <w:rPr>
          <w:szCs w:val="22"/>
        </w:rPr>
      </w:pPr>
      <w:r>
        <w:rPr>
          <w:rFonts w:hint="eastAsia"/>
          <w:szCs w:val="22"/>
        </w:rPr>
        <w:t>落实“产业兴旺、生态宜居、乡风文明、治理有效、生活富裕”的总要求，深入推进现代化乡村建设，深化农村综合改革，持续提升农村人居环境整治水平，显著提高乡村生活品质，建设生态宜居美丽乡村。</w:t>
      </w:r>
    </w:p>
    <w:p w14:paraId="6B430112">
      <w:pPr>
        <w:spacing w:before="217" w:beforeLines="50" w:after="217" w:afterLines="50"/>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加强乡村规划建设管理</w:t>
      </w:r>
    </w:p>
    <w:p w14:paraId="048D06C1">
      <w:pPr>
        <w:adjustRightInd w:val="0"/>
        <w:snapToGrid w:val="0"/>
        <w:ind w:firstLine="640"/>
        <w:rPr>
          <w:szCs w:val="32"/>
        </w:rPr>
      </w:pPr>
      <w:r>
        <w:rPr>
          <w:rFonts w:hint="eastAsia" w:cs="Times New Roman"/>
          <w:szCs w:val="20"/>
          <w14:ligatures w14:val="none"/>
        </w:rPr>
        <w:t>统筹优化村镇布局，细化乡镇主体功能定位。</w:t>
      </w:r>
      <w:r>
        <w:rPr>
          <w:color w:val="000000" w:themeColor="text1"/>
          <w14:textFill>
            <w14:solidFill>
              <w14:schemeClr w14:val="tx1"/>
            </w14:solidFill>
          </w14:textFill>
        </w:rPr>
        <w:t>协同推进县域国土空间治理，稳步开展全域土地综合整治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分类保障乡村发展用地。</w:t>
      </w:r>
      <w:r>
        <w:rPr>
          <w:rFonts w:hint="eastAsia"/>
          <w:szCs w:val="32"/>
        </w:rPr>
        <w:t>提高农村基础设施完备度，坚持城乡基础设施统一规划、建设与管护，构建以县城为龙头、中心镇为枢纽、中心村为支点的城乡基础设施网络。</w:t>
      </w:r>
      <w:r>
        <w:rPr>
          <w:szCs w:val="32"/>
        </w:rPr>
        <w:t>持续推进农村危房改造。</w:t>
      </w:r>
      <w:r>
        <w:rPr>
          <w:rFonts w:hint="eastAsia"/>
          <w:szCs w:val="32"/>
        </w:rPr>
        <w:t>完善乡村公共服务体系，建立城乡公共资源均衡配置机制，发展城乡教育联合体，办</w:t>
      </w:r>
      <w:r>
        <w:rPr>
          <w:rFonts w:hint="eastAsia"/>
          <w:color w:val="000000" w:themeColor="text1"/>
          <w14:textFill>
            <w14:solidFill>
              <w14:schemeClr w14:val="tx1"/>
            </w14:solidFill>
          </w14:textFill>
        </w:rPr>
        <w:t>好寄宿制学校</w:t>
      </w:r>
      <w:r>
        <w:rPr>
          <w:color w:val="000000" w:themeColor="text1"/>
          <w14:textFill>
            <w14:solidFill>
              <w14:schemeClr w14:val="tx1"/>
            </w14:solidFill>
          </w14:textFill>
        </w:rPr>
        <w:t>，</w:t>
      </w:r>
      <w:r>
        <w:rPr>
          <w:rFonts w:hint="eastAsia"/>
          <w:szCs w:val="32"/>
        </w:rPr>
        <w:t>优化乡村基本医疗服务网络和县乡村三级养老服务体系。</w:t>
      </w:r>
      <w:r>
        <w:rPr>
          <w:rFonts w:hint="eastAsia" w:cs="Times New Roman"/>
          <w:szCs w:val="20"/>
          <w14:ligatures w14:val="none"/>
        </w:rPr>
        <w:t>持续改善农村人居环境，以钉钉子精神解决好农村改厕、垃圾围村等问题，强化农业面源污染治理，加快补齐农村现代生活条件短板，积极创建全国美丽乡村先行区。到2030年，</w:t>
      </w:r>
      <w:r>
        <w:rPr>
          <w:rFonts w:hint="eastAsia" w:hAnsi="仿宋_GB2312" w:cs="仿宋_GB2312"/>
          <w:szCs w:val="20"/>
          <w14:ligatures w14:val="none"/>
        </w:rPr>
        <w:t>农村自来水普及率巩固在95%以上，规模化供水覆盖率、生活污水治理率显著提高。推进乡村绿化美化，将乡土文化元素融入村容村貌提升建设，加强农房风貌引导，</w:t>
      </w:r>
      <w:r>
        <w:rPr>
          <w:rFonts w:hAnsi="仿宋_GB2312" w:cs="仿宋_GB2312"/>
          <w:szCs w:val="20"/>
          <w14:ligatures w14:val="none"/>
        </w:rPr>
        <w:t>建设美丽庭院</w:t>
      </w:r>
      <w:r>
        <w:rPr>
          <w:rFonts w:hint="eastAsia" w:hAnsi="Calibri" w:cs="Times New Roman"/>
          <w:szCs w:val="20"/>
          <w14:ligatures w14:val="none"/>
        </w:rPr>
        <w:t>。</w:t>
      </w:r>
    </w:p>
    <w:p w14:paraId="3148CD4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提升乡村治理效能</w:t>
      </w:r>
    </w:p>
    <w:p w14:paraId="50F86C0B">
      <w:pPr>
        <w:adjustRightInd w:val="0"/>
        <w:snapToGrid w:val="0"/>
        <w:ind w:firstLine="640"/>
        <w:rPr>
          <w:rFonts w:cs="Times New Roman"/>
          <w:szCs w:val="20"/>
          <w14:ligatures w14:val="none"/>
        </w:rPr>
      </w:pPr>
      <w:r>
        <w:rPr>
          <w:rFonts w:hint="eastAsia" w:cs="Times New Roman"/>
          <w:szCs w:val="20"/>
          <w14:ligatures w14:val="none"/>
        </w:rPr>
        <w:t>深入推进抓党建促乡村振兴，加强乡镇领导班子和干部队伍建设，构建权责清晰、运行高效的基层治理协同机制。完善村务公开和民主议事制度，扩展农民参与村级议事协商渠道，推广“党小组＋屋场”为核心的基层治理模式。运用数字技术赋能乡村治理</w:t>
      </w:r>
      <w:r>
        <w:rPr>
          <w:rFonts w:hint="eastAsia" w:hAnsi="仿宋_GB2312" w:cs="仿宋_GB2312"/>
          <w:szCs w:val="20"/>
          <w14:ligatures w14:val="none"/>
        </w:rPr>
        <w:t>，探索“线上+线下”议事协商和“互联网+权力监督”模式，</w:t>
      </w:r>
      <w:r>
        <w:rPr>
          <w:rFonts w:hint="eastAsia" w:cs="Times New Roman"/>
          <w:szCs w:val="20"/>
          <w14:ligatures w14:val="none"/>
        </w:rPr>
        <w:t>建设市县乡三级联动的</w:t>
      </w:r>
      <w:r>
        <w:rPr>
          <w:rFonts w:hint="eastAsia" w:hAnsi="仿宋_GB2312" w:cs="仿宋_GB2312"/>
          <w:szCs w:val="20"/>
          <w14:ligatures w14:val="none"/>
        </w:rPr>
        <w:t>“一网统管”平台。建设集党务、村务、政务、文化、服务于一体的乡村邻里中心。</w:t>
      </w:r>
      <w:r>
        <w:rPr>
          <w:rFonts w:hint="eastAsia" w:cs="Times New Roman"/>
          <w:szCs w:val="20"/>
          <w14:ligatures w14:val="none"/>
        </w:rPr>
        <w:t>深化农村移风易俗，整治高额彩礼，规范农村文化市场，加强科普宣传，培育文明乡风、良好家风、淳朴民风。</w:t>
      </w:r>
      <w:r>
        <w:rPr>
          <w:rFonts w:cs="Times New Roman"/>
          <w:szCs w:val="20"/>
          <w14:ligatures w14:val="none"/>
        </w:rPr>
        <w:t>保护传承</w:t>
      </w:r>
      <w:r>
        <w:rPr>
          <w:rFonts w:hint="eastAsia" w:cs="Times New Roman"/>
          <w:szCs w:val="20"/>
          <w14:ligatures w14:val="none"/>
        </w:rPr>
        <w:t>重要农业文化遗产</w:t>
      </w:r>
      <w:r>
        <w:rPr>
          <w:rFonts w:cs="Times New Roman"/>
          <w:szCs w:val="20"/>
          <w14:ligatures w14:val="none"/>
        </w:rPr>
        <w:t>，赓续农耕文明。</w:t>
      </w:r>
      <w:r>
        <w:rPr>
          <w:rFonts w:hint="eastAsia" w:cs="Times New Roman"/>
          <w:szCs w:val="20"/>
          <w14:ligatures w14:val="none"/>
        </w:rPr>
        <w:t>推动法治融入乡村治理全过程，完善农村公共法律服务体系。探索乡村全面振兴永州模式，争创国家乡村振兴示范县。</w:t>
      </w:r>
    </w:p>
    <w:p w14:paraId="6555CBD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推进农村体制机制改革与创新</w:t>
      </w:r>
    </w:p>
    <w:p w14:paraId="277AF6BD">
      <w:pPr>
        <w:adjustRightInd w:val="0"/>
        <w:snapToGrid w:val="0"/>
        <w:ind w:firstLine="640"/>
      </w:pPr>
      <w:r>
        <w:rPr>
          <w:rFonts w:hint="eastAsia" w:cs="Times New Roman"/>
          <w:szCs w:val="20"/>
          <w14:ligatures w14:val="none"/>
        </w:rPr>
        <w:t>巩固完善农村基本经营制度，建立健全承包地经营权不动产登记衔接、社会资本流转土地准入、土地流转合同备案、土地流转价格引导等机制，巩固第二轮土地承包到期后再延长三十年试点成果。稳妥推进农村宅基地制度改革，探索所有权、资格权、使用权分置实现形式，依法盘活利用闲置宅基地。深化农村集体产权制度改革，建设市、县、乡、村四级联动的农村产权交易市场。</w:t>
      </w:r>
      <w:r>
        <w:rPr>
          <w:rFonts w:cs="Times New Roman"/>
          <w:szCs w:val="20"/>
          <w14:ligatures w14:val="none"/>
        </w:rPr>
        <w:t>深化供销合作社综合改革</w:t>
      </w:r>
      <w:r>
        <w:rPr>
          <w:rFonts w:hint="eastAsia" w:cs="Times New Roman"/>
          <w:szCs w:val="20"/>
          <w14:ligatures w14:val="none"/>
        </w:rPr>
        <w:t>。</w:t>
      </w:r>
      <w:r>
        <w:rPr>
          <w:color w:val="000000" w:themeColor="text1"/>
          <w14:textFill>
            <w14:solidFill>
              <w14:schemeClr w14:val="tx1"/>
            </w14:solidFill>
          </w14:textFill>
        </w:rPr>
        <w:t>节约集约利用农村集体经营性建设用地，</w:t>
      </w:r>
      <w:r>
        <w:rPr>
          <w:rFonts w:hint="eastAsia" w:hAnsi="仿宋_GB2312" w:cs="仿宋_GB2312"/>
          <w:szCs w:val="20"/>
          <w14:ligatures w14:val="none"/>
        </w:rPr>
        <w:t>有序推动入市改革。</w:t>
      </w:r>
      <w:r>
        <w:rPr>
          <w:rFonts w:hint="eastAsia" w:cs="Times New Roman"/>
          <w:szCs w:val="20"/>
          <w14:ligatures w14:val="none"/>
        </w:rPr>
        <w:t>完善新型农村</w:t>
      </w:r>
      <w:bookmarkStart w:id="277" w:name="OLE_LINK41"/>
      <w:r>
        <w:rPr>
          <w:rFonts w:hint="eastAsia" w:cs="Times New Roman"/>
          <w:szCs w:val="20"/>
          <w14:ligatures w14:val="none"/>
        </w:rPr>
        <w:t>集体经济发展机制，深化“村社分账”管理改革，拓展新型农村集体经济发展路径。建立新型农业经营主体扶持政策与带动农户增收挂钩机制，提升乡村振兴资金使用效能</w:t>
      </w:r>
      <w:r>
        <w:rPr>
          <w:rFonts w:hint="eastAsia"/>
          <w:szCs w:val="32"/>
        </w:rPr>
        <w:t>。健全</w:t>
      </w:r>
      <w:r>
        <w:rPr>
          <w:color w:val="000000" w:themeColor="text1"/>
          <w14:textFill>
            <w14:solidFill>
              <w14:schemeClr w14:val="tx1"/>
            </w14:solidFill>
          </w14:textFill>
        </w:rPr>
        <w:t>财政优先保障、金融重点倾斜、社会积极参与的</w:t>
      </w:r>
      <w:r>
        <w:rPr>
          <w:rFonts w:hint="eastAsia"/>
          <w:szCs w:val="32"/>
        </w:rPr>
        <w:t>乡村发展多元投入机制，</w:t>
      </w:r>
      <w:r>
        <w:rPr>
          <w:szCs w:val="32"/>
        </w:rPr>
        <w:t>确保乡村振兴投入力度不断增强</w:t>
      </w:r>
      <w:r>
        <w:rPr>
          <w:rFonts w:hint="eastAsia" w:cs="Times New Roman"/>
          <w:szCs w:val="20"/>
          <w14:ligatures w14:val="none"/>
        </w:rPr>
        <w:t>。培育新型农业经营主体，提高农业社会化服务质量。</w:t>
      </w:r>
      <w:bookmarkEnd w:id="277"/>
      <w:r>
        <w:rPr>
          <w:rFonts w:cs="Times New Roman"/>
          <w:szCs w:val="20"/>
          <w14:ligatures w14:val="none"/>
        </w:rPr>
        <w:t>健全种粮农民收益保障机制</w:t>
      </w:r>
      <w:r>
        <w:rPr>
          <w:rFonts w:hint="eastAsia" w:cs="Times New Roman"/>
          <w:szCs w:val="20"/>
          <w14:ligatures w14:val="none"/>
        </w:rPr>
        <w:t>。</w:t>
      </w:r>
      <w:r>
        <w:rPr>
          <w:rFonts w:cs="Times New Roman"/>
          <w:szCs w:val="20"/>
          <w14:ligatures w14:val="none"/>
        </w:rPr>
        <w:t>落实粮食主产区奖补激励制度，加大对产粮大县的支持力度。激励各类人才下乡服务和创业就业。</w:t>
      </w:r>
    </w:p>
    <w:tbl>
      <w:tblPr>
        <w:tblStyle w:val="8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6C6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33588A80">
            <w:pPr>
              <w:spacing w:before="217" w:beforeLines="50" w:after="217" w:afterLines="50" w:line="440" w:lineRule="exact"/>
              <w:ind w:firstLine="0" w:firstLineChars="0"/>
              <w:jc w:val="center"/>
              <w:outlineLvl w:val="3"/>
              <w:rPr>
                <w:rFonts w:cs="Times New Roman"/>
                <w:b/>
              </w:rPr>
            </w:pPr>
            <w:r>
              <w:rPr>
                <w:rFonts w:hint="eastAsia" w:cstheme="majorBidi"/>
                <w:b/>
                <w:szCs w:val="28"/>
              </w:rPr>
              <w:t xml:space="preserve">专栏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20</w:t>
            </w:r>
            <w:r>
              <w:rPr>
                <w:rFonts w:hint="eastAsia" w:cstheme="majorBidi"/>
                <w:b/>
                <w:szCs w:val="28"/>
              </w:rPr>
              <w:fldChar w:fldCharType="end"/>
            </w:r>
            <w:r>
              <w:rPr>
                <w:rFonts w:hint="eastAsia" w:cstheme="majorBidi"/>
                <w:b/>
                <w:szCs w:val="28"/>
              </w:rPr>
              <w:t xml:space="preserve"> </w:t>
            </w:r>
            <w:r>
              <w:rPr>
                <w:rFonts w:hint="eastAsia" w:hAnsi="等线" w:cs="Times New Roman"/>
                <w:b/>
              </w:rPr>
              <w:t>和美乡村建设行动</w:t>
            </w:r>
          </w:p>
        </w:tc>
      </w:tr>
      <w:tr w14:paraId="1480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A19CB5F">
            <w:pPr>
              <w:spacing w:line="440" w:lineRule="exact"/>
              <w:ind w:firstLine="482"/>
              <w:rPr>
                <w:rFonts w:cs="Times New Roman"/>
                <w:sz w:val="24"/>
              </w:rPr>
            </w:pPr>
            <w:r>
              <w:rPr>
                <w:rFonts w:hint="eastAsia" w:cs="Times New Roman"/>
                <w:b/>
                <w:sz w:val="24"/>
              </w:rPr>
              <w:t>美丽乡村示范行动。</w:t>
            </w:r>
            <w:r>
              <w:rPr>
                <w:rFonts w:hint="eastAsia" w:cs="Times New Roman"/>
                <w:sz w:val="24"/>
              </w:rPr>
              <w:t>建立“户分类、村收集、镇转运、县处理”的生活垃圾收运处置体系，加强乡镇污水收集处理设施建设管护，提高农村生活污水处理率，确保农村卫生厕所普及率稳定在</w:t>
            </w:r>
            <w:r>
              <w:rPr>
                <w:rFonts w:cs="Times New Roman"/>
                <w:sz w:val="24"/>
              </w:rPr>
              <w:t>96%</w:t>
            </w:r>
            <w:r>
              <w:rPr>
                <w:rFonts w:hint="eastAsia" w:cs="Times New Roman"/>
                <w:sz w:val="24"/>
              </w:rPr>
              <w:t>以上。提质改造道路1000公里，建设产业路、资源路200公里，升级改造电网，完善信息基础设施。建设一批美丽乡村重点村、乡村旅游重点村，保护修缮传统村落50个。培训新型职业农民</w:t>
            </w:r>
            <w:r>
              <w:rPr>
                <w:rFonts w:cs="Times New Roman"/>
                <w:sz w:val="24"/>
              </w:rPr>
              <w:t>1</w:t>
            </w:r>
            <w:r>
              <w:rPr>
                <w:rFonts w:hint="eastAsia" w:cs="Times New Roman"/>
                <w:sz w:val="24"/>
              </w:rPr>
              <w:t>万人次，建设村级电商服务站</w:t>
            </w:r>
            <w:r>
              <w:rPr>
                <w:rFonts w:cs="Times New Roman"/>
                <w:sz w:val="24"/>
              </w:rPr>
              <w:t>500</w:t>
            </w:r>
            <w:r>
              <w:rPr>
                <w:rFonts w:hint="eastAsia" w:cs="Times New Roman"/>
                <w:sz w:val="24"/>
              </w:rPr>
              <w:t>个。</w:t>
            </w:r>
          </w:p>
          <w:p w14:paraId="2A9BF01A">
            <w:pPr>
              <w:spacing w:line="440" w:lineRule="exact"/>
              <w:ind w:firstLine="482"/>
              <w:rPr>
                <w:rFonts w:cs="Times New Roman"/>
                <w:sz w:val="24"/>
              </w:rPr>
            </w:pPr>
            <w:r>
              <w:rPr>
                <w:rFonts w:hint="eastAsia" w:cs="Times New Roman"/>
                <w:b/>
                <w:sz w:val="24"/>
              </w:rPr>
              <w:t>农村公共服务提质行动。</w:t>
            </w:r>
            <w:r>
              <w:rPr>
                <w:rFonts w:hint="eastAsia" w:cs="Times New Roman"/>
                <w:sz w:val="24"/>
              </w:rPr>
              <w:t>提升教育服务质量，改善农村中小学100所，建设乡镇中心幼儿园50所，培训乡村教师1万人，发展“互联网</w:t>
            </w:r>
            <w:r>
              <w:rPr>
                <w:rFonts w:cs="Times New Roman"/>
                <w:sz w:val="24"/>
              </w:rPr>
              <w:t>+</w:t>
            </w:r>
            <w:r>
              <w:rPr>
                <w:rFonts w:hint="eastAsia" w:cs="Times New Roman"/>
                <w:sz w:val="24"/>
              </w:rPr>
              <w:t>教育”。提升医疗卫生水平，改造提升乡镇卫生院50所，建设标准化村卫生室1000个，培训乡村医生5000人，推进</w:t>
            </w:r>
            <w:r>
              <w:rPr>
                <w:rFonts w:cs="Times New Roman"/>
                <w:sz w:val="24"/>
              </w:rPr>
              <w:t>远程医疗服务覆盖</w:t>
            </w:r>
            <w:r>
              <w:rPr>
                <w:rFonts w:hint="eastAsia" w:cs="Times New Roman"/>
                <w:sz w:val="24"/>
              </w:rPr>
              <w:t>所有乡镇。提升养老服务水平，发展农村居家养老，完善村级互助养老服务站200个，培训养老护理员1000人。提升文化服务质量，建设村级综合文化服务中心1000个，配备文化设施，开展多元文化活动，保护利用传统村落和民俗文化资源。</w:t>
            </w:r>
          </w:p>
          <w:p w14:paraId="3B56E133">
            <w:pPr>
              <w:spacing w:line="440" w:lineRule="exact"/>
              <w:ind w:firstLine="482"/>
              <w:rPr>
                <w:rFonts w:cs="Times New Roman"/>
                <w:sz w:val="24"/>
              </w:rPr>
            </w:pPr>
            <w:r>
              <w:rPr>
                <w:rFonts w:hint="eastAsia" w:cs="Times New Roman"/>
                <w:b/>
                <w:sz w:val="24"/>
              </w:rPr>
              <w:t>乡村治理效能提档行动。</w:t>
            </w:r>
            <w:r>
              <w:rPr>
                <w:rFonts w:hint="eastAsia" w:cs="Times New Roman"/>
                <w:sz w:val="24"/>
              </w:rPr>
              <w:t>提升村级组织凝聚力和战斗力，开展村干部轮训，规范“四议两公开”程序。加强法治乡村建设，实现一村一法律顾问，开展法治宣传，培养“法律明白人”。推进德治乡村建设，修订完善村规民约，建设村史馆、文化礼堂等载体。推行网格化管理，配备网格员，建立“网格发现、镇村处理”工作机制。</w:t>
            </w:r>
          </w:p>
          <w:p w14:paraId="0F0A2D82">
            <w:pPr>
              <w:spacing w:line="440" w:lineRule="exact"/>
              <w:ind w:firstLine="482"/>
              <w:rPr>
                <w:rFonts w:cs="Times New Roman"/>
                <w:sz w:val="24"/>
              </w:rPr>
            </w:pPr>
            <w:r>
              <w:rPr>
                <w:rFonts w:hint="eastAsia" w:cs="Times New Roman"/>
                <w:b/>
                <w:bCs/>
                <w:sz w:val="24"/>
              </w:rPr>
              <w:t>农业绿色发展转型行动。</w:t>
            </w:r>
            <w:r>
              <w:rPr>
                <w:rFonts w:hint="eastAsia" w:cs="Times New Roman"/>
                <w:sz w:val="24"/>
              </w:rPr>
              <w:t>推进农业有机废弃物“变废为宝”，整合项目资金，全面推进农业投入品减量、生产过程清洁、废弃物循环利用。到2030年，全市化肥农药控量减施增效水平稳步提高，畜禽粪污综合利用率达到90%以上，秸秆综合利用率稳定在95%以上，农业面源污染得到有效遏制，产地环境明显改善，绿色低碳循环发展的农业产业体系基本形成。</w:t>
            </w:r>
          </w:p>
        </w:tc>
      </w:tr>
    </w:tbl>
    <w:p w14:paraId="22F109E8">
      <w:pPr>
        <w:pStyle w:val="6"/>
        <w:spacing w:before="435" w:after="217"/>
      </w:pPr>
      <w:bookmarkStart w:id="278" w:name="_Toc232094411"/>
      <w:r>
        <w:rPr>
          <w:rFonts w:hint="eastAsia"/>
        </w:rPr>
        <w:t>提高强农惠农富农政策效能</w:t>
      </w:r>
      <w:bookmarkEnd w:id="278"/>
    </w:p>
    <w:p w14:paraId="1415DEED">
      <w:pPr>
        <w:ind w:firstLine="640"/>
      </w:pPr>
      <w:r>
        <w:rPr>
          <w:rFonts w:hint="eastAsia"/>
        </w:rPr>
        <w:t>强农惠农富农是“三农”政策体系核心目标，进一步提高政策效能，增强政策精准性、协同性和互动性，为加快农业农村现代化提供坚实保障。</w:t>
      </w:r>
    </w:p>
    <w:p w14:paraId="2615F52D">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增加农民收入</w:t>
      </w:r>
    </w:p>
    <w:p w14:paraId="336B9956">
      <w:pPr>
        <w:adjustRightInd w:val="0"/>
        <w:snapToGrid w:val="0"/>
        <w:ind w:firstLine="640"/>
        <w:rPr>
          <w:rFonts w:cs="Times New Roman"/>
          <w:szCs w:val="20"/>
          <w14:ligatures w14:val="none"/>
        </w:rPr>
      </w:pPr>
      <w:r>
        <w:rPr>
          <w:rFonts w:hint="eastAsia" w:cs="Times New Roman"/>
          <w:szCs w:val="20"/>
          <w14:ligatures w14:val="none"/>
        </w:rPr>
        <w:t>增加农民经营性收入，支持做强做优蔬菜、油菜籽、茶叶、水果等经济作物，推动农业适度规模经营。增加农民工资性收入，鼓励发展乡村旅游、休闲农业、农村电商等新业态，创造更多“离土不离乡”的就业岗位，强化与粤港澳大湾区等重点用工地区劳务协作，做响特色劳务品牌，大力培育“新农人”和乡村产业发展带头人，支持农民工返乡创业。拓展农民财产性收入，鼓励农户通过土地流转、股份合作、托管经营等方式盘活土地经营权，激活农村宅基地与农房资产，壮大农村集体经济，创新农业农村金融服务，</w:t>
      </w:r>
      <w:r>
        <w:rPr>
          <w:rFonts w:cs="Times New Roman"/>
          <w:szCs w:val="20"/>
          <w14:ligatures w14:val="none"/>
        </w:rPr>
        <w:t>发展多层次农业保险</w:t>
      </w:r>
      <w:r>
        <w:rPr>
          <w:rFonts w:hint="eastAsia" w:cs="Times New Roman"/>
          <w:szCs w:val="20"/>
          <w14:ligatures w14:val="none"/>
        </w:rPr>
        <w:t>。深入实施省际边界县农民收入提升攻坚行动。到</w:t>
      </w:r>
      <w:r>
        <w:rPr>
          <w:rFonts w:cs="Times New Roman"/>
          <w:szCs w:val="20"/>
          <w14:ligatures w14:val="none"/>
        </w:rPr>
        <w:t>2030</w:t>
      </w:r>
      <w:r>
        <w:rPr>
          <w:rFonts w:hint="eastAsia" w:cs="Times New Roman"/>
          <w:szCs w:val="20"/>
          <w14:ligatures w14:val="none"/>
        </w:rPr>
        <w:t>年，农民人均可支配收入达</w:t>
      </w:r>
      <w:r>
        <w:rPr>
          <w:rFonts w:cs="Times New Roman"/>
          <w:szCs w:val="20"/>
          <w14:ligatures w14:val="none"/>
        </w:rPr>
        <w:t>3</w:t>
      </w:r>
      <w:r>
        <w:rPr>
          <w:rFonts w:hint="eastAsia" w:cs="Times New Roman"/>
          <w:szCs w:val="20"/>
          <w14:ligatures w14:val="none"/>
        </w:rPr>
        <w:t>万元以上，增速持续高于城镇居民。</w:t>
      </w:r>
    </w:p>
    <w:p w14:paraId="41E657D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常态化防止返贫致贫</w:t>
      </w:r>
    </w:p>
    <w:p w14:paraId="3CC51758">
      <w:pPr>
        <w:ind w:firstLine="640"/>
      </w:pPr>
      <w:r>
        <w:rPr>
          <w:rFonts w:hint="eastAsia" w:hAnsi="等线"/>
          <w:szCs w:val="22"/>
        </w:rPr>
        <w:t>建立健全常态化防止返贫致贫机制，坚持精准帮扶，完善兜底帮扶，强化开发式帮扶，</w:t>
      </w:r>
      <w:r>
        <w:rPr>
          <w:color w:val="000000" w:themeColor="text1"/>
          <w14:textFill>
            <w14:solidFill>
              <w14:schemeClr w14:val="tx1"/>
            </w14:solidFill>
          </w14:textFill>
        </w:rPr>
        <w:t>推进市场化导向的消费帮扶，</w:t>
      </w:r>
      <w:r>
        <w:rPr>
          <w:rFonts w:hint="eastAsia" w:hAnsi="等线"/>
          <w:szCs w:val="22"/>
        </w:rPr>
        <w:t>确保不发生规模性返贫致贫。</w:t>
      </w:r>
      <w:r>
        <w:rPr>
          <w:rFonts w:hint="eastAsia"/>
          <w:szCs w:val="22"/>
        </w:rPr>
        <w:t>立足本地资源禀赋，科学规划脱贫地区产业发展方向，实现从“有产业”向“产业优”转变。深入开展防止返贫就业攻坚行动，坚持外出务工与就地就近就业并举，保障脱贫人口就业权益，稳定脱贫人口务工规模和收入。健全帮扶政策体系，增强产业、就业、教育帮扶及大中型水库移民、易地搬迁后扶等工作质效。建立健全扶贫项目资产长效运行管理机制</w:t>
      </w:r>
      <w:r>
        <w:rPr>
          <w:rFonts w:hint="eastAsia" w:hAnsi="等线"/>
          <w:szCs w:val="22"/>
        </w:rPr>
        <w:t>，制定帮扶项目资产管理办法，健全资产形成、确权移交、管护运营、收益分配等全程监管制度。</w:t>
      </w:r>
    </w:p>
    <w:p w14:paraId="701D59F1">
      <w:pPr>
        <w:widowControl/>
        <w:spacing w:line="240" w:lineRule="auto"/>
        <w:ind w:firstLine="0" w:firstLineChars="0"/>
        <w:jc w:val="left"/>
      </w:pPr>
      <w:r>
        <w:br w:type="page"/>
      </w:r>
    </w:p>
    <w:p w14:paraId="31105DA0">
      <w:pPr>
        <w:pStyle w:val="5"/>
        <w:rPr>
          <w:rFonts w:eastAsia="黑体"/>
          <w:spacing w:val="-6"/>
          <w:szCs w:val="32"/>
        </w:rPr>
      </w:pPr>
      <w:bookmarkStart w:id="279" w:name="_Toc215270561"/>
      <w:bookmarkStart w:id="280" w:name="_Toc232094412"/>
      <w:r>
        <w:rPr>
          <w:rFonts w:hint="eastAsia"/>
          <w:spacing w:val="-6"/>
        </w:rPr>
        <w:t>积极提升文化软实力，建设高水平文化旅游名城</w:t>
      </w:r>
      <w:bookmarkEnd w:id="279"/>
      <w:bookmarkEnd w:id="280"/>
    </w:p>
    <w:p w14:paraId="5BE48C54">
      <w:pPr>
        <w:pStyle w:val="97"/>
        <w:spacing w:line="570" w:lineRule="exact"/>
        <w:ind w:firstLine="640"/>
      </w:pPr>
    </w:p>
    <w:p w14:paraId="69E85E1C">
      <w:pPr>
        <w:pStyle w:val="97"/>
        <w:spacing w:line="568" w:lineRule="exact"/>
        <w:ind w:firstLine="640"/>
      </w:pPr>
      <w:r>
        <w:rPr>
          <w:rFonts w:hint="eastAsia"/>
        </w:rPr>
        <w:t>深入践行社会主义核心价值观，坚持以文塑旅、以旅彰文，</w:t>
      </w:r>
      <w:r>
        <w:t>促进文化和科技深度融合，</w:t>
      </w:r>
      <w:r>
        <w:rPr>
          <w:rFonts w:hint="eastAsia"/>
        </w:rPr>
        <w:t>将文旅产业作为全市战略性支柱产业培育，把永州建设成为在全国具有重要影响力的文化强市和旅游强市。</w:t>
      </w:r>
      <w:bookmarkStart w:id="281" w:name="_Toc212282424"/>
    </w:p>
    <w:bookmarkEnd w:id="281"/>
    <w:p w14:paraId="126F5215">
      <w:pPr>
        <w:pStyle w:val="6"/>
        <w:spacing w:before="435" w:after="217"/>
      </w:pPr>
      <w:bookmarkStart w:id="282" w:name="_Toc215270562"/>
      <w:bookmarkStart w:id="283" w:name="_Toc215603997"/>
      <w:bookmarkStart w:id="284" w:name="_Toc214008580"/>
      <w:bookmarkStart w:id="285" w:name="_Toc232094413"/>
      <w:r>
        <w:rPr>
          <w:rFonts w:hint="eastAsia"/>
        </w:rPr>
        <w:t>着力打造城市文明典范</w:t>
      </w:r>
      <w:bookmarkEnd w:id="282"/>
      <w:bookmarkEnd w:id="283"/>
      <w:bookmarkEnd w:id="284"/>
      <w:bookmarkEnd w:id="285"/>
    </w:p>
    <w:p w14:paraId="53ACB769">
      <w:pPr>
        <w:spacing w:line="568" w:lineRule="exact"/>
        <w:ind w:firstLine="640"/>
      </w:pPr>
      <w:r>
        <w:rPr>
          <w:rFonts w:hint="eastAsia"/>
        </w:rPr>
        <w:t>以社会主义核心价值观为引领，</w:t>
      </w:r>
      <w:r>
        <w:rPr>
          <w:rFonts w:hint="eastAsia" w:cs="仿宋_GB2312"/>
        </w:rPr>
        <w:t>纵深推进城市精神文明建设，</w:t>
      </w:r>
      <w:r>
        <w:rPr>
          <w:rFonts w:hint="eastAsia"/>
        </w:rPr>
        <w:t>筑牢意识形态阵地，推进文化自信自强，为高质量发展凝聚精神力量。</w:t>
      </w:r>
    </w:p>
    <w:p w14:paraId="2405116F">
      <w:pPr>
        <w:pStyle w:val="7"/>
        <w:spacing w:before="217" w:after="217" w:line="568" w:lineRule="exact"/>
        <w:rPr>
          <w:b w:val="0"/>
          <w:spacing w:val="-11"/>
        </w:rPr>
      </w:pPr>
      <w:r>
        <w:rPr>
          <w:rFonts w:hint="eastAsia"/>
        </w:rPr>
        <w:t xml:space="preserve">第一节 </w:t>
      </w:r>
      <w:r>
        <w:rPr>
          <w:rFonts w:hint="eastAsia"/>
          <w:spacing w:val="-11"/>
        </w:rPr>
        <w:t>坚持不懈用习近平新时代中国特色社会主义思想凝心铸魂</w:t>
      </w:r>
    </w:p>
    <w:p w14:paraId="717AA471">
      <w:pPr>
        <w:spacing w:line="568" w:lineRule="exact"/>
        <w:ind w:firstLine="640"/>
      </w:pPr>
      <w:r>
        <w:rPr>
          <w:rFonts w:hint="eastAsia" w:cs="Times New Roman"/>
        </w:rPr>
        <w:t>深入学习贯彻习近平新时代中国特色社会主义思想，健全用党的创新理论武装全党、教育人民、指导实践工作体系，健全完善党委（党组）理论学习中心组学习、“第一议题”等制度，推动理论学习常态长效。坚持马克思主义在意识形态领域的指导地位，加强社会主义精神文明建设，切实担负举旗帜、聚民心、育新人、兴文化、展形象的使命任务。深入推进马克思主义理论研究和建设工程，加快“湘粤社科智库联盟”等特色智库建设，健全面向基层、群众的理论宣传普及工作体系，持续打造“理响永州”等本土宣讲品牌</w:t>
      </w:r>
      <w:r>
        <w:rPr>
          <w:rFonts w:hint="eastAsia"/>
        </w:rPr>
        <w:t>。</w:t>
      </w:r>
    </w:p>
    <w:p w14:paraId="09036A15">
      <w:pPr>
        <w:spacing w:before="217" w:beforeLines="50" w:after="217" w:afterLines="50" w:line="568"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培育和践行社会主义核心价值观</w:t>
      </w:r>
    </w:p>
    <w:p w14:paraId="630951D0">
      <w:pPr>
        <w:spacing w:line="568" w:lineRule="exact"/>
        <w:ind w:firstLine="640"/>
      </w:pPr>
      <w:r>
        <w:rPr>
          <w:rFonts w:hint="eastAsia" w:cs="Times New Roman"/>
        </w:rPr>
        <w:t>推动理想信念教育常态化、制度化，加强党史、新中国史、改革开放史、社会主义史、中华民族发展史宣传教育。弘扬李达、陶铸、江华、李启汉、蒋先云</w:t>
      </w:r>
      <w:r>
        <w:rPr>
          <w:rFonts w:hint="eastAsia"/>
        </w:rPr>
        <w:t>、陈树湘</w:t>
      </w:r>
      <w:r>
        <w:rPr>
          <w:rFonts w:hint="eastAsia" w:cs="Times New Roman"/>
        </w:rPr>
        <w:t>等先辈先烈优良传统，建好用好爱国主义教育基地、国防教育基地和烈士纪念设施。大力弘扬团结拼搏、永不言弃的“永冲锋”精神。将社会主义核心价值观融入法治建设与社会治理，加强网络文明建设。加强科普能力建设，深化全民阅读活动，完善志愿服务制度和工作体系。进一步挖掘、传承和弘扬“实事求是”精神内核，健全诚信建设长效机制。</w:t>
      </w:r>
    </w:p>
    <w:p w14:paraId="77947C84">
      <w:pPr>
        <w:spacing w:before="217" w:beforeLines="50" w:after="217" w:afterLines="50" w:line="568"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奋力推进全国文明城市创建</w:t>
      </w:r>
    </w:p>
    <w:p w14:paraId="1679B9A2">
      <w:pPr>
        <w:spacing w:line="568" w:lineRule="exact"/>
        <w:ind w:firstLine="640"/>
      </w:pPr>
      <w:bookmarkStart w:id="286" w:name="_Toc215270563"/>
      <w:bookmarkStart w:id="287" w:name="_Toc214008581"/>
      <w:r>
        <w:t>推动创建</w:t>
      </w:r>
      <w:r>
        <w:rPr>
          <w:rFonts w:hint="eastAsia"/>
        </w:rPr>
        <w:t>“</w:t>
      </w:r>
      <w:r>
        <w:t>文明城市</w:t>
      </w:r>
      <w:r>
        <w:rPr>
          <w:rFonts w:hint="eastAsia"/>
        </w:rPr>
        <w:t>”</w:t>
      </w:r>
      <w:r>
        <w:t>向建设</w:t>
      </w:r>
      <w:r>
        <w:rPr>
          <w:rFonts w:hint="eastAsia"/>
        </w:rPr>
        <w:t>“</w:t>
      </w:r>
      <w:r>
        <w:t>城市文明</w:t>
      </w:r>
      <w:r>
        <w:rPr>
          <w:rFonts w:hint="eastAsia"/>
        </w:rPr>
        <w:t>”</w:t>
      </w:r>
      <w:r>
        <w:t>转变</w:t>
      </w:r>
      <w:r>
        <w:rPr>
          <w:rFonts w:hint="eastAsia"/>
        </w:rPr>
        <w:t>，推动人人践行文明行动、人人参与城市创建，畅通群众诉求表达、利益协调、权益保障渠道，及时响应和解决群众急难愁盼问题。推进文明培育、文明实践与文明创建，深化群众性精神文明创建，推动形成共建共治共享的文明新格局。弘扬中华传统美德，健全社会公德、职业道德、家庭美德、个人品德建设体制机制，引导全社会自觉遵守法律、遵循公序良俗。</w:t>
      </w:r>
    </w:p>
    <w:p w14:paraId="56D3420F">
      <w:pPr>
        <w:spacing w:before="217" w:beforeLines="50" w:after="217" w:afterLines="50" w:line="568"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提高永州文化传播力影响力</w:t>
      </w:r>
    </w:p>
    <w:p w14:paraId="019A1ADC">
      <w:pPr>
        <w:spacing w:line="568" w:lineRule="exact"/>
        <w:ind w:firstLine="640"/>
      </w:pPr>
      <w:r>
        <w:rPr>
          <w:rFonts w:hint="eastAsia" w:cs="Times New Roman"/>
        </w:rPr>
        <w:t>实施文艺精品创作工程，充分发挥舜文化、柳文化、理学文化、稻作文化、瑶文化、女书文化、碑刻文化、“和”文化、红色文化等资源优势，推出一批舞台剧、影视剧等原创精品佳作，打造有标识度的永州文化IP。深化主流媒体系统性变革，推动主流思想舆论数字化、网络化、智能化传播，</w:t>
      </w:r>
      <w:r>
        <w:rPr>
          <w:rFonts w:hint="eastAsia"/>
        </w:rPr>
        <w:t>建设运营好“学习强国”永州平台和永州融媒体中心全媒体矩阵，</w:t>
      </w:r>
      <w:r>
        <w:rPr>
          <w:rFonts w:hint="eastAsia" w:cs="Times New Roman"/>
        </w:rPr>
        <w:t>构建协同高效的全媒体传播体系。实施红色文化全媒体传播工程，建设一批红色文化传承体验基地。持续创作优质短视频、歌曲、宣传片，丰富群众喜闻乐见的文化传播载体，打造特色演艺新空间，讲好“新永州、好永州、美永州、福永州”故事。积极推动文化“走出去”，赴东盟、港澳等地举办文旅推介会，支持女书、瑶锦等文创产品出口。</w:t>
      </w:r>
    </w:p>
    <w:bookmarkEnd w:id="286"/>
    <w:bookmarkEnd w:id="287"/>
    <w:p w14:paraId="1005227F">
      <w:pPr>
        <w:pStyle w:val="6"/>
        <w:spacing w:before="435" w:after="217"/>
      </w:pPr>
      <w:bookmarkStart w:id="288" w:name="_Toc232094414"/>
      <w:bookmarkStart w:id="289" w:name="_Toc215603998"/>
      <w:bookmarkStart w:id="290" w:name="_Toc227059006"/>
      <w:r>
        <w:rPr>
          <w:rFonts w:hint="eastAsia"/>
        </w:rPr>
        <w:t>全力答好两道“融合命题”永州答卷</w:t>
      </w:r>
      <w:bookmarkEnd w:id="288"/>
      <w:bookmarkEnd w:id="289"/>
      <w:bookmarkEnd w:id="290"/>
    </w:p>
    <w:p w14:paraId="30091AEF">
      <w:pPr>
        <w:ind w:firstLine="640"/>
      </w:pPr>
      <w:r>
        <w:rPr>
          <w:rFonts w:hint="eastAsia"/>
        </w:rPr>
        <w:t>擦亮国家历史文化名城金字招牌，</w:t>
      </w:r>
      <w:r>
        <w:t>统筹推进文化和旅游、文化和科技</w:t>
      </w:r>
      <w:r>
        <w:rPr>
          <w:rFonts w:hint="eastAsia"/>
        </w:rPr>
        <w:t>深度</w:t>
      </w:r>
      <w:r>
        <w:t>融合发展，大力繁荣文化产业，加快推动文化资源优势转化为产业发展优势。</w:t>
      </w:r>
    </w:p>
    <w:p w14:paraId="685B1C0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推动文化和旅游深度融合发展</w:t>
      </w:r>
    </w:p>
    <w:p w14:paraId="0A4F0888">
      <w:pPr>
        <w:ind w:firstLine="640"/>
        <w:rPr>
          <w:rFonts w:cs="Times New Roman"/>
        </w:rPr>
      </w:pPr>
      <w:r>
        <w:rPr>
          <w:rFonts w:hint="eastAsia" w:hAnsi="仿宋_GB2312" w:cs="仿宋_GB2312"/>
          <w:szCs w:val="22"/>
        </w:rPr>
        <w:t>彰显</w:t>
      </w:r>
      <w:r>
        <w:rPr>
          <w:rFonts w:hint="eastAsia" w:cs="Times New Roman"/>
        </w:rPr>
        <w:t>中华文明发祥地、湖湘文化源头、瑶族寻根圣地、红色文化热土四大品牌，打造粤港澳大湾区旅游目的地和东盟华侨文化交流示范基地。</w:t>
      </w:r>
      <w:r>
        <w:rPr>
          <w:rFonts w:hint="eastAsia" w:hAnsi="仿宋_GB2312" w:cs="仿宋_GB2312"/>
          <w:szCs w:val="22"/>
        </w:rPr>
        <w:t>大力发展全域旅游，搭建永州中部横向旅游交通动脉，串联多核心景区交通，推动全市旅游从“点状分散”迈向“网状融合”。</w:t>
      </w:r>
      <w:r>
        <w:rPr>
          <w:rFonts w:hint="eastAsia" w:cs="Times New Roman"/>
        </w:rPr>
        <w:t>全面提升旅游品质，积极创建九嶷山国家5A级旅游景区，新增4A级旅游景区3家，建设一批旅游等级公路，争创国家级旅游民宿、五星级旅游饭店。升级一批传统经典旅游线路，建设一批高等级旅游景区（度假区）、研学旅游基地、旅游休闲城市街区，培育零陵夜宴、金洞村K、阳明山“和”文化生态旅游节等旅游品牌，打造区域性文旅产业集群和产品矩阵，加快构建特色全域文旅融合品牌。</w:t>
      </w:r>
      <w:r>
        <w:rPr>
          <w:rFonts w:hint="eastAsia" w:ascii="仿宋_GB2312" w:cs="Times New Roman"/>
        </w:rPr>
        <w:t>大力推进“引客入永”行动，积极开展永粤、永桂、永赣及省内旅游合作，研究开通永州至粤港澳大湾区、长株潭等旅游专列，对接“大张家界国际旅游区”，实现线路互通、资源互享、客源互送、宣传互推、市场互动。坚持“办会兴城”理念，办好省市旅游发展大会，延伸节会产业链，放大“一会兴一城”综合效益。</w:t>
      </w:r>
      <w:r>
        <w:rPr>
          <w:rFonts w:cs="Times New Roman"/>
        </w:rPr>
        <w:t>到2030年，力争实现旅游总花费达1000亿元。</w:t>
      </w:r>
    </w:p>
    <w:p w14:paraId="15070C3F">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推动文化和科技融合发展</w:t>
      </w:r>
    </w:p>
    <w:p w14:paraId="4A6D8143">
      <w:pPr>
        <w:ind w:firstLine="640"/>
      </w:pPr>
      <w:r>
        <w:rPr>
          <w:rFonts w:hint="eastAsia"/>
        </w:rPr>
        <w:t>建立健全文化和科技有机融合机制，培育引进一批文化和科技融合“链主”企业</w:t>
      </w:r>
      <w:r>
        <w:rPr>
          <w:rFonts w:hint="eastAsia" w:cs="Times New Roman"/>
          <w:szCs w:val="32"/>
        </w:rPr>
        <w:t>，加强文化科技资源共享，</w:t>
      </w:r>
      <w:r>
        <w:rPr>
          <w:rFonts w:hint="eastAsia"/>
        </w:rPr>
        <w:t>打造高科技文化产业集群。支持建设文化科技公共技术服务平台，优化湖南科技学院“永州石刻交互式科普平台”，推进UE5引擎、AI大模型等技术应用。打造特色文化数字IP，升级摩崖石刻数字博物馆</w:t>
      </w:r>
      <w:r>
        <w:rPr>
          <w:rFonts w:hint="eastAsia" w:ascii="仿宋_GB2312" w:hAnsi="仿宋_GB2312" w:cs="仿宋_GB2312"/>
          <w:szCs w:val="22"/>
        </w:rPr>
        <w:t>，</w:t>
      </w:r>
      <w:r>
        <w:rPr>
          <w:rFonts w:hint="eastAsia"/>
        </w:rPr>
        <w:t>鼓励各类市场主体开发一批“文化+资源+创意”新业态文创产品，建成一批沉浸式文化体验特色项目。支持本地高校开设文创、数字媒体等专业，加强实训基地建设，</w:t>
      </w:r>
      <w:r>
        <w:rPr>
          <w:rFonts w:hint="eastAsia" w:ascii="仿宋_GB2312" w:hAnsi="仿宋_GB2312" w:cs="仿宋_GB2312"/>
          <w:szCs w:val="22"/>
        </w:rPr>
        <w:t>培养一批文化与科技复合型人才，</w:t>
      </w:r>
      <w:r>
        <w:rPr>
          <w:rFonts w:hint="eastAsia"/>
        </w:rPr>
        <w:t>引进创意设计、数字技术、文化运营等领域紧缺人才</w:t>
      </w:r>
      <w:r>
        <w:rPr>
          <w:rFonts w:hint="eastAsia" w:ascii="仿宋_GB2312"/>
        </w:rPr>
        <w:t>。</w:t>
      </w:r>
    </w:p>
    <w:p w14:paraId="6604BFE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繁荣发展文化产业</w:t>
      </w:r>
    </w:p>
    <w:p w14:paraId="5F42F594">
      <w:pPr>
        <w:ind w:firstLine="640"/>
        <w:rPr>
          <w:rFonts w:hint="eastAsia" w:ascii="仿宋_GB2312" w:hAnsi="仿宋_GB2312" w:cs="仿宋_GB2312"/>
          <w:lang w:val="en"/>
        </w:rPr>
      </w:pPr>
      <w:r>
        <w:rPr>
          <w:rFonts w:hint="eastAsia" w:ascii="仿宋_GB2312" w:hAnsi="仿宋_GB2312" w:cs="仿宋_GB2312"/>
          <w:szCs w:val="22"/>
        </w:rPr>
        <w:t>实施重大文化产业项目带动战略，健全现代文化产业体系和市场体系，</w:t>
      </w:r>
      <w:r>
        <w:rPr>
          <w:rFonts w:hint="eastAsia"/>
        </w:rPr>
        <w:t>加快发展音视频、动漫游戏、微短剧、内容电商、数智出版等新型文化业态，</w:t>
      </w:r>
      <w:r>
        <w:rPr>
          <w:rFonts w:hint="eastAsia" w:ascii="仿宋_GB2312" w:hAnsi="仿宋_GB2312" w:cs="仿宋_GB2312"/>
          <w:szCs w:val="22"/>
        </w:rPr>
        <w:t>推动文化资源优势转化为产业发展优势。持续壮大文化市场主体力量，培育和引进文化龙头企业，推动特色文化产业园区提质升级，</w:t>
      </w:r>
      <w:r>
        <w:t>培育一批专业化特色化的中小微文化企业</w:t>
      </w:r>
      <w:r>
        <w:rPr>
          <w:rFonts w:hint="eastAsia"/>
        </w:rPr>
        <w:t>，</w:t>
      </w:r>
      <w:r>
        <w:rPr>
          <w:rFonts w:hint="eastAsia" w:cs="Times New Roman"/>
        </w:rPr>
        <w:t>创新推动国有文化资源资产跨部门跨领域共享利用。</w:t>
      </w:r>
      <w:r>
        <w:rPr>
          <w:rFonts w:hint="eastAsia"/>
        </w:rPr>
        <w:t>因地制宜繁荣城市文化，发展小剧场等文化传播载体，促进交互性体验消费、IP衍生消费、“粉丝化消费”等新消费。推动文化创意旅游产业倍增，</w:t>
      </w:r>
      <w:r>
        <w:rPr>
          <w:rFonts w:hint="eastAsia" w:ascii="仿宋_GB2312" w:hAnsi="仿宋_GB2312" w:cs="仿宋_GB2312"/>
        </w:rPr>
        <w:t>推进“</w:t>
      </w:r>
      <w:r>
        <w:rPr>
          <w:rFonts w:hint="eastAsia" w:ascii="仿宋_GB2312" w:hAnsi="仿宋_GB2312" w:cs="仿宋_GB2312"/>
          <w:lang w:val="en"/>
        </w:rPr>
        <w:t>非遗</w:t>
      </w:r>
      <w:r>
        <w:rPr>
          <w:rFonts w:hint="eastAsia" w:cs="Times New Roman"/>
        </w:rPr>
        <w:t>+</w:t>
      </w:r>
      <w:r>
        <w:rPr>
          <w:rFonts w:hint="eastAsia" w:ascii="仿宋_GB2312" w:hAnsi="仿宋_GB2312" w:cs="仿宋_GB2312"/>
        </w:rPr>
        <w:t>文创”跨界融合</w:t>
      </w:r>
      <w:r>
        <w:rPr>
          <w:rFonts w:hint="eastAsia" w:ascii="仿宋_GB2312" w:hAnsi="仿宋_GB2312" w:cs="仿宋_GB2312"/>
          <w:lang w:val="en"/>
        </w:rPr>
        <w:t>，</w:t>
      </w:r>
      <w:r>
        <w:rPr>
          <w:rFonts w:hint="eastAsia" w:ascii="仿宋_GB2312" w:hAnsi="仿宋_GB2312" w:cs="仿宋_GB2312"/>
        </w:rPr>
        <w:t>打造“</w:t>
      </w:r>
      <w:r>
        <w:rPr>
          <w:rFonts w:hint="eastAsia" w:ascii="仿宋_GB2312" w:hAnsi="仿宋_GB2312" w:cs="仿宋_GB2312"/>
          <w:lang w:val="en"/>
        </w:rPr>
        <w:t>一县一</w:t>
      </w:r>
      <w:r>
        <w:rPr>
          <w:rFonts w:cs="Times New Roman"/>
          <w:lang w:val="en"/>
        </w:rPr>
        <w:t>IP</w:t>
      </w:r>
      <w:r>
        <w:rPr>
          <w:rFonts w:hint="eastAsia" w:ascii="仿宋_GB2312" w:hAnsi="仿宋_GB2312" w:cs="仿宋_GB2312"/>
          <w:lang w:val="en"/>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409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26D427DA">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21</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文化科技赋能与IP品牌培育工程</w:t>
            </w:r>
          </w:p>
        </w:tc>
      </w:tr>
      <w:tr w14:paraId="16BA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700139FA">
            <w:pPr>
              <w:pStyle w:val="68"/>
              <w:spacing w:line="440" w:lineRule="exact"/>
              <w:ind w:firstLine="482"/>
            </w:pPr>
            <w:r>
              <w:rPr>
                <w:rFonts w:hint="eastAsia"/>
                <w:b/>
                <w:bCs w:val="0"/>
              </w:rPr>
              <w:t>“一码游永州”智慧服务平台升级工程。</w:t>
            </w:r>
            <w:r>
              <w:rPr>
                <w:rFonts w:hint="eastAsia"/>
              </w:rPr>
              <w:t>建设全市统一的文旅智慧化中枢平台，整合预约、导览、消费、交通、客服等功能，实现“一码通行、一码畅游”。</w:t>
            </w:r>
          </w:p>
          <w:p w14:paraId="7A1A232E">
            <w:pPr>
              <w:pStyle w:val="68"/>
              <w:spacing w:line="440" w:lineRule="exact"/>
              <w:ind w:firstLine="482"/>
            </w:pPr>
            <w:r>
              <w:rPr>
                <w:rFonts w:hint="eastAsia"/>
                <w:b/>
                <w:bCs w:val="0"/>
              </w:rPr>
              <w:t>文化资源数字化创新工程。</w:t>
            </w:r>
            <w:r>
              <w:rPr>
                <w:rFonts w:hint="eastAsia"/>
              </w:rPr>
              <w:t>建设永州非遗数字展览馆，数字化呈现女书、瑶族歌舞、祁剧等非遗文化，打造云端“千年打卡地 此处是潇湘”的数字体验窗口。实施国家摩崖石刻数字化保护示范项目，建立永久数字档案库，研发AR实景导航、虚拟修复体验、数字拓片互动等产品。</w:t>
            </w:r>
          </w:p>
          <w:p w14:paraId="57C48330">
            <w:pPr>
              <w:pStyle w:val="68"/>
              <w:spacing w:line="440" w:lineRule="exact"/>
              <w:ind w:firstLine="482"/>
            </w:pPr>
            <w:r>
              <w:rPr>
                <w:rFonts w:hint="eastAsia"/>
                <w:b/>
                <w:bCs w:val="0"/>
              </w:rPr>
              <w:t>产业与体验智慧化升级工程。</w:t>
            </w:r>
            <w:r>
              <w:rPr>
                <w:rFonts w:hint="eastAsia"/>
              </w:rPr>
              <w:t>完成永州国际文化艺术中心智慧化改造，重点打造《问道柳宗元》沉浸式体验馆，打造“千年打卡地”的现代文化地标与核心体验项目。</w:t>
            </w:r>
          </w:p>
          <w:p w14:paraId="28E99C6F">
            <w:pPr>
              <w:pStyle w:val="68"/>
              <w:spacing w:line="440" w:lineRule="exact"/>
              <w:ind w:firstLine="482"/>
            </w:pPr>
            <w:r>
              <w:rPr>
                <w:rFonts w:hint="eastAsia"/>
                <w:b/>
                <w:bCs w:val="0"/>
              </w:rPr>
              <w:t>“走，去永州”城市文旅品牌提升工程。</w:t>
            </w:r>
            <w:r>
              <w:rPr>
                <w:rFonts w:hint="eastAsia"/>
              </w:rPr>
              <w:t>将“走，去永州”作为全市文旅统一的营销号召与行动IP，贯穿宣传推广与产品线路设计。通过系列短视频、话题挑战、创意活动，塑造年轻化、有行动力、有号召力的品牌形象。</w:t>
            </w:r>
          </w:p>
          <w:p w14:paraId="2523198E">
            <w:pPr>
              <w:pStyle w:val="68"/>
              <w:spacing w:line="440" w:lineRule="exact"/>
              <w:ind w:firstLine="482"/>
            </w:pPr>
            <w:r>
              <w:rPr>
                <w:rFonts w:hint="eastAsia"/>
                <w:b/>
                <w:bCs w:val="0"/>
              </w:rPr>
              <w:t>“湘超，永州赛区”文体旅融合活力IP塑造工程。</w:t>
            </w:r>
            <w:r>
              <w:rPr>
                <w:rFonts w:hint="eastAsia"/>
              </w:rPr>
              <w:t>积极承接并高水平运营“湘超”等省级重大体育赛事永州赛区活动。围绕赛事系统策划“赛前预热—赛中体验—赛后延展”的全周期文旅消费场景，推出“看比赛·游永州”主题线路，打造周期性热点IP。</w:t>
            </w:r>
          </w:p>
          <w:p w14:paraId="4E981E26">
            <w:pPr>
              <w:pStyle w:val="68"/>
              <w:spacing w:line="440" w:lineRule="exact"/>
              <w:ind w:firstLine="482"/>
            </w:pPr>
            <w:r>
              <w:rPr>
                <w:rFonts w:hint="eastAsia"/>
                <w:b/>
                <w:bCs w:val="0"/>
              </w:rPr>
              <w:t>“千年打卡地 此处是潇湘”核心文化地标IP提质工程。</w:t>
            </w:r>
            <w:r>
              <w:rPr>
                <w:rFonts w:hint="eastAsia"/>
              </w:rPr>
              <w:t>将江永女书文化生态保护区整体打造为世界级女性文化IP。深化舜文化、柳文化、理学文化的当代转化。以九嶷山为核心，打造道德文明朝圣与生态康养目的地。以柳子庙、“永州八记”遗迹为核心，打造文学寻踪与山水实景体验线路。</w:t>
            </w:r>
          </w:p>
          <w:p w14:paraId="3CC96F2C">
            <w:pPr>
              <w:pStyle w:val="68"/>
              <w:spacing w:line="440" w:lineRule="exact"/>
              <w:ind w:firstLine="482"/>
            </w:pPr>
            <w:r>
              <w:rPr>
                <w:rFonts w:hint="eastAsia"/>
                <w:b/>
                <w:bCs w:val="0"/>
              </w:rPr>
              <w:t>非遗传承创新工程。</w:t>
            </w:r>
            <w:r>
              <w:rPr>
                <w:rFonts w:hint="eastAsia"/>
              </w:rPr>
              <w:t>建设非遗数字化保护平台，对祁阳小调、江永女书等非遗项目进行数字存档与动态展示。支持非遗工坊与科技企业合作，开发非遗数字文创、智能非遗体验产品。</w:t>
            </w:r>
          </w:p>
        </w:tc>
      </w:tr>
    </w:tbl>
    <w:p w14:paraId="14ECF209">
      <w:pPr>
        <w:pStyle w:val="6"/>
        <w:spacing w:before="435" w:after="217"/>
      </w:pPr>
      <w:bookmarkStart w:id="291" w:name="_Toc214008583"/>
      <w:bookmarkStart w:id="292" w:name="_Toc215270564"/>
      <w:bookmarkStart w:id="293" w:name="_Toc215603999"/>
      <w:bookmarkStart w:id="294" w:name="_Toc232094415"/>
      <w:r>
        <w:rPr>
          <w:rFonts w:hint="eastAsia"/>
        </w:rPr>
        <w:t>推进公共文化事业发展</w:t>
      </w:r>
      <w:bookmarkEnd w:id="291"/>
      <w:bookmarkEnd w:id="292"/>
      <w:bookmarkEnd w:id="293"/>
      <w:bookmarkEnd w:id="294"/>
    </w:p>
    <w:p w14:paraId="610E0521">
      <w:pPr>
        <w:ind w:firstLine="640"/>
        <w:rPr>
          <w:bCs/>
        </w:rPr>
      </w:pPr>
      <w:r>
        <w:rPr>
          <w:rFonts w:hint="eastAsia"/>
        </w:rPr>
        <w:t>提升公共文化服务效能，加快推进公共文化设施建设，</w:t>
      </w:r>
      <w:r>
        <w:rPr>
          <w:rFonts w:hint="eastAsia"/>
          <w:bCs/>
        </w:rPr>
        <w:t>强化历史文脉保护与活化利用，</w:t>
      </w:r>
      <w:r>
        <w:rPr>
          <w:rFonts w:hint="eastAsia"/>
        </w:rPr>
        <w:t>完善覆盖城乡、结构合理、功能健全的公共文化服务体系，创新发展国家公共文化服务体系示范区，全力满足人民群众多样化、立体化、个性化的精神文化需求。</w:t>
      </w:r>
    </w:p>
    <w:p w14:paraId="71E7B63A">
      <w:pPr>
        <w:pStyle w:val="7"/>
        <w:spacing w:before="217" w:after="217"/>
        <w:rPr>
          <w:b w:val="0"/>
        </w:rPr>
      </w:pPr>
      <w:r>
        <w:rPr>
          <w:rFonts w:hint="eastAsia"/>
        </w:rPr>
        <w:t>第一节 健全文化公共服务体系</w:t>
      </w:r>
    </w:p>
    <w:p w14:paraId="6146B6D8">
      <w:pPr>
        <w:ind w:firstLine="640"/>
        <w:rPr>
          <w:rFonts w:ascii="仿宋_GB2312"/>
        </w:rPr>
      </w:pPr>
      <w:r>
        <w:rPr>
          <w:rFonts w:hint="eastAsia" w:ascii="仿宋_GB2312"/>
        </w:rPr>
        <w:t>巩固提升国家公共文化服务体系示范区建设成果，加强文化基础设施投入，</w:t>
      </w:r>
      <w:bookmarkStart w:id="295" w:name="OLE_LINK58"/>
      <w:r>
        <w:rPr>
          <w:rFonts w:hint="eastAsia" w:ascii="仿宋_GB2312"/>
        </w:rPr>
        <w:t>广泛开展群众性文化活动</w:t>
      </w:r>
      <w:bookmarkEnd w:id="295"/>
      <w:r>
        <w:rPr>
          <w:rFonts w:hint="eastAsia" w:ascii="仿宋_GB2312"/>
        </w:rPr>
        <w:t>，建设文化驿站等新型公共文化空间，打造具有现代管理水平和吸引力的城市文化客厅和区域文化中心。推动图书馆、博物馆、文化馆智慧化升级改造，建设智能导览、数字展陈、线上互动等系统，打造“云端文化场馆”，提升公共文化服务数字化水平。围绕数字图书馆、文化馆、美术馆、非物质文化遗产保护等领域，鼓励文化科技企业、科研院所、高等院校、社会团体参与制定和实施国家标准及行业标准，提升公共文化设施建设与运营规范化水平。</w:t>
      </w:r>
    </w:p>
    <w:p w14:paraId="70E16C56">
      <w:pPr>
        <w:pStyle w:val="7"/>
        <w:spacing w:before="217" w:after="217"/>
        <w:rPr>
          <w:b w:val="0"/>
        </w:rPr>
      </w:pPr>
      <w:r>
        <w:rPr>
          <w:rFonts w:hint="eastAsia"/>
        </w:rPr>
        <w:t>第二节 优化城乡文化资源配置</w:t>
      </w:r>
    </w:p>
    <w:p w14:paraId="1306005A">
      <w:pPr>
        <w:ind w:firstLine="640"/>
      </w:pPr>
      <w:r>
        <w:rPr>
          <w:rFonts w:hint="eastAsia"/>
        </w:rPr>
        <w:t>开展流动文化服务，持续举办“送戏下乡”“欢乐潇湘”“阅读城市·书香永州”等品牌活动，实施农家书屋改革提升工程，创新打造乡村阅读新场景，建设一批乡村博物馆。结合瑶族盘王节、道州龙船赛等民俗活动，丰富农村文化供给。培养基层文化骨干和业余文艺团队，激发百姓自办文化的热情，实现从被动接受到主动创造转变。统筹运用广播电视、互联网等媒体资源，推进智慧广电服务乡村振兴，积极开展直播带货职业技能竞赛，培育乡村网红。</w:t>
      </w:r>
    </w:p>
    <w:p w14:paraId="68483FC1">
      <w:pPr>
        <w:pStyle w:val="7"/>
        <w:spacing w:before="217" w:after="217"/>
        <w:rPr>
          <w:b w:val="0"/>
        </w:rPr>
      </w:pPr>
      <w:r>
        <w:rPr>
          <w:rFonts w:hint="eastAsia"/>
        </w:rPr>
        <w:t>第三节 强化文化传承保护</w:t>
      </w:r>
    </w:p>
    <w:p w14:paraId="36C2BEC2">
      <w:pPr>
        <w:ind w:firstLine="640"/>
      </w:pPr>
      <w:r>
        <w:rPr>
          <w:rFonts w:hint="eastAsia" w:hAnsi="Calibri" w:cs="Times New Roman"/>
          <w:bCs/>
          <w:szCs w:val="32"/>
        </w:rPr>
        <w:t>实施十大文化遗产保护工程，</w:t>
      </w:r>
      <w:r>
        <w:rPr>
          <w:rFonts w:hint="eastAsia"/>
        </w:rPr>
        <w:t>推进文化遗产申报，加大永州摩崖石刻核心价值发掘与提炼力度，持续推进摩崖石刻申报入选世界文化遗产。支持祁剧、零陵花鼓戏等传统戏剧文化创新发展，推动传统戏曲与现代舞台技术、新媒体传播融合，培育戏曲传承基地与年轻观众群体</w:t>
      </w:r>
      <w:r>
        <w:rPr>
          <w:rFonts w:hint="eastAsia" w:cs="Times New Roman"/>
          <w:szCs w:val="32"/>
        </w:rPr>
        <w:t>，推动更多作品获得田汉大奖等戏曲奖项</w:t>
      </w:r>
      <w:r>
        <w:rPr>
          <w:rFonts w:hint="eastAsia"/>
        </w:rPr>
        <w:t>。</w:t>
      </w:r>
      <w:r>
        <w:rPr>
          <w:rFonts w:hint="eastAsia"/>
          <w:szCs w:val="32"/>
        </w:rPr>
        <w:t>建设文化传承主阵地，加强红色旧址的系统性保护，</w:t>
      </w:r>
      <w:r>
        <w:rPr>
          <w:rFonts w:hint="eastAsia" w:cs="Times New Roman"/>
          <w:szCs w:val="32"/>
        </w:rPr>
        <w:t>推动非遗活态传承与社区融合，支持女书习俗、祁剧、瑶族长鼓舞、道州龙船习俗等国家级非遗项目在历史文化街区、传统村落设立传习所。</w:t>
      </w:r>
      <w:r>
        <w:rPr>
          <w:rFonts w:hint="eastAsia"/>
        </w:rPr>
        <w:t>加强全国重点文物保护单位保护。营造全民传承保护的良好氛围，持续借助主流媒体推出永州系列文化专题节目。</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77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81CE4AD">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22</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文化旅游高质量发展工程</w:t>
            </w:r>
          </w:p>
        </w:tc>
      </w:tr>
      <w:tr w14:paraId="4D7B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6CD4535E">
            <w:pPr>
              <w:pStyle w:val="68"/>
              <w:spacing w:line="440" w:lineRule="exact"/>
              <w:ind w:firstLine="482"/>
              <w:rPr>
                <w:rFonts w:ascii="仿宋_GB2312"/>
              </w:rPr>
            </w:pPr>
            <w:r>
              <w:rPr>
                <w:rFonts w:hint="eastAsia" w:ascii="仿宋_GB2312"/>
                <w:b/>
                <w:bCs w:val="0"/>
              </w:rPr>
              <w:t>龙头牵引工程。</w:t>
            </w:r>
            <w:r>
              <w:rPr>
                <w:rFonts w:hint="eastAsia" w:ascii="仿宋_GB2312"/>
              </w:rPr>
              <w:t>推进九嶷山片区综合开发，实施“舜脉筑基、智创兴域、全域跃升”战略，分三期推进大九嶷山片区从文化溯源、智慧赋能到全域旅游的阶梯式发展。创建培育高质量度假区，推动阳明山创建国家级旅游度假区，提质升级湘江源旅游度假区、红枫谷生态旅游度假区，培育金洞生态康养、千家峒康养、祁阳唐家山休闲度假等高端业态集群。</w:t>
            </w:r>
          </w:p>
          <w:p w14:paraId="288F3A48">
            <w:pPr>
              <w:pStyle w:val="68"/>
              <w:spacing w:line="440" w:lineRule="exact"/>
              <w:ind w:firstLine="482"/>
            </w:pPr>
            <w:r>
              <w:rPr>
                <w:rFonts w:hint="eastAsia"/>
                <w:b/>
                <w:bCs w:val="0"/>
              </w:rPr>
              <w:t>遗产活化工程。</w:t>
            </w:r>
            <w:r>
              <w:rPr>
                <w:rFonts w:hint="eastAsia"/>
              </w:rPr>
              <w:t>夯实历史文化名城根基，推进玉蟾岩遗址保护等项目。强化传统村落集中连片保护利用，在江华、江永等五县实施永州市“瑶族村落群”集中连片保护项目，深度挖掘非遗。推进宁远县传统村落特色保护区建设项目申报，串联17个村落主题线路，打造湘南传统民居活态博物馆。开展祁阳市“拯救老屋”行动，保护性修缮潘市镇等地传统民居约500栋。建设传统村落数字博物馆，完成33个传统村落数字化采集和展示。推进工业遗产更新利用，实施冷水滩区老火车站片区文旅融合及城市更新项目，创新改造铁路工业遗产，打造城市文旅新地标和城市更新典范。</w:t>
            </w:r>
          </w:p>
          <w:p w14:paraId="19BB9CD2">
            <w:pPr>
              <w:pStyle w:val="68"/>
              <w:spacing w:line="440" w:lineRule="exact"/>
              <w:ind w:firstLine="482"/>
            </w:pPr>
            <w:r>
              <w:rPr>
                <w:rFonts w:hint="eastAsia"/>
                <w:b/>
                <w:bCs w:val="0"/>
              </w:rPr>
              <w:t>红色文旅融合示范工程</w:t>
            </w:r>
            <w:bookmarkStart w:id="296" w:name="OLE_LINK56"/>
            <w:r>
              <w:rPr>
                <w:rFonts w:hint="eastAsia"/>
                <w:b/>
                <w:bCs w:val="0"/>
              </w:rPr>
              <w:t>。</w:t>
            </w:r>
            <w:r>
              <w:rPr>
                <w:rFonts w:hint="eastAsia"/>
              </w:rPr>
              <w:t>全力支持道县建设长征国家文化公园（湖南段）示范县，争取新创一批国家级和省级爱国主义教育基地、实施红六军团西征旧址红色旅游基础设施建设项目，积极推动全市红色文旅融合</w:t>
            </w:r>
            <w:bookmarkEnd w:id="296"/>
            <w:r>
              <w:rPr>
                <w:rFonts w:hint="eastAsia"/>
              </w:rPr>
              <w:t>。</w:t>
            </w:r>
          </w:p>
        </w:tc>
      </w:tr>
    </w:tbl>
    <w:p w14:paraId="2769B9D4">
      <w:pPr>
        <w:ind w:firstLine="640"/>
      </w:pPr>
    </w:p>
    <w:p w14:paraId="1E0ABD74">
      <w:pPr>
        <w:ind w:firstLine="640"/>
        <w:rPr>
          <w:rFonts w:hint="eastAsia" w:ascii="仿宋_GB2312" w:hAnsi="仿宋_GB2312" w:cs="仿宋_GB2312"/>
          <w:szCs w:val="22"/>
        </w:rPr>
      </w:pPr>
      <w:r>
        <w:rPr>
          <w:rFonts w:hint="eastAsia" w:ascii="仿宋_GB2312" w:hAnsi="仿宋_GB2312" w:cs="仿宋_GB2312"/>
          <w:szCs w:val="22"/>
        </w:rPr>
        <w:br w:type="page"/>
      </w:r>
    </w:p>
    <w:p w14:paraId="1D12D0E7">
      <w:pPr>
        <w:pStyle w:val="5"/>
        <w:rPr>
          <w:spacing w:val="-6"/>
        </w:rPr>
      </w:pPr>
      <w:bookmarkStart w:id="297" w:name="_Toc232094416"/>
      <w:bookmarkStart w:id="298" w:name="_Toc215270565"/>
      <w:r>
        <w:rPr>
          <w:rFonts w:hint="eastAsia"/>
          <w:spacing w:val="-6"/>
        </w:rPr>
        <w:t>聚焦群众急难愁盼，不断增进民生福祉</w:t>
      </w:r>
      <w:bookmarkEnd w:id="297"/>
      <w:bookmarkEnd w:id="298"/>
    </w:p>
    <w:p w14:paraId="75E4E583">
      <w:pPr>
        <w:ind w:firstLine="640"/>
        <w:rPr>
          <w:rFonts w:cs="仿宋_GB2312"/>
          <w:kern w:val="0"/>
          <w:szCs w:val="32"/>
        </w:rPr>
      </w:pPr>
    </w:p>
    <w:p w14:paraId="6945CA40">
      <w:pPr>
        <w:ind w:firstLine="640"/>
        <w:rPr>
          <w:rFonts w:cs="Times New Roman"/>
          <w:szCs w:val="32"/>
        </w:rPr>
      </w:pPr>
      <w:r>
        <w:rPr>
          <w:rFonts w:hint="eastAsia" w:cs="仿宋_GB2312"/>
          <w:kern w:val="0"/>
          <w:szCs w:val="32"/>
        </w:rPr>
        <w:t>坚持以增进人民福祉为出发点和落脚点</w:t>
      </w:r>
      <w:r>
        <w:rPr>
          <w:rFonts w:cs="Times New Roman"/>
          <w:szCs w:val="32"/>
        </w:rPr>
        <w:t>，统筹推动</w:t>
      </w:r>
      <w:r>
        <w:rPr>
          <w:rFonts w:hint="eastAsia" w:cs="Times New Roman"/>
          <w:szCs w:val="32"/>
        </w:rPr>
        <w:t>就业、</w:t>
      </w:r>
      <w:r>
        <w:rPr>
          <w:rFonts w:cs="Times New Roman"/>
          <w:szCs w:val="32"/>
        </w:rPr>
        <w:t>教育、健康、社会保障等民生事业提质扩容，加快构建优质均衡、覆盖全域、全民共享的现代化民生服务新体系，不断增强人民群众获得感、幸福感、安全感，夯实共同富裕的民生根基。</w:t>
      </w:r>
    </w:p>
    <w:p w14:paraId="356CD63D">
      <w:pPr>
        <w:pStyle w:val="6"/>
        <w:spacing w:before="435" w:after="217"/>
      </w:pPr>
      <w:bookmarkStart w:id="299" w:name="_Toc232094417"/>
      <w:r>
        <w:rPr>
          <w:rFonts w:hint="eastAsia"/>
        </w:rPr>
        <w:t>促进高质量充分就业</w:t>
      </w:r>
      <w:bookmarkEnd w:id="299"/>
    </w:p>
    <w:p w14:paraId="2B63A599">
      <w:pPr>
        <w:ind w:firstLine="640"/>
        <w:rPr>
          <w:rFonts w:cs="Times New Roman"/>
          <w:szCs w:val="32"/>
        </w:rPr>
      </w:pPr>
      <w:r>
        <w:rPr>
          <w:rFonts w:hint="eastAsia" w:cs="Times New Roman"/>
          <w:szCs w:val="32"/>
        </w:rPr>
        <w:t>坚持就业优先导向，政府和市场两手发力，产业和就业两业并举，供给和需求两端施策，着力破解结构性就业矛盾，营造公平就业环境，进一步推进稳就业稳收入稳预期，实现就业质的有效提升和量的合理增长。</w:t>
      </w:r>
    </w:p>
    <w:p w14:paraId="28D4A458">
      <w:pPr>
        <w:pStyle w:val="7"/>
        <w:spacing w:before="217" w:after="217"/>
        <w:rPr>
          <w:b w:val="0"/>
        </w:rPr>
      </w:pPr>
      <w:r>
        <w:rPr>
          <w:rFonts w:hint="eastAsia"/>
        </w:rPr>
        <w:t>第一节 扎实推进就业扩容提质</w:t>
      </w:r>
    </w:p>
    <w:p w14:paraId="00B17B92">
      <w:pPr>
        <w:adjustRightInd w:val="0"/>
        <w:snapToGrid w:val="0"/>
        <w:ind w:firstLine="640"/>
        <w:rPr>
          <w:rFonts w:cs="Times New Roman"/>
        </w:rPr>
      </w:pPr>
      <w:r>
        <w:rPr>
          <w:rFonts w:hint="eastAsia" w:cs="Times New Roman"/>
          <w:bCs/>
          <w:szCs w:val="32"/>
        </w:rPr>
        <w:t>健全就业促进机制，深化就业政策一致性评价，构建就业友好型发展方式。强化经营主体就业带动作用，综合运用财政金融、税收优惠等援企稳岗政策措施，支持发展吸纳就业能力强的产业和企业，将劳动密集型产业作为承接产业转移重点方向。兜牢重点群体就业底线，拓宽青年群体就业渠道，引导农村劳动力有序转移就业和就地就近就业，加强大龄、残疾等就业困难群体的帮扶力度。加快培育现代化人力资源</w:t>
      </w:r>
      <w:r>
        <w:rPr>
          <w:rFonts w:cs="Times New Roman"/>
          <w:bCs/>
          <w:szCs w:val="32"/>
        </w:rPr>
        <w:t>，面向园区、企业、乡村振兴开展精准化技能培训</w:t>
      </w:r>
      <w:r>
        <w:rPr>
          <w:rFonts w:hint="eastAsia" w:cs="Times New Roman"/>
          <w:bCs/>
          <w:szCs w:val="32"/>
        </w:rPr>
        <w:t>。深化政校企融合，鼓励公办职业学校开展市场化职业技能培训，</w:t>
      </w:r>
      <w:r>
        <w:rPr>
          <w:rFonts w:cs="Times New Roman"/>
          <w:bCs/>
          <w:szCs w:val="32"/>
        </w:rPr>
        <w:t>培育一批永州特色劳务品牌。</w:t>
      </w:r>
    </w:p>
    <w:p w14:paraId="33DE3AF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szCs w:val="32"/>
        </w:rPr>
        <w:t xml:space="preserve">第二节 </w:t>
      </w:r>
      <w:r>
        <w:rPr>
          <w:rFonts w:eastAsia="楷体_GB2312" w:cstheme="majorBidi"/>
          <w:b/>
          <w:color w:val="000000" w:themeColor="text1"/>
          <w:szCs w:val="32"/>
          <w14:textFill>
            <w14:solidFill>
              <w14:schemeClr w14:val="tx1"/>
            </w14:solidFill>
          </w14:textFill>
        </w:rPr>
        <w:t>充分发挥</w:t>
      </w:r>
      <w:r>
        <w:rPr>
          <w:rFonts w:hint="eastAsia" w:eastAsia="楷体_GB2312" w:cstheme="majorBidi"/>
          <w:b/>
          <w:color w:val="000000" w:themeColor="text1"/>
          <w:szCs w:val="32"/>
          <w14:textFill>
            <w14:solidFill>
              <w14:schemeClr w14:val="tx1"/>
            </w14:solidFill>
          </w14:textFill>
        </w:rPr>
        <w:t>创业带动就业效应</w:t>
      </w:r>
    </w:p>
    <w:p w14:paraId="6F893F5E">
      <w:pPr>
        <w:adjustRightInd w:val="0"/>
        <w:snapToGrid w:val="0"/>
        <w:ind w:firstLine="640"/>
        <w:rPr>
          <w:rFonts w:cs="Times New Roman"/>
          <w:bCs/>
          <w:szCs w:val="32"/>
        </w:rPr>
      </w:pPr>
      <w:r>
        <w:rPr>
          <w:rFonts w:cs="Times New Roman"/>
          <w:bCs/>
          <w:szCs w:val="32"/>
        </w:rPr>
        <w:t>深入实施支持大学生创业</w:t>
      </w:r>
      <w:r>
        <w:rPr>
          <w:rFonts w:hint="eastAsia" w:cs="Times New Roman"/>
          <w:bCs/>
          <w:szCs w:val="32"/>
        </w:rPr>
        <w:t>“</w:t>
      </w:r>
      <w:r>
        <w:rPr>
          <w:rFonts w:cs="Times New Roman"/>
          <w:bCs/>
          <w:szCs w:val="32"/>
        </w:rPr>
        <w:t>七个一</w:t>
      </w:r>
      <w:r>
        <w:rPr>
          <w:rFonts w:hint="eastAsia" w:cs="Times New Roman"/>
          <w:bCs/>
          <w:szCs w:val="32"/>
        </w:rPr>
        <w:t>”</w:t>
      </w:r>
      <w:r>
        <w:rPr>
          <w:rFonts w:cs="Times New Roman"/>
          <w:bCs/>
          <w:szCs w:val="32"/>
        </w:rPr>
        <w:t>行动，</w:t>
      </w:r>
      <w:r>
        <w:rPr>
          <w:rFonts w:hint="eastAsia" w:cs="Times New Roman"/>
          <w:bCs/>
          <w:szCs w:val="32"/>
        </w:rPr>
        <w:t>推进创业培训、创业担保贷款、创业孵化基地、创业补贴、创业活动“五创联动”。完善各级共担风险的创业担保贷款代偿补偿机制，按规定落实免除反担保要求。强化创业意识培养，推动创业培训进校园，壮大创业导师队伍力量，持续开展“百名导师走基层”“创业导师进高校”“创业大学生进园区”等活动。完善和优化创业服务体系，培育一批创业指导工作室，建设一批创业孵化载体。</w:t>
      </w:r>
    </w:p>
    <w:p w14:paraId="7F50E77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完善就业公共服务体系</w:t>
      </w:r>
    </w:p>
    <w:p w14:paraId="5DCD3253">
      <w:pPr>
        <w:ind w:firstLine="640"/>
      </w:pPr>
      <w:r>
        <w:rPr>
          <w:rFonts w:hint="eastAsia"/>
        </w:rPr>
        <w:t>健全统筹城乡的就业公共服务体系，完善“永就业365”高质量充分就业服务体系。依托公共就业一体化信息平台，优化“云上快办”数字智能服务，夯实“15分钟就业服务圈”。健全零工市场调度平台，探索建立共享用工和用工余缺调剂机制。落实劳动者工资合理增长、支付保障和最低工资标准调整机制，拓宽财产性、经营性收入渠道，实施城乡居民增收计划。</w:t>
      </w:r>
      <w:r>
        <w:t>营造更加公平有序的就业环境，</w:t>
      </w:r>
      <w:r>
        <w:rPr>
          <w:rFonts w:hint="eastAsia"/>
        </w:rPr>
        <w:t>完善劳动关系协商协调机制，</w:t>
      </w:r>
      <w:r>
        <w:t>消除就业的不合理限制和就业歧视，加大欠薪欠保、违法裁员等治理力度，扩大社会保障覆盖面</w:t>
      </w:r>
      <w:r>
        <w:rPr>
          <w:rFonts w:hint="eastAsia"/>
        </w:rPr>
        <w:t>，提升劳动者就业权益保障水平</w:t>
      </w:r>
      <w: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592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24106F7F">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23</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就业创业提升行动计划</w:t>
            </w:r>
          </w:p>
        </w:tc>
      </w:tr>
      <w:tr w14:paraId="3684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746353DC">
            <w:pPr>
              <w:spacing w:line="440" w:lineRule="exact"/>
              <w:ind w:firstLine="482"/>
              <w:rPr>
                <w:bCs/>
                <w:sz w:val="24"/>
              </w:rPr>
            </w:pPr>
            <w:r>
              <w:rPr>
                <w:rFonts w:hint="eastAsia"/>
                <w:b/>
                <w:sz w:val="24"/>
              </w:rPr>
              <w:t>就业扩容计划。</w:t>
            </w:r>
            <w:r>
              <w:rPr>
                <w:rFonts w:hint="eastAsia"/>
                <w:bCs/>
                <w:sz w:val="24"/>
              </w:rPr>
              <w:t>落实省委、省政府促进高质量充分就业27条政策措施，持续深化就业政策一致性评价机制，用好重大项目岗位归集发布机制，扩展农村劳动力转移就业空间。确保城镇调查失业率均值控制在5.5%以内，力争城镇新增就业达到28万人以上。</w:t>
            </w:r>
          </w:p>
          <w:p w14:paraId="21952366">
            <w:pPr>
              <w:spacing w:line="440" w:lineRule="exact"/>
              <w:ind w:firstLine="482"/>
              <w:rPr>
                <w:bCs/>
                <w:sz w:val="24"/>
              </w:rPr>
            </w:pPr>
            <w:r>
              <w:rPr>
                <w:rFonts w:hint="eastAsia"/>
                <w:b/>
                <w:sz w:val="24"/>
              </w:rPr>
              <w:t>创业加速计划。</w:t>
            </w:r>
            <w:r>
              <w:rPr>
                <w:rFonts w:hint="eastAsia"/>
                <w:bCs/>
                <w:sz w:val="24"/>
              </w:rPr>
              <w:t>推动落实在校大学生一次性创业补贴，新增省级以上孵化基地2家，夯实4家市级返乡创业园区建设，发放创业担保贷款20亿元，培育市县创业创新导师团队成员80个，提升创业指导、创业项目推介等跟踪陪跑服务。</w:t>
            </w:r>
          </w:p>
          <w:p w14:paraId="717BB8EC">
            <w:pPr>
              <w:spacing w:line="440" w:lineRule="exact"/>
              <w:ind w:firstLine="482"/>
              <w:rPr>
                <w:bCs/>
                <w:sz w:val="24"/>
              </w:rPr>
            </w:pPr>
            <w:r>
              <w:rPr>
                <w:rFonts w:hint="eastAsia"/>
                <w:b/>
                <w:sz w:val="24"/>
              </w:rPr>
              <w:t>“技能照亮前程”专项计划。</w:t>
            </w:r>
            <w:r>
              <w:rPr>
                <w:rFonts w:hint="eastAsia"/>
                <w:bCs/>
                <w:sz w:val="24"/>
              </w:rPr>
              <w:t>组织开展大规模职业技能培训，深化永州市域技工教育联盟建设，到2030年底开展补贴性职业技能培训3万人次以上。</w:t>
            </w:r>
          </w:p>
          <w:p w14:paraId="327230C5">
            <w:pPr>
              <w:spacing w:line="440" w:lineRule="exact"/>
              <w:ind w:firstLine="482"/>
              <w:rPr>
                <w:bCs/>
                <w:sz w:val="24"/>
              </w:rPr>
            </w:pPr>
            <w:r>
              <w:rPr>
                <w:rFonts w:hint="eastAsia"/>
                <w:b/>
                <w:sz w:val="24"/>
              </w:rPr>
              <w:t>青年就业提升计划。</w:t>
            </w:r>
            <w:r>
              <w:rPr>
                <w:rFonts w:hint="eastAsia"/>
                <w:bCs/>
                <w:sz w:val="24"/>
              </w:rPr>
              <w:t>为高校毕业生提供“政策落实、服务提供、见习培训、困难帮扶”全链条服务，开发就业见习岗位2.5万个，开展各类就业服务500场，实现高校毕业生跟踪回访率、就业服务率达100%。</w:t>
            </w:r>
          </w:p>
          <w:p w14:paraId="61C5B2EE">
            <w:pPr>
              <w:spacing w:line="440" w:lineRule="exact"/>
              <w:ind w:firstLine="482"/>
              <w:rPr>
                <w:bCs/>
                <w:sz w:val="24"/>
              </w:rPr>
            </w:pPr>
            <w:r>
              <w:rPr>
                <w:rFonts w:hint="eastAsia"/>
                <w:b/>
                <w:sz w:val="24"/>
              </w:rPr>
              <w:t>百万农民工就业服务计划。</w:t>
            </w:r>
            <w:r>
              <w:rPr>
                <w:rFonts w:hint="eastAsia"/>
                <w:bCs/>
                <w:sz w:val="24"/>
              </w:rPr>
              <w:t>发挥“返乡创业、劳务品牌、职业技能、劳务协作”四轮驱动作用，与50个城市开展劳务协作，巩固壮大乡村车间1050家，确保新增农村劳动力转移就业20万人以上。</w:t>
            </w:r>
          </w:p>
          <w:p w14:paraId="786E4B98">
            <w:pPr>
              <w:spacing w:line="440" w:lineRule="exact"/>
              <w:ind w:firstLine="482"/>
              <w:rPr>
                <w:bCs/>
                <w:sz w:val="24"/>
              </w:rPr>
            </w:pPr>
            <w:r>
              <w:rPr>
                <w:rFonts w:hint="eastAsia"/>
                <w:b/>
                <w:sz w:val="24"/>
              </w:rPr>
              <w:t>困难群体帮扶计划。</w:t>
            </w:r>
            <w:r>
              <w:rPr>
                <w:rFonts w:hint="eastAsia"/>
                <w:bCs/>
                <w:sz w:val="24"/>
              </w:rPr>
              <w:t>完善建立登记失业人员、就业困难人员、残疾人等困难群体定期联系和分级分类服务制度，每年提供“311”就业服务4万人次以上。</w:t>
            </w:r>
          </w:p>
          <w:p w14:paraId="3A56FF14">
            <w:pPr>
              <w:spacing w:line="440" w:lineRule="exact"/>
              <w:ind w:firstLine="482"/>
              <w:rPr>
                <w:bCs/>
                <w:sz w:val="24"/>
              </w:rPr>
            </w:pPr>
            <w:r>
              <w:rPr>
                <w:rFonts w:hint="eastAsia"/>
                <w:b/>
                <w:sz w:val="24"/>
              </w:rPr>
              <w:t>就业公共服务提质计划。</w:t>
            </w:r>
            <w:r>
              <w:rPr>
                <w:rFonts w:hint="eastAsia"/>
                <w:bCs/>
                <w:sz w:val="24"/>
              </w:rPr>
              <w:t>深入推进就业服务“一张</w:t>
            </w:r>
            <w:r>
              <w:rPr>
                <w:rFonts w:hint="eastAsia"/>
                <w:bCs/>
                <w:spacing w:val="-6"/>
                <w:sz w:val="24"/>
              </w:rPr>
              <w:t>网”建设。提质升级100家乐业小站，就近提供一站式就业服务。</w:t>
            </w:r>
          </w:p>
        </w:tc>
      </w:tr>
    </w:tbl>
    <w:p w14:paraId="1388AA42">
      <w:pPr>
        <w:pStyle w:val="6"/>
        <w:spacing w:before="435" w:after="217"/>
        <w:rPr>
          <w:lang w:val="en"/>
        </w:rPr>
      </w:pPr>
      <w:bookmarkStart w:id="300" w:name="_Toc232094418"/>
      <w:bookmarkStart w:id="301" w:name="_Toc227059010"/>
      <w:r>
        <w:rPr>
          <w:rFonts w:hint="eastAsia"/>
        </w:rPr>
        <w:t>推动教育优质均衡发展</w:t>
      </w:r>
      <w:bookmarkEnd w:id="300"/>
      <w:bookmarkEnd w:id="301"/>
    </w:p>
    <w:p w14:paraId="7CF871BA">
      <w:pPr>
        <w:adjustRightInd w:val="0"/>
        <w:snapToGrid w:val="0"/>
        <w:ind w:firstLine="640"/>
        <w:rPr>
          <w:rFonts w:cs="Times New Roman"/>
          <w:szCs w:val="20"/>
          <w14:ligatures w14:val="none"/>
        </w:rPr>
      </w:pPr>
      <w:r>
        <w:rPr>
          <w:rFonts w:hint="eastAsia" w:cs="Times New Roman"/>
          <w:szCs w:val="20"/>
          <w14:ligatures w14:val="none"/>
        </w:rPr>
        <w:t>落实立德树人根本任务，深化教育综合改革，坚持“五抓五强”，努力办好人民满意的教育，全面构建具有永州特色的教育高质量发展运行体系和保障机制，培养德智体美劳全面发展的社会主义建设者和接班人。</w:t>
      </w:r>
    </w:p>
    <w:p w14:paraId="622FDEE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完善立德树人机制</w:t>
      </w:r>
    </w:p>
    <w:p w14:paraId="618771AD">
      <w:pPr>
        <w:ind w:firstLine="640"/>
        <w:rPr>
          <w:bCs/>
        </w:rPr>
      </w:pPr>
      <w:r>
        <w:rPr>
          <w:rFonts w:hint="eastAsia"/>
        </w:rPr>
        <w:t>实施新时代立德树人工程，</w:t>
      </w:r>
      <w:r>
        <w:t>完善</w:t>
      </w:r>
      <w:r>
        <w:rPr>
          <w:rFonts w:hint="eastAsia"/>
        </w:rPr>
        <w:t>“</w:t>
      </w:r>
      <w:r>
        <w:t>五育</w:t>
      </w:r>
      <w:r>
        <w:rPr>
          <w:rFonts w:hint="eastAsia"/>
        </w:rPr>
        <w:t>”融合</w:t>
      </w:r>
      <w:r>
        <w:t>机制</w:t>
      </w:r>
      <w:r>
        <w:rPr>
          <w:rFonts w:hint="eastAsia"/>
        </w:rPr>
        <w:t>，健全德智体美劳全面培养体系。</w:t>
      </w:r>
      <w:r>
        <w:rPr>
          <w:rFonts w:hint="eastAsia"/>
          <w:bCs/>
        </w:rPr>
        <w:t>深化新时代学校思政教育，</w:t>
      </w:r>
      <w:r>
        <w:rPr>
          <w:rFonts w:hint="eastAsia"/>
        </w:rPr>
        <w:t>推进大中小学思政教育一体化</w:t>
      </w:r>
      <w:r>
        <w:t>改革创新，打造</w:t>
      </w:r>
      <w:r>
        <w:rPr>
          <w:rFonts w:hint="eastAsia"/>
        </w:rPr>
        <w:t>“</w:t>
      </w:r>
      <w:r>
        <w:t>向日葵工程</w:t>
      </w:r>
      <w:r>
        <w:rPr>
          <w:rFonts w:hint="eastAsia"/>
        </w:rPr>
        <w:t>”“</w:t>
      </w:r>
      <w:r>
        <w:rPr>
          <w:bCs/>
        </w:rPr>
        <w:t>理响永州·思政课</w:t>
      </w:r>
      <w:r>
        <w:rPr>
          <w:rFonts w:hint="eastAsia"/>
          <w:bCs/>
        </w:rPr>
        <w:t>”“我的树湘情”红色研学三大思政品牌，建设一批</w:t>
      </w:r>
      <w:r>
        <w:t>大中小学思政课一体化共同体学校。加强少先队、共青团和校园文化阵地建设，构建</w:t>
      </w:r>
      <w:r>
        <w:rPr>
          <w:rFonts w:hint="eastAsia"/>
        </w:rPr>
        <w:t>“</w:t>
      </w:r>
      <w:r>
        <w:t>三全育人</w:t>
      </w:r>
      <w:r>
        <w:rPr>
          <w:rFonts w:hint="eastAsia"/>
        </w:rPr>
        <w:t>”</w:t>
      </w:r>
      <w:r>
        <w:t>格局</w:t>
      </w:r>
      <w:r>
        <w:rPr>
          <w:rFonts w:hint="eastAsia"/>
        </w:rPr>
        <w:t>。</w:t>
      </w:r>
      <w:r>
        <w:rPr>
          <w:bCs/>
        </w:rPr>
        <w:t>深入实施青少年健康成长守护工程，推进学生体质强健计划、学校美育浸润行动、劳动习惯养成计划</w:t>
      </w:r>
      <w:r>
        <w:rPr>
          <w:rFonts w:hint="eastAsia"/>
          <w:bCs/>
        </w:rPr>
        <w:t>。健全学校家庭社会协同育人机制，</w:t>
      </w:r>
      <w:r>
        <w:t>推动家校社协同育人</w:t>
      </w:r>
      <w:r>
        <w:rPr>
          <w:rFonts w:hint="eastAsia"/>
        </w:rPr>
        <w:t>“</w:t>
      </w:r>
      <w:r>
        <w:t>教联体</w:t>
      </w:r>
      <w:r>
        <w:rPr>
          <w:rFonts w:hint="eastAsia"/>
        </w:rPr>
        <w:t>”</w:t>
      </w:r>
      <w:r>
        <w:t>和家庭教育指导服务站点</w:t>
      </w:r>
      <w:r>
        <w:rPr>
          <w:rFonts w:hint="eastAsia"/>
        </w:rPr>
        <w:t>建设</w:t>
      </w:r>
      <w:r>
        <w:t>。</w:t>
      </w:r>
      <w:r>
        <w:rPr>
          <w:rFonts w:hint="eastAsia"/>
          <w:bCs/>
        </w:rPr>
        <w:t>加强网络育人能力，提升未成年人网络素养。</w:t>
      </w:r>
    </w:p>
    <w:p w14:paraId="2420DC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加快建设高质量教育体系</w:t>
      </w:r>
    </w:p>
    <w:p w14:paraId="1BB069BD">
      <w:pPr>
        <w:adjustRightInd w:val="0"/>
        <w:snapToGrid w:val="0"/>
        <w:ind w:firstLine="640"/>
        <w:rPr>
          <w:rFonts w:cs="Times New Roman"/>
          <w:color w:val="000000"/>
          <w:szCs w:val="20"/>
          <w14:ligatures w14:val="none"/>
        </w:rPr>
      </w:pPr>
      <w:r>
        <w:rPr>
          <w:rFonts w:hint="eastAsia" w:ascii="仿宋_GB2312" w:hAnsi="仿宋_GB2312" w:cs="Times New Roman"/>
          <w:color w:val="000000"/>
          <w:szCs w:val="20"/>
          <w14:ligatures w14:val="none"/>
        </w:rPr>
        <w:t>完善学龄人口动态监测机制，建立与人口变化相适应的基础教育资源配置机制，农村小学以大村和乡镇为主布局，中学以大乡镇和县城为主布局，推进跨学段动态调整和余缺调配</w:t>
      </w:r>
      <w:r>
        <w:rPr>
          <w:rFonts w:hint="eastAsia" w:cs="Times New Roman"/>
          <w:color w:val="000000"/>
          <w:szCs w:val="20"/>
          <w14:ligatures w14:val="none"/>
        </w:rPr>
        <w:t>，加快</w:t>
      </w:r>
      <w:r>
        <w:rPr>
          <w:rFonts w:hint="eastAsia" w:cs="仿宋_GB2312"/>
          <w:szCs w:val="20"/>
          <w14:ligatures w14:val="none"/>
        </w:rPr>
        <w:t>区域教育中心建设</w:t>
      </w:r>
      <w:r>
        <w:rPr>
          <w:rFonts w:hint="eastAsia" w:ascii="仿宋_GB2312" w:hAnsi="仿宋_GB2312" w:cs="Times New Roman"/>
          <w:color w:val="000000"/>
          <w:szCs w:val="20"/>
          <w14:ligatures w14:val="none"/>
        </w:rPr>
        <w:t>。推动</w:t>
      </w:r>
      <w:r>
        <w:rPr>
          <w:rFonts w:cs="Times New Roman"/>
          <w:szCs w:val="20"/>
          <w14:ligatures w14:val="none"/>
        </w:rPr>
        <w:t>学前教育优质普惠发展，扩大公办学前教育学位</w:t>
      </w:r>
      <w:r>
        <w:rPr>
          <w:rFonts w:hint="eastAsia" w:cs="Times New Roman"/>
          <w:szCs w:val="20"/>
          <w14:ligatures w14:val="none"/>
        </w:rPr>
        <w:t>供给</w:t>
      </w:r>
      <w:r>
        <w:rPr>
          <w:rFonts w:cs="Times New Roman"/>
          <w:szCs w:val="20"/>
          <w14:ligatures w14:val="none"/>
        </w:rPr>
        <w:t>，落实免费学前教育</w:t>
      </w:r>
      <w:r>
        <w:rPr>
          <w:rFonts w:hint="eastAsia" w:cs="Times New Roman"/>
          <w:szCs w:val="20"/>
          <w14:ligatures w14:val="none"/>
        </w:rPr>
        <w:t>政策。</w:t>
      </w:r>
      <w:r>
        <w:rPr>
          <w:rFonts w:cs="Times New Roman"/>
          <w:szCs w:val="20"/>
          <w14:ligatures w14:val="none"/>
        </w:rPr>
        <w:t>推</w:t>
      </w:r>
      <w:r>
        <w:rPr>
          <w:rFonts w:hint="eastAsia" w:cs="Times New Roman"/>
          <w:szCs w:val="20"/>
          <w14:ligatures w14:val="none"/>
        </w:rPr>
        <w:t>进义务教育优质均衡发展和城乡一体化，分区域、分步骤推行小班化教学，</w:t>
      </w:r>
      <w:r>
        <w:rPr>
          <w:rFonts w:cs="Times New Roman"/>
          <w:szCs w:val="20"/>
          <w14:ligatures w14:val="none"/>
        </w:rPr>
        <w:t>深入推进农村教学点优化提质、乡镇寄宿制学校标准化建设、九年一贯制学校建设，提升</w:t>
      </w:r>
      <w:r>
        <w:rPr>
          <w:rFonts w:hint="eastAsia" w:cs="Times New Roman"/>
          <w:szCs w:val="20"/>
          <w14:ligatures w14:val="none"/>
        </w:rPr>
        <w:t>“</w:t>
      </w:r>
      <w:r>
        <w:rPr>
          <w:rFonts w:cs="Times New Roman"/>
          <w:szCs w:val="20"/>
          <w14:ligatures w14:val="none"/>
        </w:rPr>
        <w:t>家门口</w:t>
      </w:r>
      <w:r>
        <w:rPr>
          <w:rFonts w:hint="eastAsia" w:cs="Times New Roman"/>
          <w:szCs w:val="20"/>
          <w14:ligatures w14:val="none"/>
        </w:rPr>
        <w:t>”</w:t>
      </w:r>
      <w:r>
        <w:rPr>
          <w:rFonts w:cs="Times New Roman"/>
          <w:szCs w:val="20"/>
          <w14:ligatures w14:val="none"/>
        </w:rPr>
        <w:t>优质学校占比</w:t>
      </w:r>
      <w:r>
        <w:rPr>
          <w:rFonts w:hint="eastAsia" w:cs="Times New Roman"/>
          <w:szCs w:val="20"/>
          <w14:ligatures w14:val="none"/>
        </w:rPr>
        <w:t>。增加</w:t>
      </w:r>
      <w:r>
        <w:rPr>
          <w:rFonts w:cs="Times New Roman"/>
          <w:szCs w:val="20"/>
          <w14:ligatures w14:val="none"/>
        </w:rPr>
        <w:t>公办普通高中教育资源供给，</w:t>
      </w:r>
      <w:r>
        <w:rPr>
          <w:rFonts w:hint="eastAsia" w:cs="Times New Roman"/>
          <w:szCs w:val="20"/>
          <w14:ligatures w14:val="none"/>
        </w:rPr>
        <w:t>扩大优质高中教育受益面，</w:t>
      </w:r>
      <w:r>
        <w:rPr>
          <w:rFonts w:cs="Times New Roman"/>
          <w:szCs w:val="20"/>
          <w14:ligatures w14:val="none"/>
        </w:rPr>
        <w:t>深入实施县域普通高中振兴行动计划，推动普通高中多样化发展</w:t>
      </w:r>
      <w:r>
        <w:rPr>
          <w:rFonts w:hint="eastAsia" w:cs="Times New Roman"/>
          <w:szCs w:val="20"/>
          <w14:ligatures w14:val="none"/>
        </w:rPr>
        <w:t>。健全市、县、校、学科四级教研体系，打造全市教育教研智库。全面推行基础学校综合目标管理绩效评价，提升学校办学及教育教学质量。健全特殊教育、专门教育保障机制</w:t>
      </w:r>
      <w:r>
        <w:rPr>
          <w:rFonts w:cs="Times New Roman"/>
          <w:szCs w:val="20"/>
          <w14:ligatures w14:val="none"/>
        </w:rPr>
        <w:t>，</w:t>
      </w:r>
      <w:r>
        <w:rPr>
          <w:rFonts w:hint="eastAsia" w:cs="Times New Roman"/>
          <w:szCs w:val="20"/>
          <w14:ligatures w14:val="none"/>
        </w:rPr>
        <w:t>加强</w:t>
      </w:r>
      <w:r>
        <w:rPr>
          <w:rFonts w:cs="Times New Roman"/>
          <w:szCs w:val="20"/>
          <w14:ligatures w14:val="none"/>
        </w:rPr>
        <w:t>终身教育保障，引导规范民办教育发展</w:t>
      </w:r>
      <w:r>
        <w:rPr>
          <w:rFonts w:hint="eastAsia" w:cs="Times New Roman"/>
          <w:szCs w:val="20"/>
          <w14:ligatures w14:val="none"/>
        </w:rPr>
        <w:t>。推</w:t>
      </w:r>
      <w:r>
        <w:rPr>
          <w:rFonts w:cs="Times New Roman"/>
          <w:szCs w:val="20"/>
          <w14:ligatures w14:val="none"/>
        </w:rPr>
        <w:t>进</w:t>
      </w:r>
      <w:r>
        <w:rPr>
          <w:rFonts w:hint="eastAsia" w:cs="Times New Roman"/>
          <w:szCs w:val="20"/>
          <w14:ligatures w14:val="none"/>
        </w:rPr>
        <w:t>高等院校“</w:t>
      </w:r>
      <w:r>
        <w:rPr>
          <w:rFonts w:cs="Times New Roman"/>
          <w:szCs w:val="20"/>
          <w14:ligatures w14:val="none"/>
        </w:rPr>
        <w:t>两优</w:t>
      </w:r>
      <w:r>
        <w:rPr>
          <w:rFonts w:hint="eastAsia" w:cs="Times New Roman"/>
          <w:szCs w:val="20"/>
          <w14:ligatures w14:val="none"/>
        </w:rPr>
        <w:t>”</w:t>
      </w:r>
      <w:r>
        <w:rPr>
          <w:rFonts w:cs="Times New Roman"/>
          <w:szCs w:val="20"/>
          <w14:ligatures w14:val="none"/>
        </w:rPr>
        <w:t>改革</w:t>
      </w:r>
      <w:r>
        <w:rPr>
          <w:rFonts w:hint="eastAsia" w:cs="Times New Roman"/>
          <w:szCs w:val="20"/>
          <w14:ligatures w14:val="none"/>
        </w:rPr>
        <w:t>，</w:t>
      </w:r>
      <w:r>
        <w:rPr>
          <w:rFonts w:cs="Times New Roman"/>
          <w:szCs w:val="20"/>
          <w14:ligatures w14:val="none"/>
        </w:rPr>
        <w:t>支持永州职业技术学院联合永州师范高等专科学校申办职业本科院校，</w:t>
      </w:r>
      <w:r>
        <w:rPr>
          <w:rFonts w:hint="eastAsia" w:cs="Times New Roman"/>
          <w:szCs w:val="20"/>
          <w14:ligatures w14:val="none"/>
        </w:rPr>
        <w:t>建强新农科、新工科、新医科等优势学科。实施关键办学能力提升计划、产教协同育人行动计划，推动职业院校办学条件</w:t>
      </w:r>
      <w:r>
        <w:rPr>
          <w:rFonts w:cs="Times New Roman"/>
          <w:szCs w:val="20"/>
          <w14:ligatures w14:val="none"/>
        </w:rPr>
        <w:t>全面</w:t>
      </w:r>
      <w:r>
        <w:rPr>
          <w:rFonts w:hint="eastAsia" w:cs="Times New Roman"/>
          <w:szCs w:val="20"/>
          <w14:ligatures w14:val="none"/>
        </w:rPr>
        <w:t>达标，</w:t>
      </w:r>
      <w:r>
        <w:rPr>
          <w:rFonts w:cs="Times New Roman"/>
          <w:szCs w:val="20"/>
          <w14:ligatures w14:val="none"/>
        </w:rPr>
        <w:t>建设</w:t>
      </w:r>
      <w:r>
        <w:rPr>
          <w:rFonts w:hint="eastAsia" w:cs="Times New Roman"/>
          <w:szCs w:val="20"/>
          <w14:ligatures w14:val="none"/>
        </w:rPr>
        <w:t>职业院校</w:t>
      </w:r>
      <w:r>
        <w:rPr>
          <w:rFonts w:cs="Times New Roman"/>
          <w:szCs w:val="20"/>
          <w14:ligatures w14:val="none"/>
        </w:rPr>
        <w:t>市级</w:t>
      </w:r>
      <w:r>
        <w:rPr>
          <w:rFonts w:hint="eastAsia" w:cs="Times New Roman"/>
          <w:szCs w:val="20"/>
          <w14:ligatures w14:val="none"/>
        </w:rPr>
        <w:t>公共实训基地</w:t>
      </w:r>
      <w:r>
        <w:rPr>
          <w:rFonts w:cs="Times New Roman"/>
          <w:szCs w:val="20"/>
          <w14:ligatures w14:val="none"/>
        </w:rPr>
        <w:t>、农学实训基地，打造一批</w:t>
      </w:r>
      <w:r>
        <w:rPr>
          <w:rFonts w:hint="eastAsia" w:cs="Times New Roman"/>
          <w:szCs w:val="20"/>
          <w14:ligatures w14:val="none"/>
        </w:rPr>
        <w:t>行业产教融合共同体和市域产教联合体</w:t>
      </w:r>
      <w:r>
        <w:rPr>
          <w:rFonts w:hint="eastAsia" w:cs="Times New Roman"/>
          <w:color w:val="000000"/>
          <w:spacing w:val="-6"/>
          <w:szCs w:val="20"/>
          <w14:ligatures w14:val="none"/>
        </w:rPr>
        <w:t>。</w:t>
      </w:r>
    </w:p>
    <w:p w14:paraId="59D5437D">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建设高素质专业化教师队伍</w:t>
      </w:r>
    </w:p>
    <w:p w14:paraId="658AE55B">
      <w:pPr>
        <w:adjustRightInd w:val="0"/>
        <w:snapToGrid w:val="0"/>
        <w:ind w:firstLine="640"/>
        <w:rPr>
          <w:rFonts w:cs="Times New Roman"/>
          <w:szCs w:val="20"/>
          <w14:ligatures w14:val="none"/>
        </w:rPr>
      </w:pPr>
      <w:r>
        <w:rPr>
          <w:rFonts w:hint="eastAsia" w:cs="Times New Roman"/>
          <w:szCs w:val="20"/>
          <w14:ligatures w14:val="none"/>
        </w:rPr>
        <w:t>实施教育家精神铸魂强师行动，推行师德师风评价改革</w:t>
      </w:r>
      <w:r>
        <w:rPr>
          <w:rFonts w:cs="Times New Roman"/>
          <w:szCs w:val="20"/>
          <w14:ligatures w14:val="none"/>
        </w:rPr>
        <w:t>，</w:t>
      </w:r>
      <w:r>
        <w:rPr>
          <w:rFonts w:hint="eastAsia" w:cs="Times New Roman"/>
          <w:szCs w:val="20"/>
          <w14:ligatures w14:val="none"/>
        </w:rPr>
        <w:t>建设师德师风教育实践基地，落实从业查询和师德师风监督机制</w:t>
      </w:r>
      <w:r>
        <w:rPr>
          <w:rFonts w:hint="eastAsia" w:ascii="仿宋_GB2312" w:cs="Times New Roman"/>
          <w:szCs w:val="20"/>
          <w14:ligatures w14:val="none"/>
        </w:rPr>
        <w:t>。</w:t>
      </w:r>
      <w:r>
        <w:rPr>
          <w:rFonts w:hint="eastAsia" w:ascii="仿宋_GB2312" w:cs="仿宋_GB2312"/>
          <w:kern w:val="0"/>
          <w:szCs w:val="20"/>
          <w14:ligatures w14:val="none"/>
        </w:rPr>
        <w:t>深入开展“高校行”活动和“银龄讲学计划”，大力引</w:t>
      </w:r>
      <w:r>
        <w:rPr>
          <w:rFonts w:hint="eastAsia" w:ascii="仿宋_GB2312" w:cs="仿宋_GB2312"/>
          <w:szCs w:val="20"/>
          <w14:ligatures w14:val="none"/>
        </w:rPr>
        <w:t>进优秀教育人才。</w:t>
      </w:r>
      <w:r>
        <w:rPr>
          <w:rFonts w:hint="eastAsia" w:ascii="仿宋_GB2312" w:hAnsi="仿宋_GB2312" w:cs="仿宋_GB2312"/>
          <w:szCs w:val="20"/>
          <w14:ligatures w14:val="none"/>
        </w:rPr>
        <w:t>深入</w:t>
      </w:r>
      <w:r>
        <w:rPr>
          <w:rFonts w:hint="eastAsia" w:ascii="仿宋_GB2312" w:hAnsi="仿宋_GB2312" w:cs="Times New Roman"/>
          <w:color w:val="000000"/>
          <w:szCs w:val="20"/>
          <w14:ligatures w14:val="none"/>
        </w:rPr>
        <w:t>实施</w:t>
      </w:r>
      <w:r>
        <w:rPr>
          <w:rFonts w:hint="eastAsia" w:ascii="仿宋_GB2312" w:cs="Times New Roman"/>
          <w:color w:val="000000"/>
          <w:szCs w:val="20"/>
          <w14:ligatures w14:val="none"/>
        </w:rPr>
        <w:t>“名师工程”“</w:t>
      </w:r>
      <w:r>
        <w:rPr>
          <w:rFonts w:hint="eastAsia" w:ascii="仿宋_GB2312" w:hAnsi="仿宋_GB2312" w:cs="Times New Roman"/>
          <w:color w:val="000000"/>
          <w:szCs w:val="20"/>
          <w14:ligatures w14:val="none"/>
        </w:rPr>
        <w:t>青蓝结对</w:t>
      </w:r>
      <w:r>
        <w:rPr>
          <w:rFonts w:hint="eastAsia" w:ascii="仿宋_GB2312" w:cs="Times New Roman"/>
          <w:color w:val="000000"/>
          <w:szCs w:val="20"/>
          <w14:ligatures w14:val="none"/>
        </w:rPr>
        <w:t>”</w:t>
      </w:r>
      <w:r>
        <w:rPr>
          <w:rFonts w:hint="eastAsia" w:ascii="仿宋_GB2312" w:hAnsi="仿宋_GB2312" w:cs="Times New Roman"/>
          <w:color w:val="000000"/>
          <w:szCs w:val="20"/>
          <w14:ligatures w14:val="none"/>
        </w:rPr>
        <w:t>工程，</w:t>
      </w:r>
      <w:r>
        <w:rPr>
          <w:rFonts w:hint="eastAsia" w:ascii="仿宋_GB2312" w:cs="仿宋_GB2312"/>
          <w:szCs w:val="20"/>
          <w14:ligatures w14:val="none"/>
        </w:rPr>
        <w:t>推进教师教学能力、学历水平和执教资质“三个提升”，每年支持一批中小学教师提升学历或执教资质，培训一批乡镇中小学教师，提升中小学本科以上学历教师占比。</w:t>
      </w:r>
      <w:r>
        <w:rPr>
          <w:rFonts w:cs="Times New Roman"/>
          <w:color w:val="000000" w:themeColor="text1"/>
          <w:szCs w:val="20"/>
          <w14:textFill>
            <w14:solidFill>
              <w14:schemeClr w14:val="tx1"/>
            </w14:solidFill>
          </w14:textFill>
          <w14:ligatures w14:val="none"/>
        </w:rPr>
        <w:t>加强</w:t>
      </w:r>
      <w:r>
        <w:rPr>
          <w:rFonts w:hint="eastAsia" w:ascii="仿宋_GB2312" w:cs="Times New Roman"/>
          <w:color w:val="000000" w:themeColor="text1"/>
          <w:szCs w:val="20"/>
          <w14:textFill>
            <w14:solidFill>
              <w14:schemeClr w14:val="tx1"/>
            </w14:solidFill>
          </w14:textFill>
          <w14:ligatures w14:val="none"/>
        </w:rPr>
        <w:t>“</w:t>
      </w:r>
      <w:r>
        <w:rPr>
          <w:rFonts w:cs="Times New Roman"/>
          <w:color w:val="000000" w:themeColor="text1"/>
          <w:szCs w:val="20"/>
          <w14:textFill>
            <w14:solidFill>
              <w14:schemeClr w14:val="tx1"/>
            </w14:solidFill>
          </w14:textFill>
          <w14:ligatures w14:val="none"/>
        </w:rPr>
        <w:t>双师型</w:t>
      </w:r>
      <w:r>
        <w:rPr>
          <w:rFonts w:hint="eastAsia" w:ascii="仿宋_GB2312" w:cs="Times New Roman"/>
          <w:color w:val="000000" w:themeColor="text1"/>
          <w:szCs w:val="20"/>
          <w14:textFill>
            <w14:solidFill>
              <w14:schemeClr w14:val="tx1"/>
            </w14:solidFill>
          </w14:textFill>
          <w14:ligatures w14:val="none"/>
        </w:rPr>
        <w:t>”</w:t>
      </w:r>
      <w:r>
        <w:rPr>
          <w:rFonts w:cs="Times New Roman"/>
          <w:color w:val="000000" w:themeColor="text1"/>
          <w:szCs w:val="20"/>
          <w14:textFill>
            <w14:solidFill>
              <w14:schemeClr w14:val="tx1"/>
            </w14:solidFill>
          </w14:textFill>
          <w14:ligatures w14:val="none"/>
        </w:rPr>
        <w:t>教师</w:t>
      </w:r>
      <w:r>
        <w:rPr>
          <w:rFonts w:hint="eastAsia" w:cs="Times New Roman"/>
          <w:color w:val="000000" w:themeColor="text1"/>
          <w:szCs w:val="20"/>
          <w14:textFill>
            <w14:solidFill>
              <w14:schemeClr w14:val="tx1"/>
            </w14:solidFill>
          </w14:textFill>
          <w14:ligatures w14:val="none"/>
        </w:rPr>
        <w:t>队伍建设。</w:t>
      </w:r>
      <w:r>
        <w:rPr>
          <w:rFonts w:hint="eastAsia" w:ascii="仿宋_GB2312" w:cs="Times New Roman"/>
          <w:kern w:val="0"/>
          <w:szCs w:val="20"/>
          <w14:ligatures w14:val="none"/>
        </w:rPr>
        <w:t>大力开展教育“双百行动”</w:t>
      </w:r>
      <w:r>
        <w:rPr>
          <w:rFonts w:hint="eastAsia" w:ascii="仿宋_GB2312" w:cs="Arial"/>
          <w:kern w:val="0"/>
          <w:szCs w:val="20"/>
          <w14:ligatures w14:val="none"/>
        </w:rPr>
        <w:t>，</w:t>
      </w:r>
      <w:r>
        <w:rPr>
          <w:rFonts w:cs="Arial"/>
          <w:kern w:val="0"/>
          <w:szCs w:val="20"/>
          <w14:ligatures w14:val="none"/>
        </w:rPr>
        <w:t>建强教育管理队伍。</w:t>
      </w:r>
      <w:r>
        <w:rPr>
          <w:rFonts w:cs="仿宋_GB2312"/>
          <w:szCs w:val="20"/>
          <w14:ligatures w14:val="none"/>
        </w:rPr>
        <w:t>推进教师县管校聘</w:t>
      </w:r>
      <w:r>
        <w:rPr>
          <w:rFonts w:hint="eastAsia" w:cs="仿宋_GB2312"/>
          <w:szCs w:val="20"/>
          <w14:ligatures w14:val="none"/>
        </w:rPr>
        <w:t>“</w:t>
      </w:r>
      <w:r>
        <w:rPr>
          <w:rFonts w:cs="仿宋_GB2312"/>
          <w:szCs w:val="20"/>
          <w14:ligatures w14:val="none"/>
        </w:rPr>
        <w:t>三个跟着走</w:t>
      </w:r>
      <w:r>
        <w:rPr>
          <w:rFonts w:hint="eastAsia" w:cs="仿宋_GB2312"/>
          <w:szCs w:val="20"/>
          <w14:ligatures w14:val="none"/>
        </w:rPr>
        <w:t>”</w:t>
      </w:r>
      <w:r>
        <w:rPr>
          <w:rFonts w:cs="仿宋_GB2312"/>
          <w:szCs w:val="20"/>
          <w14:ligatures w14:val="none"/>
        </w:rPr>
        <w:t>改革，</w:t>
      </w:r>
      <w:r>
        <w:rPr>
          <w:rFonts w:cs="Arial"/>
          <w:kern w:val="0"/>
          <w:szCs w:val="20"/>
          <w14:ligatures w14:val="none"/>
        </w:rPr>
        <w:t>逐步配齐全市</w:t>
      </w:r>
      <w:r>
        <w:rPr>
          <w:rFonts w:hint="eastAsia" w:cs="仿宋_GB2312"/>
          <w:szCs w:val="20"/>
          <w14:ligatures w14:val="none"/>
        </w:rPr>
        <w:t>高中</w:t>
      </w:r>
      <w:r>
        <w:rPr>
          <w:rFonts w:cs="仿宋_GB2312"/>
          <w:szCs w:val="20"/>
          <w14:ligatures w14:val="none"/>
        </w:rPr>
        <w:t>、初中</w:t>
      </w:r>
      <w:r>
        <w:rPr>
          <w:rFonts w:hint="eastAsia" w:cs="仿宋_GB2312"/>
          <w:szCs w:val="20"/>
          <w14:ligatures w14:val="none"/>
        </w:rPr>
        <w:t>紧缺学科教师</w:t>
      </w:r>
      <w:r>
        <w:rPr>
          <w:rFonts w:cs="仿宋_GB2312"/>
          <w:szCs w:val="20"/>
          <w14:ligatures w14:val="none"/>
        </w:rPr>
        <w:t>。充分</w:t>
      </w:r>
      <w:r>
        <w:rPr>
          <w:rFonts w:hint="eastAsia" w:cs="仿宋_GB2312"/>
          <w:szCs w:val="20"/>
          <w14:ligatures w14:val="none"/>
        </w:rPr>
        <w:t>发挥职称评聘激励作用，加强教师聘后管理</w:t>
      </w:r>
      <w:r>
        <w:rPr>
          <w:rFonts w:cs="仿宋_GB2312"/>
          <w:szCs w:val="20"/>
          <w14:ligatures w14:val="none"/>
        </w:rPr>
        <w:t>。</w:t>
      </w:r>
      <w:r>
        <w:rPr>
          <w:rFonts w:hint="eastAsia" w:cs="仿宋_GB2312"/>
          <w:szCs w:val="20"/>
          <w14:ligatures w14:val="none"/>
        </w:rPr>
        <w:t>落实尊师惠师政策</w:t>
      </w:r>
      <w:r>
        <w:rPr>
          <w:rFonts w:cs="仿宋_GB2312"/>
          <w:szCs w:val="20"/>
          <w14:ligatures w14:val="none"/>
        </w:rPr>
        <w:t>，</w:t>
      </w:r>
      <w:r>
        <w:rPr>
          <w:rFonts w:hint="eastAsia" w:cs="仿宋_GB2312"/>
          <w:szCs w:val="20"/>
          <w14:ligatures w14:val="none"/>
        </w:rPr>
        <w:t>加大优秀教师选树表彰和宣传力度</w:t>
      </w:r>
      <w:r>
        <w:rPr>
          <w:rFonts w:hint="eastAsia" w:cs="Times New Roman"/>
          <w:szCs w:val="20"/>
          <w14:ligatures w14:val="none"/>
        </w:rPr>
        <w:t>。</w:t>
      </w:r>
    </w:p>
    <w:p w14:paraId="1C8DB0D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深化教育综合改革</w:t>
      </w:r>
    </w:p>
    <w:p w14:paraId="02C53D30">
      <w:pPr>
        <w:adjustRightInd w:val="0"/>
        <w:snapToGrid w:val="0"/>
        <w:ind w:firstLine="640"/>
        <w:rPr>
          <w:rFonts w:hint="eastAsia" w:ascii="仿宋_GB2312" w:hAnsi="仿宋_GB2312" w:cs="仿宋_GB2312"/>
          <w:szCs w:val="20"/>
          <w14:ligatures w14:val="none"/>
        </w:rPr>
      </w:pPr>
      <w:r>
        <w:rPr>
          <w:rFonts w:hint="eastAsia" w:cs="Times New Roman"/>
          <w:szCs w:val="20"/>
          <w14:ligatures w14:val="none"/>
        </w:rPr>
        <w:t>健全教育战略性投入机制，确保一般公共预算教育支出“两个只增不减”，</w:t>
      </w:r>
      <w:r>
        <w:rPr>
          <w:rFonts w:cs="Times New Roman"/>
          <w:szCs w:val="20"/>
          <w14:ligatures w14:val="none"/>
        </w:rPr>
        <w:t>做大做强各级教育基金</w:t>
      </w:r>
      <w:r>
        <w:rPr>
          <w:rFonts w:hint="eastAsia" w:cs="Times New Roman"/>
          <w:szCs w:val="20"/>
          <w14:ligatures w14:val="none"/>
        </w:rPr>
        <w:t>。</w:t>
      </w:r>
      <w:r>
        <w:rPr>
          <w:rFonts w:cs="Times New Roman"/>
          <w:szCs w:val="20"/>
          <w14:ligatures w14:val="none"/>
        </w:rPr>
        <w:t>深化</w:t>
      </w:r>
      <w:r>
        <w:rPr>
          <w:rFonts w:hint="eastAsia" w:cs="Times New Roman"/>
          <w:szCs w:val="20"/>
          <w14:ligatures w14:val="none"/>
        </w:rPr>
        <w:t>新时代教育评价改革，破除“五唯”顽瘴痼疾，</w:t>
      </w:r>
      <w:r>
        <w:rPr>
          <w:rFonts w:ascii="仿宋_GB2312" w:cs="仿宋_GB2312"/>
          <w:color w:val="000000"/>
          <w:szCs w:val="20"/>
          <w14:ligatures w14:val="none"/>
        </w:rPr>
        <w:t>建立</w:t>
      </w:r>
      <w:r>
        <w:rPr>
          <w:rFonts w:hint="eastAsia" w:ascii="仿宋_GB2312" w:cs="仿宋_GB2312"/>
          <w:color w:val="000000"/>
          <w:szCs w:val="20"/>
          <w14:ligatures w14:val="none"/>
        </w:rPr>
        <w:t>完善“从入口看出口，从起点看变化”的</w:t>
      </w:r>
      <w:r>
        <w:rPr>
          <w:rFonts w:ascii="仿宋_GB2312" w:cs="仿宋_GB2312"/>
          <w:color w:val="000000"/>
          <w:szCs w:val="20"/>
          <w14:ligatures w14:val="none"/>
        </w:rPr>
        <w:t>教育质量增值评价体系，</w:t>
      </w:r>
      <w:r>
        <w:rPr>
          <w:rFonts w:ascii="仿宋_GB2312" w:cs="仿宋_GB2312"/>
          <w:szCs w:val="20"/>
          <w14:ligatures w14:val="none"/>
        </w:rPr>
        <w:t>推进个性化、差异化、高品质教育</w:t>
      </w:r>
      <w:r>
        <w:rPr>
          <w:rFonts w:hint="eastAsia" w:ascii="仿宋_GB2312" w:cs="仿宋_GB2312"/>
          <w:szCs w:val="20"/>
          <w14:ligatures w14:val="none"/>
        </w:rPr>
        <w:t>，</w:t>
      </w:r>
      <w:r>
        <w:rPr>
          <w:rFonts w:ascii="仿宋_GB2312" w:cs="仿宋_GB2312"/>
          <w:szCs w:val="20"/>
          <w14:ligatures w14:val="none"/>
        </w:rPr>
        <w:t>健全县市区履行教育职责综合督导工作机制</w:t>
      </w:r>
      <w:r>
        <w:rPr>
          <w:rFonts w:hint="eastAsia" w:ascii="仿宋_GB2312" w:cs="仿宋_GB2312"/>
          <w:szCs w:val="20"/>
          <w14:ligatures w14:val="none"/>
        </w:rPr>
        <w:t>。深入实施教育数字化战略行动，在中小学校开展人工智能</w:t>
      </w:r>
      <w:r>
        <w:rPr>
          <w:rFonts w:ascii="仿宋_GB2312" w:cs="仿宋_GB2312"/>
          <w:szCs w:val="20"/>
          <w14:ligatures w14:val="none"/>
        </w:rPr>
        <w:t>、机器人</w:t>
      </w:r>
      <w:r>
        <w:rPr>
          <w:rFonts w:hint="eastAsia" w:ascii="仿宋_GB2312" w:cs="仿宋_GB2312"/>
          <w:szCs w:val="20"/>
          <w14:ligatures w14:val="none"/>
        </w:rPr>
        <w:t>教育，</w:t>
      </w:r>
      <w:r>
        <w:rPr>
          <w:rFonts w:ascii="仿宋_GB2312" w:cs="仿宋_GB2312"/>
          <w:szCs w:val="20"/>
          <w14:ligatures w14:val="none"/>
        </w:rPr>
        <w:t>开发标准化市级教学资源库，遴选并支持建设一批县级人工智能教育体验中心，</w:t>
      </w:r>
      <w:r>
        <w:rPr>
          <w:rFonts w:hint="eastAsia" w:ascii="仿宋_GB2312" w:cs="仿宋_GB2312"/>
          <w:szCs w:val="20"/>
          <w14:ligatures w14:val="none"/>
        </w:rPr>
        <w:t>升级全市教育数字化基础设施，打造一批中小学智慧教育创新校</w:t>
      </w:r>
      <w:r>
        <w:rPr>
          <w:rFonts w:hint="eastAsia" w:ascii="仿宋_GB2312" w:hAnsi="仿宋_GB2312" w:cs="仿宋_GB2312"/>
          <w:szCs w:val="20"/>
          <w14:ligatures w14:val="none"/>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1FF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3C90632">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24</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教育强市行动</w:t>
            </w:r>
          </w:p>
        </w:tc>
      </w:tr>
      <w:tr w14:paraId="6564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3337B7DE">
            <w:pPr>
              <w:spacing w:line="440" w:lineRule="exact"/>
              <w:ind w:firstLine="482"/>
              <w:rPr>
                <w:bCs/>
                <w:sz w:val="24"/>
              </w:rPr>
            </w:pPr>
            <w:r>
              <w:rPr>
                <w:b/>
                <w:sz w:val="24"/>
              </w:rPr>
              <w:t>立德树人行动。</w:t>
            </w:r>
            <w:r>
              <w:rPr>
                <w:bCs/>
                <w:sz w:val="24"/>
              </w:rPr>
              <w:t>推动党的创新理论进校园、进课堂、进头脑。实施学生体质强健计划，办好校</w:t>
            </w:r>
            <w:r>
              <w:rPr>
                <w:rFonts w:hint="eastAsia"/>
                <w:bCs/>
                <w:sz w:val="24"/>
              </w:rPr>
              <w:t>—</w:t>
            </w:r>
            <w:r>
              <w:rPr>
                <w:bCs/>
                <w:sz w:val="24"/>
              </w:rPr>
              <w:t>县</w:t>
            </w:r>
            <w:r>
              <w:rPr>
                <w:rFonts w:hint="eastAsia"/>
                <w:bCs/>
                <w:sz w:val="24"/>
              </w:rPr>
              <w:t>—</w:t>
            </w:r>
            <w:r>
              <w:rPr>
                <w:bCs/>
                <w:sz w:val="24"/>
              </w:rPr>
              <w:t>市三级体育竞赛，推动家校社协同育人</w:t>
            </w:r>
            <w:r>
              <w:rPr>
                <w:rFonts w:hint="eastAsia"/>
                <w:bCs/>
                <w:sz w:val="24"/>
              </w:rPr>
              <w:t>“</w:t>
            </w:r>
            <w:r>
              <w:rPr>
                <w:bCs/>
                <w:sz w:val="24"/>
              </w:rPr>
              <w:t>教联体</w:t>
            </w:r>
            <w:r>
              <w:rPr>
                <w:rFonts w:hint="eastAsia"/>
                <w:bCs/>
                <w:sz w:val="24"/>
              </w:rPr>
              <w:t>”</w:t>
            </w:r>
            <w:r>
              <w:rPr>
                <w:bCs/>
                <w:sz w:val="24"/>
              </w:rPr>
              <w:t>和家庭教育指导服务站点</w:t>
            </w:r>
            <w:r>
              <w:rPr>
                <w:rFonts w:hint="eastAsia"/>
                <w:bCs/>
                <w:sz w:val="24"/>
              </w:rPr>
              <w:t>全覆盖</w:t>
            </w:r>
            <w:r>
              <w:rPr>
                <w:bCs/>
                <w:sz w:val="24"/>
              </w:rPr>
              <w:t>，力争到2030年学生体质健康优良率达60%。</w:t>
            </w:r>
          </w:p>
          <w:p w14:paraId="7B958494">
            <w:pPr>
              <w:spacing w:line="440" w:lineRule="exact"/>
              <w:ind w:firstLine="482"/>
              <w:rPr>
                <w:bCs/>
                <w:sz w:val="24"/>
              </w:rPr>
            </w:pPr>
            <w:r>
              <w:rPr>
                <w:b/>
                <w:sz w:val="24"/>
              </w:rPr>
              <w:t>扩优提质</w:t>
            </w:r>
            <w:r>
              <w:rPr>
                <w:rFonts w:hint="eastAsia"/>
                <w:b/>
                <w:sz w:val="24"/>
              </w:rPr>
              <w:t>行动</w:t>
            </w:r>
            <w:r>
              <w:rPr>
                <w:b/>
                <w:sz w:val="24"/>
              </w:rPr>
              <w:t>。</w:t>
            </w:r>
            <w:r>
              <w:rPr>
                <w:bCs/>
                <w:sz w:val="24"/>
              </w:rPr>
              <w:t>建设1万个婴幼儿托位，实施200所乡村小规模学校优化提质，改造乡镇标准化寄宿制学校100所，新增公办普通高中学位1万个，新建或改建200所标准化中小学食堂。</w:t>
            </w:r>
          </w:p>
          <w:p w14:paraId="320C262A">
            <w:pPr>
              <w:spacing w:line="440" w:lineRule="exact"/>
              <w:ind w:firstLine="482"/>
              <w:rPr>
                <w:bCs/>
                <w:sz w:val="24"/>
              </w:rPr>
            </w:pPr>
            <w:r>
              <w:rPr>
                <w:rFonts w:hint="eastAsia"/>
                <w:b/>
                <w:sz w:val="24"/>
              </w:rPr>
              <w:t>大学生创业促进行动。</w:t>
            </w:r>
            <w:r>
              <w:rPr>
                <w:rFonts w:hint="eastAsia"/>
                <w:bCs/>
                <w:sz w:val="24"/>
              </w:rPr>
              <w:t>落实全省大学生创业“七个一”政策，实行高校“三纳入一公布”，教师“两直接三优先”，推动市内高校毕业生创业人数占比逐步达到1%。</w:t>
            </w:r>
          </w:p>
          <w:p w14:paraId="1720F19A">
            <w:pPr>
              <w:spacing w:line="440" w:lineRule="exact"/>
              <w:ind w:firstLine="482"/>
              <w:rPr>
                <w:bCs/>
                <w:sz w:val="24"/>
              </w:rPr>
            </w:pPr>
            <w:r>
              <w:rPr>
                <w:b/>
                <w:sz w:val="24"/>
              </w:rPr>
              <w:t>产教融合行动。</w:t>
            </w:r>
            <w:r>
              <w:rPr>
                <w:bCs/>
                <w:sz w:val="24"/>
              </w:rPr>
              <w:t>推动职业院校办学条件全面达标，建设市级高校公共实训基地，打造5个市域产教联合体、行业产教融合共同体。紧密对接我市</w:t>
            </w:r>
            <w:r>
              <w:rPr>
                <w:rFonts w:hint="eastAsia"/>
                <w:bCs/>
                <w:sz w:val="24"/>
              </w:rPr>
              <w:t>“</w:t>
            </w:r>
            <w:r>
              <w:rPr>
                <w:bCs/>
                <w:sz w:val="24"/>
              </w:rPr>
              <w:t>3×2</w:t>
            </w:r>
            <w:r>
              <w:rPr>
                <w:rFonts w:hint="eastAsia"/>
                <w:bCs/>
                <w:sz w:val="24"/>
              </w:rPr>
              <w:t>”</w:t>
            </w:r>
            <w:r>
              <w:rPr>
                <w:bCs/>
                <w:sz w:val="24"/>
              </w:rPr>
              <w:t>产业体系，强化</w:t>
            </w:r>
            <w:r>
              <w:rPr>
                <w:rFonts w:hint="eastAsia"/>
                <w:bCs/>
                <w:sz w:val="24"/>
              </w:rPr>
              <w:t>“</w:t>
            </w:r>
            <w:r>
              <w:rPr>
                <w:bCs/>
                <w:sz w:val="24"/>
              </w:rPr>
              <w:t>三个融入</w:t>
            </w:r>
            <w:r>
              <w:rPr>
                <w:rFonts w:hint="eastAsia"/>
                <w:bCs/>
                <w:sz w:val="24"/>
              </w:rPr>
              <w:t>”（把课堂融入车间、把专业融入产业、把创业融入教学）</w:t>
            </w:r>
            <w:r>
              <w:rPr>
                <w:bCs/>
                <w:sz w:val="24"/>
              </w:rPr>
              <w:t>，推进</w:t>
            </w:r>
            <w:r>
              <w:rPr>
                <w:rFonts w:hint="eastAsia"/>
                <w:bCs/>
                <w:sz w:val="24"/>
              </w:rPr>
              <w:t>“</w:t>
            </w:r>
            <w:r>
              <w:rPr>
                <w:bCs/>
                <w:sz w:val="24"/>
              </w:rPr>
              <w:t>五个一活动</w:t>
            </w:r>
            <w:r>
              <w:rPr>
                <w:rFonts w:hint="eastAsia"/>
                <w:bCs/>
                <w:sz w:val="24"/>
              </w:rPr>
              <w:t>”（每年发布一次校企供需情况、开展一次师资共建洽谈、进行一次办学水平评估、公布一次本地就业占比信息、组织一次校企合作成果展示）。</w:t>
            </w:r>
          </w:p>
          <w:p w14:paraId="65E15A57">
            <w:pPr>
              <w:spacing w:line="440" w:lineRule="exact"/>
              <w:ind w:firstLine="482"/>
              <w:rPr>
                <w:bCs/>
                <w:sz w:val="24"/>
              </w:rPr>
            </w:pPr>
            <w:r>
              <w:rPr>
                <w:b/>
                <w:sz w:val="24"/>
              </w:rPr>
              <w:t>师资提升行动。</w:t>
            </w:r>
            <w:r>
              <w:rPr>
                <w:rFonts w:hint="eastAsia"/>
                <w:bCs/>
                <w:sz w:val="24"/>
              </w:rPr>
              <w:t>培育“双师型”教师队伍，占比达60%以上。开展“高校行”活动，引进1000名优秀教育人才。深入实施“名师工程”，完善名师工作室建设评价体系。实施骨干教师引领计划，开展教育“双百行动”，每年培养100名优秀教育管理人才、培训100名书记校长、2000名乡镇中小学教师，推动本科学历教师占比达90%以上，县域内每100名学生拥有1名以上骨干教师并实现学校、学科全覆盖</w:t>
            </w:r>
            <w:r>
              <w:rPr>
                <w:bCs/>
                <w:sz w:val="24"/>
              </w:rPr>
              <w:t>。</w:t>
            </w:r>
          </w:p>
          <w:p w14:paraId="11539AB1">
            <w:pPr>
              <w:spacing w:line="440" w:lineRule="exact"/>
              <w:ind w:firstLine="482"/>
              <w:rPr>
                <w:bCs/>
                <w:sz w:val="24"/>
              </w:rPr>
            </w:pPr>
            <w:r>
              <w:rPr>
                <w:b/>
                <w:sz w:val="24"/>
              </w:rPr>
              <w:t>改革强校行动。</w:t>
            </w:r>
            <w:r>
              <w:rPr>
                <w:bCs/>
                <w:sz w:val="24"/>
              </w:rPr>
              <w:t>深化新时代教育评价改革，建立完善</w:t>
            </w:r>
            <w:r>
              <w:rPr>
                <w:rFonts w:hint="eastAsia"/>
                <w:bCs/>
                <w:sz w:val="24"/>
              </w:rPr>
              <w:t>“</w:t>
            </w:r>
            <w:r>
              <w:rPr>
                <w:bCs/>
                <w:sz w:val="24"/>
              </w:rPr>
              <w:t>从入口看出口，从起点看变化</w:t>
            </w:r>
            <w:r>
              <w:rPr>
                <w:rFonts w:hint="eastAsia"/>
                <w:bCs/>
                <w:sz w:val="24"/>
              </w:rPr>
              <w:t>”</w:t>
            </w:r>
            <w:r>
              <w:rPr>
                <w:bCs/>
                <w:sz w:val="24"/>
              </w:rPr>
              <w:t>的教育质量增值评价体系。深入实施教师县管校聘</w:t>
            </w:r>
            <w:r>
              <w:rPr>
                <w:rFonts w:hint="eastAsia"/>
                <w:bCs/>
                <w:sz w:val="24"/>
              </w:rPr>
              <w:t>“</w:t>
            </w:r>
            <w:r>
              <w:rPr>
                <w:bCs/>
                <w:sz w:val="24"/>
              </w:rPr>
              <w:t>三个跟着走</w:t>
            </w:r>
            <w:r>
              <w:rPr>
                <w:rFonts w:hint="eastAsia"/>
                <w:bCs/>
                <w:sz w:val="24"/>
              </w:rPr>
              <w:t>”</w:t>
            </w:r>
            <w:r>
              <w:rPr>
                <w:bCs/>
                <w:sz w:val="24"/>
              </w:rPr>
              <w:t>改革。推进高校</w:t>
            </w:r>
            <w:r>
              <w:rPr>
                <w:rFonts w:hint="eastAsia"/>
                <w:bCs/>
                <w:sz w:val="24"/>
              </w:rPr>
              <w:t>“</w:t>
            </w:r>
            <w:r>
              <w:rPr>
                <w:bCs/>
                <w:sz w:val="24"/>
              </w:rPr>
              <w:t>两优</w:t>
            </w:r>
            <w:r>
              <w:rPr>
                <w:rFonts w:hint="eastAsia"/>
                <w:bCs/>
                <w:sz w:val="24"/>
              </w:rPr>
              <w:t>”</w:t>
            </w:r>
            <w:r>
              <w:rPr>
                <w:bCs/>
                <w:sz w:val="24"/>
              </w:rPr>
              <w:t>改革，2030年前完成在永高校学科专业布点优化调整。实施教育数字化战略行动，遴选并支持建设3</w:t>
            </w:r>
            <w:r>
              <w:rPr>
                <w:rFonts w:hint="eastAsia"/>
                <w:bCs/>
                <w:sz w:val="24"/>
              </w:rPr>
              <w:t>—</w:t>
            </w:r>
            <w:r>
              <w:rPr>
                <w:bCs/>
                <w:sz w:val="24"/>
              </w:rPr>
              <w:t>5个县级</w:t>
            </w:r>
            <w:r>
              <w:rPr>
                <w:rFonts w:hint="eastAsia"/>
                <w:bCs/>
                <w:sz w:val="24"/>
              </w:rPr>
              <w:t>“</w:t>
            </w:r>
            <w:r>
              <w:rPr>
                <w:bCs/>
                <w:sz w:val="24"/>
              </w:rPr>
              <w:t>人工智能教育体验中心</w:t>
            </w:r>
            <w:r>
              <w:rPr>
                <w:rFonts w:hint="eastAsia"/>
                <w:bCs/>
                <w:sz w:val="24"/>
              </w:rPr>
              <w:t>”</w:t>
            </w:r>
            <w:r>
              <w:rPr>
                <w:bCs/>
                <w:sz w:val="24"/>
              </w:rPr>
              <w:t>，为全市中小学更换10000套新型智慧黑板。</w:t>
            </w:r>
          </w:p>
          <w:p w14:paraId="4F623F08">
            <w:pPr>
              <w:spacing w:line="440" w:lineRule="exact"/>
              <w:ind w:firstLine="482"/>
              <w:rPr>
                <w:bCs/>
                <w:sz w:val="24"/>
              </w:rPr>
            </w:pPr>
            <w:r>
              <w:rPr>
                <w:rFonts w:hint="eastAsia"/>
                <w:b/>
                <w:sz w:val="24"/>
              </w:rPr>
              <w:t>安全守底行动。</w:t>
            </w:r>
            <w:r>
              <w:rPr>
                <w:rFonts w:hint="eastAsia"/>
                <w:bCs/>
                <w:sz w:val="24"/>
              </w:rPr>
              <w:t>抓实防溺水、防性侵、防欺凌等十项重点安全，全面建成中小学校安全风险分级管控和隐患排查治理“双重预防体系”。推进师德师风问题，以及“校园餐”、教辅征订、校服采购问题专项整治。</w:t>
            </w:r>
          </w:p>
          <w:p w14:paraId="071901BB">
            <w:pPr>
              <w:spacing w:line="440" w:lineRule="exact"/>
              <w:ind w:firstLine="482"/>
              <w:rPr>
                <w:bCs/>
                <w:sz w:val="24"/>
              </w:rPr>
            </w:pPr>
            <w:r>
              <w:rPr>
                <w:rFonts w:hint="eastAsia"/>
                <w:b/>
                <w:sz w:val="24"/>
              </w:rPr>
              <w:t>党建引领行动。</w:t>
            </w:r>
            <w:r>
              <w:rPr>
                <w:rFonts w:hint="eastAsia"/>
                <w:bCs/>
                <w:sz w:val="24"/>
              </w:rPr>
              <w:t>深入开展“四强”党支部建设，开展“党建+师德师风”“党建+教学教研”“党建+思政教育”“党建+青年论坛”活动，以“党建红”引领“教育蓝”。</w:t>
            </w:r>
          </w:p>
        </w:tc>
      </w:tr>
    </w:tbl>
    <w:p w14:paraId="4DED1299">
      <w:pPr>
        <w:pStyle w:val="6"/>
        <w:spacing w:before="435" w:after="217"/>
      </w:pPr>
      <w:bookmarkStart w:id="302" w:name="_Toc214008587"/>
      <w:bookmarkStart w:id="303" w:name="_Toc227059011"/>
      <w:bookmarkStart w:id="304" w:name="_Toc212282431"/>
      <w:bookmarkStart w:id="305" w:name="_Toc215270568"/>
      <w:bookmarkStart w:id="306" w:name="_Toc232094419"/>
      <w:r>
        <w:rPr>
          <w:rFonts w:hint="eastAsia"/>
        </w:rPr>
        <w:t>深入推进健康永州建设</w:t>
      </w:r>
      <w:bookmarkEnd w:id="302"/>
      <w:bookmarkEnd w:id="303"/>
      <w:bookmarkEnd w:id="304"/>
      <w:bookmarkEnd w:id="305"/>
      <w:bookmarkEnd w:id="306"/>
    </w:p>
    <w:p w14:paraId="1AEF52FF">
      <w:pPr>
        <w:ind w:firstLine="640"/>
        <w:rPr>
          <w:rFonts w:cs="Times New Roman"/>
          <w:szCs w:val="32"/>
        </w:rPr>
      </w:pPr>
      <w:bookmarkStart w:id="307" w:name="_Hlk215169731"/>
      <w:r>
        <w:rPr>
          <w:rFonts w:hint="eastAsia" w:cs="Times New Roman"/>
          <w:szCs w:val="32"/>
        </w:rPr>
        <w:t>以人民健康为中心，实施健康优先发展战略，聚焦人民群众日益增长的多元化健康需求，加快建立覆盖全民的现代化医疗卫生服务体系，全方位全周期维护和保障人民健康。</w:t>
      </w:r>
    </w:p>
    <w:p w14:paraId="6A4FCB30">
      <w:pPr>
        <w:spacing w:before="217" w:beforeLines="50" w:after="217" w:afterLines="50"/>
        <w:ind w:firstLine="0" w:firstLineChars="0"/>
        <w:jc w:val="center"/>
        <w:outlineLvl w:val="2"/>
        <w:rPr>
          <w:rFonts w:eastAsia="楷体_GB2312" w:cstheme="majorBidi"/>
          <w:color w:val="000000" w:themeColor="text1"/>
          <w:szCs w:val="2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建设优质高效的医疗服务体系</w:t>
      </w:r>
    </w:p>
    <w:p w14:paraId="1232E661">
      <w:pPr>
        <w:widowControl/>
        <w:numPr>
          <w:ilvl w:val="255"/>
          <w:numId w:val="0"/>
        </w:numPr>
        <w:ind w:firstLine="641"/>
        <w:rPr>
          <w:rFonts w:hint="eastAsia" w:ascii="仿宋_GB2312" w:hAnsi="仿宋_GB2312" w:cs="仿宋_GB2312"/>
          <w:color w:val="000000"/>
          <w:szCs w:val="32"/>
        </w:rPr>
      </w:pPr>
      <w:r>
        <w:rPr>
          <w:rFonts w:hint="eastAsia" w:ascii="仿宋_GB2312" w:hAnsi="仿宋_GB2312" w:cs="仿宋_GB2312"/>
          <w:color w:val="000000"/>
          <w:szCs w:val="32"/>
        </w:rPr>
        <w:t>围绕“大病不出市”目标，优化全市医疗机构功能定位和布局，深化“两主两副</w:t>
      </w:r>
      <w:r>
        <w:rPr>
          <w:rFonts w:hint="eastAsia" w:cs="Times New Roman"/>
          <w:color w:val="000000"/>
          <w:szCs w:val="32"/>
        </w:rPr>
        <w:t>+</w:t>
      </w:r>
      <w:r>
        <w:rPr>
          <w:rFonts w:hint="eastAsia" w:ascii="仿宋_GB2312" w:hAnsi="仿宋_GB2312" w:cs="仿宋_GB2312"/>
          <w:color w:val="000000"/>
          <w:szCs w:val="32"/>
        </w:rPr>
        <w:t>”区域医疗高地建设，构建整合型医疗服务体系，推进紧密型城市医疗集团建设，打造一批高水平医学重点学科（专科）。实施县级医院“</w:t>
      </w:r>
      <w:r>
        <w:rPr>
          <w:rFonts w:hint="eastAsia" w:cs="Times New Roman"/>
          <w:color w:val="000000"/>
          <w:szCs w:val="32"/>
        </w:rPr>
        <w:t>5321</w:t>
      </w:r>
      <w:r>
        <w:rPr>
          <w:rFonts w:hint="eastAsia" w:ascii="仿宋_GB2312" w:hAnsi="仿宋_GB2312" w:cs="仿宋_GB2312"/>
          <w:color w:val="000000"/>
          <w:szCs w:val="32"/>
        </w:rPr>
        <w:t>”能力提升工程，推动半数县级综合医院达到三级水平。</w:t>
      </w:r>
      <w:r>
        <w:rPr>
          <w:rFonts w:hint="eastAsia" w:ascii="仿宋_GB2312" w:hAnsi="仿宋_GB2312" w:cs="仿宋_GB2312"/>
          <w:color w:val="000000"/>
          <w:szCs w:val="22"/>
        </w:rPr>
        <w:t>实施医疗卫生强基工程，健全以县级医院为龙头、乡镇卫生院为枢纽、村卫生室为基础的乡村医疗卫生服务体系，推进紧密型县域医共体和标准化基层医疗卫生机构建设。加快建设分级诊疗体系，建立“基层首诊、双向转诊、急慢分治、上下联动”就医秩序</w:t>
      </w:r>
      <w:r>
        <w:rPr>
          <w:rFonts w:hint="eastAsia" w:ascii="仿宋_GB2312" w:hAnsi="仿宋_GB2312" w:cs="仿宋_GB2312"/>
          <w:color w:val="000000"/>
          <w:szCs w:val="32"/>
        </w:rPr>
        <w:t>。支持互联网医院发展，加快建设永州市全民健康信息平台。促进和规范“人工智能</w:t>
      </w:r>
      <w:r>
        <w:rPr>
          <w:rFonts w:hint="eastAsia" w:cs="Times New Roman"/>
          <w:color w:val="000000"/>
          <w:szCs w:val="32"/>
        </w:rPr>
        <w:t>+</w:t>
      </w:r>
      <w:r>
        <w:rPr>
          <w:rFonts w:hint="eastAsia" w:ascii="仿宋_GB2312" w:hAnsi="仿宋_GB2312" w:cs="仿宋_GB2312"/>
          <w:color w:val="000000"/>
          <w:szCs w:val="32"/>
        </w:rPr>
        <w:t>医疗卫生”应用发展。</w:t>
      </w:r>
    </w:p>
    <w:p w14:paraId="45BCC6F8">
      <w:pPr>
        <w:spacing w:before="217" w:beforeLines="50" w:after="217" w:afterLines="50"/>
        <w:ind w:firstLine="0" w:firstLineChars="0"/>
        <w:jc w:val="center"/>
        <w:outlineLvl w:val="2"/>
        <w:rPr>
          <w:rFonts w:eastAsia="楷体_GB2312" w:cstheme="majorBidi"/>
          <w:bCs/>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深化医药卫生体制改革</w:t>
      </w:r>
    </w:p>
    <w:p w14:paraId="7629E69E">
      <w:pPr>
        <w:adjustRightInd w:val="0"/>
        <w:snapToGrid w:val="0"/>
        <w:ind w:firstLine="640"/>
        <w:rPr>
          <w:rFonts w:cs="Times New Roman"/>
          <w:bCs/>
          <w:szCs w:val="32"/>
        </w:rPr>
      </w:pPr>
      <w:r>
        <w:rPr>
          <w:rFonts w:hint="eastAsia" w:cs="Times New Roman"/>
          <w:bCs/>
          <w:szCs w:val="32"/>
        </w:rPr>
        <w:t>推进医疗、医保、医药“三医”协同发展和治理，建立以医疗服务为主导的收费机制，推进矩阵式医联体建设，完善以公益性为导向的运行机制和评价体系。深化公立医院编制、服务价格、薪酬制度、综合监管体系改革。深化医保支付方式改革，推进基本医保参保长效机制创新综合试点。深化医疗卫生领域教育、科技、人才一体化改革，加强复合型医学人才培养，继续实施永州市卫生健康医学学科青年骨干人才培养计划</w:t>
      </w:r>
      <w:r>
        <w:rPr>
          <w:rFonts w:hint="eastAsia" w:cs="Times New Roman"/>
        </w:rPr>
        <w:t>和医学重点专科建设及人才培养发展规划</w:t>
      </w:r>
      <w:r>
        <w:rPr>
          <w:rFonts w:hint="eastAsia" w:cs="Times New Roman"/>
          <w:bCs/>
          <w:szCs w:val="32"/>
        </w:rPr>
        <w:t>，鼓励市中心医院、市中医医院与高等院校共建高水平医学教育基地，健全“县管乡用、乡聘村用”人才使用机制，推动优质医疗人才资源下沉基层。</w:t>
      </w:r>
    </w:p>
    <w:p w14:paraId="40812306">
      <w:pPr>
        <w:spacing w:before="217" w:beforeLines="50" w:after="217" w:afterLines="50"/>
        <w:ind w:firstLine="0" w:firstLineChars="0"/>
        <w:jc w:val="center"/>
        <w:outlineLvl w:val="2"/>
        <w:rPr>
          <w:rFonts w:eastAsia="楷体_GB2312" w:cs="Times New Roman"/>
          <w:b/>
          <w:color w:val="000000"/>
          <w:szCs w:val="32"/>
        </w:rPr>
      </w:pPr>
      <w:r>
        <w:rPr>
          <w:rFonts w:hint="eastAsia" w:eastAsia="楷体_GB2312" w:cs="Times New Roman"/>
          <w:b/>
          <w:color w:val="000000"/>
          <w:szCs w:val="32"/>
        </w:rPr>
        <w:t>第三节 提升公共卫生服务水平</w:t>
      </w:r>
    </w:p>
    <w:p w14:paraId="35297F1D">
      <w:pPr>
        <w:adjustRightInd w:val="0"/>
        <w:snapToGrid w:val="0"/>
        <w:ind w:firstLine="640"/>
        <w:rPr>
          <w:rFonts w:cs="Times New Roman"/>
          <w:bCs/>
          <w:szCs w:val="32"/>
        </w:rPr>
      </w:pPr>
      <w:r>
        <w:rPr>
          <w:rFonts w:hint="eastAsia" w:cs="Times New Roman"/>
          <w:bCs/>
          <w:szCs w:val="32"/>
        </w:rPr>
        <w:t>促进社会共治、医防协同、医防融合，强化监测预警、风险评估、流行病学调查等能力，</w:t>
      </w:r>
      <w:r>
        <w:rPr>
          <w:rFonts w:hint="eastAsia" w:cs="Times New Roman"/>
          <w:szCs w:val="22"/>
        </w:rPr>
        <w:t>推进市县疾控中心标准化建设和能力提升</w:t>
      </w:r>
      <w:r>
        <w:rPr>
          <w:rFonts w:hint="eastAsia" w:cs="Times New Roman"/>
          <w:bCs/>
          <w:szCs w:val="32"/>
        </w:rPr>
        <w:t>。完善突发公共卫生事件应急指挥机制，构建5G智慧化急救服务体系，加强卫生应急队伍和“120”急救网络建设。构建分级分层分流的重大疫情救治体系，</w:t>
      </w:r>
      <w:r>
        <w:rPr>
          <w:rFonts w:hint="eastAsia" w:cs="Times New Roman"/>
          <w:szCs w:val="22"/>
        </w:rPr>
        <w:t>加强重大传染病和慢性病综合防控，健全“智慧化多点触发”传染病监测预警系统，支持市中心医院建设重大传染病救治基地，推进慢性病综合防控示范区建设。</w:t>
      </w:r>
      <w:r>
        <w:rPr>
          <w:rFonts w:hint="eastAsia" w:cs="Times New Roman"/>
          <w:bCs/>
          <w:szCs w:val="32"/>
        </w:rPr>
        <w:t>拓展家庭医生签约服务，开展老年人、慢性病患者、重性精神疾病患者、孕产妇等重点人群个性化签约服务，到2030年，重点人群签约服务覆盖率达100%。建立覆盖市、县、乡、村的四级糖尿病医防融合网络，高血压、糖尿病患者规范管理率达90%。</w:t>
      </w:r>
    </w:p>
    <w:p w14:paraId="13FE3E86">
      <w:pPr>
        <w:spacing w:before="217" w:beforeLines="50" w:after="217" w:afterLines="50"/>
        <w:ind w:firstLine="0" w:firstLineChars="0"/>
        <w:jc w:val="center"/>
        <w:outlineLvl w:val="2"/>
        <w:rPr>
          <w:rFonts w:eastAsia="楷体_GB2312" w:cstheme="majorBidi"/>
          <w:color w:val="000000" w:themeColor="text1"/>
          <w:szCs w:val="2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提高全民健康素养</w:t>
      </w:r>
    </w:p>
    <w:p w14:paraId="1BB15CFE">
      <w:pPr>
        <w:ind w:firstLine="641" w:firstLineChars="0"/>
        <w:rPr>
          <w:rFonts w:hint="eastAsia" w:ascii="仿宋_GB2312" w:hAnsi="仿宋_GB2312" w:cs="仿宋_GB2312"/>
          <w:szCs w:val="22"/>
        </w:rPr>
      </w:pPr>
      <w:r>
        <w:rPr>
          <w:rFonts w:hint="eastAsia" w:cs="Times New Roman"/>
          <w:szCs w:val="22"/>
        </w:rPr>
        <w:t>积极推进健康城市、健康县市区以及“健康细胞”建设，组织开展“全民卫生日”等群众性活动和“世界无烟日”等主题宣传活动。持续开展“三减三健”行动，推动合理膳食建议纳入医疗处方、医嘱内容和基本公共卫生服务家庭医生签约服务内容。强化职业病危害治理，健全社会心理服务体系和精神卫生综合管理协调机制。完善永州市健康科普专家库和资源库，建立健全健康科普知识发布传播机制、互联网不良健康科普信息监测处置机制，加强健康教育阵地建设，持续开展健康素养监测，全面提升全民健康认知水平和自我保健能力。到2030年，全市居民健康素养水平达到35%以上，人均预期寿命达到80岁以上。</w:t>
      </w:r>
    </w:p>
    <w:p w14:paraId="7E494C98">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第五节 推动中医药传承创新发展</w:t>
      </w:r>
    </w:p>
    <w:p w14:paraId="5D0C58A1">
      <w:pPr>
        <w:widowControl/>
        <w:numPr>
          <w:ilvl w:val="255"/>
          <w:numId w:val="0"/>
        </w:numPr>
        <w:ind w:firstLine="641"/>
        <w:rPr>
          <w:rFonts w:hint="eastAsia" w:ascii="仿宋_GB2312" w:hAnsi="仿宋_GB2312" w:cs="仿宋_GB2312"/>
          <w:color w:val="000000"/>
          <w:szCs w:val="32"/>
        </w:rPr>
      </w:pPr>
      <w:r>
        <w:rPr>
          <w:rFonts w:hint="eastAsia" w:cs="Times New Roman"/>
          <w:szCs w:val="22"/>
        </w:rPr>
        <w:t>完善中医药服务体系，促进中西医结合，全面推广中医药适宜技术，建成永州市中医医院（滨江新城）新院，推动县级中医医院全部达到二级甲等以上水平。促进中医药产业融合，高标准建设道地药材基地，推动永州厚朴、山银花、玉竹等特色药材规范化、规模化种植，加速瑶药等特色创新中药研发，推动中医药与健康养生、康养旅游、健康膳食等多元化发展，培育中医药养生保健新业态。开展“中医药健康文化传播行动”，建设省级中医药文化科普教育基地。深化中医药改革，探索符合中医药服务特点的医保支付方式。</w:t>
      </w:r>
    </w:p>
    <w:bookmarkEnd w:id="307"/>
    <w:p w14:paraId="3DB10A9B">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第六节 建设全民运动健身模范城市</w:t>
      </w:r>
    </w:p>
    <w:p w14:paraId="4BF0A849">
      <w:pPr>
        <w:ind w:firstLine="640"/>
        <w:rPr>
          <w:spacing w:val="-11"/>
          <w:szCs w:val="22"/>
        </w:rPr>
      </w:pPr>
      <w:r>
        <w:rPr>
          <w:rFonts w:hint="eastAsia"/>
        </w:rPr>
        <w:t>完善全民健身公共服务体系，持续完善城乡体育基础设施网络，建设一批“家门口”的运动场地，全面建成城市社区15分钟健身圈，谋划建设奥林匹克体育公园。充分发挥传统媒体与新媒体作用，普及全民健身文化，大力弘扬体育精神，讲好群众身边的健身故事，营造“热爱体育、支持体育、参与体育”的浓厚氛围。策划承办一批具有永州吸引力的标志性赛事，</w:t>
      </w:r>
      <w:r>
        <w:rPr>
          <w:rFonts w:hint="eastAsia" w:cs="Times New Roman"/>
        </w:rPr>
        <w:t>积极举办龙舟赛、马拉松、阳明山山地自行车赛等区域特色体育活动，巩固“湘超”永州赛区建设成效，办好“湘BA”“龙超”等赛事，实现“办赛旺城”。持续拓展户外运动空间，建设一批高质量运动设施，创新户外运动产品和配套服务，打造高质量户</w:t>
      </w:r>
      <w:r>
        <w:rPr>
          <w:rFonts w:hint="eastAsia" w:cs="Times New Roman"/>
          <w:spacing w:val="-11"/>
        </w:rPr>
        <w:t>外运动目的地。</w:t>
      </w:r>
      <w:r>
        <w:rPr>
          <w:rFonts w:hint="eastAsia" w:cs="Times New Roman"/>
          <w:spacing w:val="-11"/>
          <w:szCs w:val="22"/>
        </w:rPr>
        <w:t>深化体教融合，</w:t>
      </w:r>
      <w:r>
        <w:rPr>
          <w:rFonts w:hint="eastAsia" w:cs="Times New Roman"/>
          <w:spacing w:val="-11"/>
        </w:rPr>
        <w:t>大力发展校园足球和青少年足球，加强校地合作，培养一批高水平职业竞技体育人才和体育后备人才</w:t>
      </w:r>
      <w:r>
        <w:rPr>
          <w:rFonts w:hint="eastAsia" w:cs="Times New Roman"/>
          <w:spacing w:val="-11"/>
          <w:szCs w:val="22"/>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FC5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A74D966">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25</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健康永州建设工程</w:t>
            </w:r>
          </w:p>
        </w:tc>
      </w:tr>
      <w:tr w14:paraId="7BB8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675A84D4">
            <w:pPr>
              <w:spacing w:line="440" w:lineRule="exact"/>
              <w:ind w:firstLine="482"/>
              <w:rPr>
                <w:rFonts w:cs="Times New Roman"/>
                <w:bCs/>
                <w:kern w:val="0"/>
                <w:sz w:val="24"/>
                <w:szCs w:val="20"/>
                <w14:ligatures w14:val="none"/>
              </w:rPr>
            </w:pPr>
            <w:r>
              <w:rPr>
                <w:rFonts w:hint="eastAsia" w:cs="Times New Roman"/>
                <w:b/>
                <w:kern w:val="0"/>
                <w:sz w:val="24"/>
                <w:szCs w:val="22"/>
                <w14:ligatures w14:val="none"/>
              </w:rPr>
              <w:t>公立医院改革与高质量发展工程。</w:t>
            </w:r>
            <w:r>
              <w:rPr>
                <w:rFonts w:hint="eastAsia" w:cs="Times New Roman"/>
                <w:bCs/>
                <w:kern w:val="0"/>
                <w:sz w:val="24"/>
                <w:szCs w:val="22"/>
                <w14:ligatures w14:val="none"/>
              </w:rPr>
              <w:t>积极争取中央财政支持公立医院改革与高质量发展示范项目，实施三级公立医院病房改造项目，深化与南华大学合作。</w:t>
            </w:r>
          </w:p>
          <w:p w14:paraId="16A6AA76">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医疗卫生强基工程。</w:t>
            </w:r>
            <w:r>
              <w:rPr>
                <w:rFonts w:hint="eastAsia" w:cs="Times New Roman"/>
                <w:bCs/>
                <w:kern w:val="0"/>
                <w:sz w:val="24"/>
                <w:szCs w:val="22"/>
                <w14:ligatures w14:val="none"/>
              </w:rPr>
              <w:t>支持3—4个县市区建设医共体强基工程项目，5—6个中心乡镇卫生院建设县域医疗次中心，建设12个基层医疗机构特色专科，落实大学生村医计划。推进县域医共体数字化X线摄影系统（DR）、彩超、呼吸机等关键医疗设备更新。</w:t>
            </w:r>
          </w:p>
          <w:p w14:paraId="12E6247F">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中医药发展振兴工程。</w:t>
            </w:r>
            <w:r>
              <w:rPr>
                <w:rFonts w:hint="eastAsia" w:cs="Times New Roman"/>
                <w:bCs/>
                <w:kern w:val="0"/>
                <w:sz w:val="24"/>
                <w:szCs w:val="22"/>
                <w14:ligatures w14:val="none"/>
              </w:rPr>
              <w:t>完成永州市中医医院（滨江新城）新院建设，推动江华、江永、道县中医医院新院投入使用，加快东安县中医医院新院建设。县级中医医院实现医疗服务能力达标率、基础设施标准化率、中医类别医师占比达标率、二级甲等达标率和电子病历系统应用水平达标率达到100%。建成30个“旗舰中医馆”。</w:t>
            </w:r>
          </w:p>
          <w:p w14:paraId="2212D562">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人均预期寿命提升工程。</w:t>
            </w:r>
            <w:r>
              <w:rPr>
                <w:rFonts w:hint="eastAsia" w:cs="Times New Roman"/>
                <w:bCs/>
                <w:kern w:val="0"/>
                <w:sz w:val="24"/>
                <w:szCs w:val="22"/>
                <w14:ligatures w14:val="none"/>
              </w:rPr>
              <w:t>推进九大专项行动，全面推进健康细胞、无烟环境、营养健康场所建设，完成全民健康知识普及、重大传染病和重点慢性病防控、妇幼健康服务体系建设、职业健康危害源头防控和风险管控，以及环境质量、食品安全、医疗服务能力、医疗保障、安全管理干预机制建设等重大任务。</w:t>
            </w:r>
          </w:p>
          <w:p w14:paraId="4790E1C0">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公共卫生能力提升工程。</w:t>
            </w:r>
            <w:r>
              <w:rPr>
                <w:rFonts w:hint="eastAsia" w:cs="Times New Roman"/>
                <w:bCs/>
                <w:kern w:val="0"/>
                <w:sz w:val="24"/>
                <w:szCs w:val="22"/>
                <w14:ligatures w14:val="none"/>
              </w:rPr>
              <w:t>推进市、县疾控中心业务用房新建或改扩建、实验室设备升级。实现二级及以上医疗机构传染病智能监测预警全覆盖。更新补充卫生应急队伍装备。推动中心血站整体搬迁项目建设。建设统一急救调度信息平台。升级职业病防治技术支撑机构监测与诊断设备。</w:t>
            </w:r>
          </w:p>
          <w:p w14:paraId="1C3151BA">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体育场馆提质工程。</w:t>
            </w:r>
            <w:r>
              <w:rPr>
                <w:rFonts w:hint="eastAsia" w:cs="Times New Roman"/>
                <w:bCs/>
                <w:kern w:val="0"/>
                <w:sz w:val="24"/>
                <w:szCs w:val="22"/>
                <w14:ligatures w14:val="none"/>
              </w:rPr>
              <w:t>提质改造市体育中心（含市游泳馆、市体校室外游泳池提质改造），谋划启动潇湘体育场建设。</w:t>
            </w:r>
          </w:p>
          <w:p w14:paraId="2B191148">
            <w:pPr>
              <w:spacing w:line="440" w:lineRule="exact"/>
              <w:ind w:firstLine="482"/>
              <w:rPr>
                <w:rFonts w:cs="Times New Roman"/>
                <w:kern w:val="0"/>
                <w:szCs w:val="22"/>
                <w14:ligatures w14:val="none"/>
              </w:rPr>
            </w:pPr>
            <w:r>
              <w:rPr>
                <w:rFonts w:hint="eastAsia" w:cs="Times New Roman"/>
                <w:b/>
                <w:kern w:val="0"/>
                <w:sz w:val="24"/>
                <w:szCs w:val="22"/>
                <w14:ligatures w14:val="none"/>
              </w:rPr>
              <w:t>全民健身补短板工程。</w:t>
            </w:r>
            <w:r>
              <w:rPr>
                <w:rFonts w:hint="eastAsia" w:cs="Times New Roman"/>
                <w:bCs/>
                <w:kern w:val="0"/>
                <w:sz w:val="24"/>
                <w:szCs w:val="22"/>
                <w14:ligatures w14:val="none"/>
              </w:rPr>
              <w:t>各县市区乡镇、街道、社区配备多功能运动场、体育健身器材和乒乓球台等，提升场馆设施智慧化水平和综合运营能力。</w:t>
            </w:r>
          </w:p>
        </w:tc>
      </w:tr>
    </w:tbl>
    <w:p w14:paraId="79B59525">
      <w:pPr>
        <w:pStyle w:val="6"/>
        <w:spacing w:before="435" w:after="217"/>
      </w:pPr>
      <w:bookmarkStart w:id="308" w:name="_Toc227059012"/>
      <w:bookmarkStart w:id="309" w:name="_Toc232094420"/>
      <w:bookmarkStart w:id="310" w:name="_Toc215270569"/>
      <w:bookmarkStart w:id="311" w:name="_Toc212282432"/>
      <w:r>
        <w:rPr>
          <w:rFonts w:hint="eastAsia"/>
        </w:rPr>
        <w:t>健全基本公共服务体系</w:t>
      </w:r>
      <w:bookmarkEnd w:id="308"/>
      <w:bookmarkEnd w:id="309"/>
      <w:bookmarkEnd w:id="310"/>
      <w:bookmarkEnd w:id="311"/>
    </w:p>
    <w:p w14:paraId="4627AA8C">
      <w:pPr>
        <w:ind w:firstLine="640"/>
        <w:rPr>
          <w:rFonts w:cs="Times New Roman"/>
          <w:szCs w:val="32"/>
        </w:rPr>
      </w:pPr>
      <w:r>
        <w:rPr>
          <w:rFonts w:hint="eastAsia" w:cs="Times New Roman"/>
          <w:szCs w:val="32"/>
        </w:rPr>
        <w:t>推进基本公共服务均等化，强化政府兜底保障，鼓励和引导社会力量参与公共服务供给，推动服务设施布局优化、供给模式创新、基层能力提升，健全覆盖全民、优质共享的基本公共服务体系。</w:t>
      </w:r>
    </w:p>
    <w:p w14:paraId="7AC68B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提高基本公共服务均等化水平</w:t>
      </w:r>
    </w:p>
    <w:p w14:paraId="2DDB365C">
      <w:pPr>
        <w:adjustRightInd w:val="0"/>
        <w:snapToGrid w:val="0"/>
        <w:ind w:firstLine="640"/>
        <w:rPr>
          <w:rFonts w:cs="Times New Roman"/>
        </w:rPr>
      </w:pPr>
      <w:r>
        <w:rPr>
          <w:rFonts w:hint="eastAsia" w:cs="Times New Roman"/>
          <w:bCs/>
          <w:szCs w:val="32"/>
        </w:rPr>
        <w:t>加强普惠性、基础性、兜底性民生建设，围绕幼有所育、学有所教、劳有所得、病有所医、老有所养、住有所居、弱有所扶、优军服务、文体服务等目标，健全基本公共服务标准体系。统筹基本公共服务设施布局，完善公共资源与常住人口和服务半径挂钩机制，促进基本公共服务资源向基层延伸、向农村覆盖、向边远地区和生活困难群众倾斜。强化市民热线等公共服务平台功能，优化响应流程，提高服务覆盖范围与质量。深化殡葬改革，健全基本殡葬服务制度</w:t>
      </w:r>
      <w:r>
        <w:rPr>
          <w:rFonts w:hint="eastAsia" w:cs="Times New Roman"/>
          <w:szCs w:val="20"/>
          <w14:ligatures w14:val="none"/>
        </w:rPr>
        <w:t>。</w:t>
      </w:r>
    </w:p>
    <w:p w14:paraId="4DC1272F">
      <w:pPr>
        <w:spacing w:before="217" w:beforeLines="50" w:after="217" w:afterLines="50"/>
        <w:ind w:firstLine="0" w:firstLineChars="0"/>
        <w:jc w:val="center"/>
        <w:outlineLvl w:val="2"/>
        <w:rPr>
          <w:rFonts w:eastAsia="楷体_GB2312" w:cstheme="majorBidi"/>
          <w:bCs/>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提升基本公共服务保障能力</w:t>
      </w:r>
    </w:p>
    <w:p w14:paraId="06092605">
      <w:pPr>
        <w:adjustRightInd w:val="0"/>
        <w:snapToGrid w:val="0"/>
        <w:ind w:firstLine="640"/>
        <w:rPr>
          <w:rFonts w:cs="Times New Roman"/>
        </w:rPr>
      </w:pPr>
      <w:r>
        <w:rPr>
          <w:rFonts w:hint="eastAsia" w:cs="Times New Roman"/>
          <w:bCs/>
          <w:szCs w:val="32"/>
        </w:rPr>
        <w:t>完善基本公共服务多元供给体系，强化政府兜底保障作用，推动国有资本向公共服务领域集中，鼓励经营主体以政府购买、公建民营、公私合作等方式参与基本公共服务供给，培育发展提供各类公共服务的社区组织。根据新时期人口规模和结构变化，及时调整公共服务体系内容、类别和标准，促进公共服务供需匹配。调整完善转移支付体系，增强地方基本公共服务保障能力。加强基本公共服务专业人才队伍建设。</w:t>
      </w:r>
    </w:p>
    <w:p w14:paraId="28044F88">
      <w:pPr>
        <w:pStyle w:val="6"/>
        <w:spacing w:before="435" w:after="217"/>
      </w:pPr>
      <w:bookmarkStart w:id="312" w:name="_Toc212282433"/>
      <w:bookmarkStart w:id="313" w:name="_Toc215270570"/>
      <w:bookmarkStart w:id="314" w:name="_Toc232094421"/>
      <w:bookmarkStart w:id="315" w:name="_Toc227059013"/>
      <w:r>
        <w:rPr>
          <w:rFonts w:hint="eastAsia"/>
        </w:rPr>
        <w:t>健全多层次社会保障体系</w:t>
      </w:r>
      <w:bookmarkEnd w:id="312"/>
      <w:bookmarkEnd w:id="313"/>
      <w:bookmarkEnd w:id="314"/>
      <w:bookmarkEnd w:id="315"/>
    </w:p>
    <w:p w14:paraId="486BD359">
      <w:pPr>
        <w:ind w:firstLine="640"/>
        <w:rPr>
          <w:rFonts w:cs="Times New Roman"/>
          <w:szCs w:val="32"/>
        </w:rPr>
      </w:pPr>
      <w:bookmarkStart w:id="316" w:name="OLE_LINK47"/>
      <w:r>
        <w:rPr>
          <w:rFonts w:hint="eastAsia" w:cs="Times New Roman"/>
          <w:szCs w:val="32"/>
        </w:rPr>
        <w:t>坚持为人民群众做好事、办实事、解难事，主动适应服务对象变化和困难群众对美好生活的新需求，健全覆盖全民、统筹城乡、公平统一、安全规范、可持续的多层次社会保障体系。</w:t>
      </w:r>
    </w:p>
    <w:bookmarkEnd w:id="316"/>
    <w:p w14:paraId="6B97C6FC">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健全社会保障体系</w:t>
      </w:r>
    </w:p>
    <w:p w14:paraId="38B9A097">
      <w:pPr>
        <w:adjustRightInd w:val="0"/>
        <w:snapToGrid w:val="0"/>
        <w:ind w:firstLine="640"/>
      </w:pPr>
      <w:r>
        <w:rPr>
          <w:rFonts w:hint="eastAsia" w:cs="Times New Roman"/>
          <w:bCs/>
          <w:szCs w:val="32"/>
        </w:rPr>
        <w:t>深化全民参保计划，落实居民参保激励约束机制，持续扩大职工养老保险和医疗保险参保覆盖面，全面取消灵活就业人员、农民工等群体在就业地参保户籍限制。完善养老保险制度体系，扩大年金制度覆盖，发展第三支柱个人养老金，稳步提高退休人员和城乡居民养老待遇。健全多层次医疗保障体系，促进基本医疗保险、大病保险、医疗救助与商业补充保险、慈善救助、工会互助有效衔接，构建全链条医保基金安全监管机制。推动社会救助由“保生存”向“保基本、防风险、促发展”拓展，发展“物质+服务”综合救助模式。深化社会救助制度改革，积极开展服务类救助试点、防止返贫帮扶政策和农村低收入人口常态化帮扶政策衔接并轨试点。健全政府救助与慈善帮扶有效衔接机制，引导企业、社会组织和个人积极参与公益慈善事业，拓展社区慈善发展模式。</w:t>
      </w:r>
    </w:p>
    <w:p w14:paraId="4452A23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推动房地产高质量发展</w:t>
      </w:r>
    </w:p>
    <w:p w14:paraId="3124E368">
      <w:pPr>
        <w:adjustRightInd w:val="0"/>
        <w:snapToGrid w:val="0"/>
        <w:spacing w:before="217" w:beforeLines="50" w:after="217" w:afterLines="50"/>
        <w:ind w:firstLine="640"/>
        <w:rPr>
          <w:rFonts w:eastAsia="楷体_GB2312" w:cs="Times New Roman"/>
          <w:b/>
          <w:szCs w:val="32"/>
        </w:rPr>
      </w:pPr>
      <w:r>
        <w:rPr>
          <w:rFonts w:hint="eastAsia" w:cs="Times New Roman"/>
          <w:bCs/>
          <w:szCs w:val="32"/>
        </w:rPr>
        <w:t>加快构建房地产发展新模式，完善商品房开发、融资、销售等基础制度，因地制宜推广“房票+房源超市”模式。建立多主体供给、多渠道保障、租购并举的住房制度，加大公租房、保障性租赁住房、配售型保障性租赁住房筹集和供给力度。推动安全、舒适、绿色、智慧的“好房子”建设，优化容积率、绿地率、建筑密度等指标，创新推行“零公摊”，加强房屋全生命周期安全管理。鼓励有条件的县市区将稳定就业生活的农业转移人口逐步纳入住房保障政策范围，加强公租房租赁补贴管理，实现依申请应保尽保。</w:t>
      </w:r>
    </w:p>
    <w:p w14:paraId="6F34C9B2">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保障重点群体基本权益</w:t>
      </w:r>
    </w:p>
    <w:p w14:paraId="572AA55A">
      <w:pPr>
        <w:adjustRightInd w:val="0"/>
        <w:snapToGrid w:val="0"/>
        <w:ind w:firstLine="640"/>
        <w:rPr>
          <w:rFonts w:cs="Times New Roman"/>
        </w:rPr>
      </w:pPr>
      <w:r>
        <w:rPr>
          <w:rFonts w:hint="eastAsia" w:cs="Times New Roman"/>
          <w:bCs/>
          <w:szCs w:val="32"/>
        </w:rPr>
        <w:t>保障妇女儿童合法权益，完善残疾人及留守、困境群体社会保障和关爱服务体系。推动妇女事业高质量发展，优化妇女发展环境，建立健全性别平等评估机制，促进妇女高质量就业创业，建设妇女活动中心。贯彻落实儿童优先原则，围绕社会政策、公共服务、权利保障、成长空间、发展环境“五个友好”，全域推进儿童友好建设。推进儿童福利机构优化提质，面向社会残疾儿童及家庭开展替代照料、康复训练、特殊教育等服务，推进建设辐射多县市区的区域性儿童福利机构，建立困境儿童精准分类保障机制。完善残疾人关爱服务体系，提升残疾人补贴标准，做好困难残疾人和重度残疾人集中照护服务。落实退役军人及优抚对象在公共服务体系中优先权益。稳妥推进救助管理区域性中心试点建设，探索救助管理一体化发展模式，扩大优质救助服务辐射范围。</w:t>
      </w:r>
    </w:p>
    <w:p w14:paraId="1A1658EC">
      <w:pPr>
        <w:pStyle w:val="6"/>
        <w:spacing w:before="435" w:after="217"/>
      </w:pPr>
      <w:bookmarkStart w:id="317" w:name="_Toc215270571"/>
      <w:bookmarkStart w:id="318" w:name="_Toc232094422"/>
      <w:bookmarkStart w:id="319" w:name="_Toc227059014"/>
      <w:r>
        <w:rPr>
          <w:rFonts w:hint="eastAsia"/>
        </w:rPr>
        <w:t>推动人口高质量发展</w:t>
      </w:r>
      <w:bookmarkEnd w:id="317"/>
      <w:bookmarkEnd w:id="318"/>
      <w:bookmarkEnd w:id="319"/>
    </w:p>
    <w:p w14:paraId="665E0670">
      <w:pPr>
        <w:ind w:firstLine="640"/>
        <w:rPr>
          <w:rFonts w:cs="Times New Roman"/>
          <w:szCs w:val="32"/>
        </w:rPr>
      </w:pPr>
      <w:r>
        <w:rPr>
          <w:rFonts w:hint="eastAsia" w:cs="Times New Roman"/>
          <w:szCs w:val="32"/>
        </w:rPr>
        <w:t>树立“大人口观”，健全覆盖全人群、全生命周期的人口服务体系，优化完善“一老一小”服务体系，实现从“养老”向“享老”、从“育儿”到“乐育”转变，以人口高质量发展促进经济社会高质量发展。</w:t>
      </w:r>
    </w:p>
    <w:p w14:paraId="4029D31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提升优生优育服务水平</w:t>
      </w:r>
    </w:p>
    <w:p w14:paraId="1F935852">
      <w:pPr>
        <w:widowControl/>
        <w:adjustRightInd w:val="0"/>
        <w:snapToGrid w:val="0"/>
        <w:ind w:firstLine="640"/>
        <w:rPr>
          <w:rFonts w:cs="Times New Roman"/>
          <w:bCs/>
          <w:szCs w:val="32"/>
        </w:rPr>
      </w:pPr>
      <w:r>
        <w:rPr>
          <w:rFonts w:hint="eastAsia" w:cs="Times New Roman"/>
          <w:bCs/>
          <w:szCs w:val="32"/>
        </w:rPr>
        <w:t>落实国家生育支持政策和省生育支持“十条措施”，完善生育支持政策体系和激励机制，</w:t>
      </w:r>
      <w:r>
        <w:rPr>
          <w:rFonts w:cs="Times New Roman"/>
          <w:bCs/>
          <w:szCs w:val="32"/>
        </w:rPr>
        <w:t>构建覆盖婚前、孕前、孕期、新生儿及儿童全周期的优生优育服务体系</w:t>
      </w:r>
      <w:r>
        <w:rPr>
          <w:rFonts w:hint="eastAsia" w:cs="Times New Roman"/>
          <w:bCs/>
          <w:szCs w:val="32"/>
        </w:rPr>
        <w:t>。</w:t>
      </w:r>
      <w:r>
        <w:rPr>
          <w:rFonts w:cs="Times New Roman"/>
          <w:bCs/>
          <w:szCs w:val="32"/>
        </w:rPr>
        <w:t>推进婚育服务融合，推广婚姻登记、婚前医学检查、生育指导</w:t>
      </w:r>
      <w:r>
        <w:rPr>
          <w:rFonts w:hint="eastAsia" w:cs="Times New Roman"/>
          <w:bCs/>
          <w:szCs w:val="32"/>
        </w:rPr>
        <w:t>“</w:t>
      </w:r>
      <w:r>
        <w:rPr>
          <w:rFonts w:cs="Times New Roman"/>
          <w:bCs/>
          <w:szCs w:val="32"/>
        </w:rPr>
        <w:t>一站式</w:t>
      </w:r>
      <w:r>
        <w:rPr>
          <w:rFonts w:hint="eastAsia" w:cs="Times New Roman"/>
          <w:bCs/>
          <w:szCs w:val="32"/>
        </w:rPr>
        <w:t>”</w:t>
      </w:r>
      <w:r>
        <w:rPr>
          <w:rFonts w:cs="Times New Roman"/>
          <w:bCs/>
          <w:szCs w:val="32"/>
        </w:rPr>
        <w:t>服务，力争婚前医学检查率保持在70%以上，孕前优生健康检查目标人群覆盖率85%以上</w:t>
      </w:r>
      <w:r>
        <w:rPr>
          <w:rFonts w:hint="eastAsia" w:cs="Times New Roman"/>
          <w:bCs/>
          <w:szCs w:val="32"/>
        </w:rPr>
        <w:t>。</w:t>
      </w:r>
      <w:r>
        <w:rPr>
          <w:rFonts w:cs="Times New Roman"/>
          <w:bCs/>
          <w:szCs w:val="32"/>
        </w:rPr>
        <w:t>完善生育医疗保障，推动更多成熟安全的产科服务项目纳入医保支付。</w:t>
      </w:r>
      <w:r>
        <w:rPr>
          <w:rFonts w:hint="eastAsia" w:cs="Times New Roman"/>
          <w:bCs/>
          <w:szCs w:val="32"/>
        </w:rPr>
        <w:t>建设生育友好型医院，提升生殖健康服务和辅助生殖能力，推进生育全程医疗保健，</w:t>
      </w:r>
      <w:r>
        <w:rPr>
          <w:rFonts w:hint="eastAsia" w:ascii="仿宋_GB2312" w:hAnsi="Arial" w:cs="Times New Roman"/>
          <w:szCs w:val="32"/>
        </w:rPr>
        <w:t>强化早孕关爱服务、产后关爱服务、母婴安全保障和出生缺陷综合防治</w:t>
      </w:r>
      <w:r>
        <w:rPr>
          <w:rFonts w:hint="eastAsia" w:cs="Times New Roman"/>
          <w:bCs/>
          <w:szCs w:val="32"/>
        </w:rPr>
        <w:t>。加快构建以托育综合服务中心为枢纽，以托育机构、社区嵌入式托育、幼儿园托班、用人单位办托等为网络的“1+N”托育服务体系，打造“15分钟托育圈”。</w:t>
      </w:r>
      <w:r>
        <w:rPr>
          <w:rFonts w:cs="Times New Roman"/>
          <w:bCs/>
          <w:szCs w:val="32"/>
        </w:rPr>
        <w:t>健全儿童关爱保护服务网络，</w:t>
      </w:r>
      <w:r>
        <w:rPr>
          <w:rFonts w:hint="eastAsia" w:cs="Times New Roman"/>
          <w:bCs/>
          <w:szCs w:val="32"/>
        </w:rPr>
        <w:t>深入开展儿科服务提升年活动，</w:t>
      </w:r>
      <w:r>
        <w:rPr>
          <w:rFonts w:hint="eastAsia" w:cs="仿宋_GB2312"/>
          <w:bCs/>
          <w:szCs w:val="32"/>
        </w:rPr>
        <w:t>完善新生儿疾病免费筛查与诊断服务制度，</w:t>
      </w:r>
      <w:r>
        <w:rPr>
          <w:rFonts w:hint="eastAsia" w:cs="Times New Roman"/>
          <w:bCs/>
          <w:szCs w:val="32"/>
        </w:rPr>
        <w:t>加强儿童权益保障</w:t>
      </w:r>
      <w:r>
        <w:rPr>
          <w:rFonts w:cs="Times New Roman"/>
          <w:bCs/>
          <w:szCs w:val="32"/>
        </w:rPr>
        <w:t>。</w:t>
      </w:r>
    </w:p>
    <w:p w14:paraId="72B0022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优化养老服务供给体系</w:t>
      </w:r>
    </w:p>
    <w:p w14:paraId="654F6D21">
      <w:pPr>
        <w:adjustRightInd w:val="0"/>
        <w:snapToGrid w:val="0"/>
        <w:ind w:firstLine="640"/>
      </w:pPr>
      <w:r>
        <w:rPr>
          <w:rFonts w:hint="eastAsia" w:hAnsi="Calibri" w:cs="Times New Roman"/>
          <w:bCs/>
          <w:szCs w:val="32"/>
        </w:rPr>
        <w:t>加强老年宜居环境建设，推进老年友好型社区改造提质，提升老年文化体育服务质量，丰富老年人精神文化生活，营造敬老养老助老社会环境。加强老年健康服务，建立健全长期护理保险制度，满足失能失智人员护理保障需求。</w:t>
      </w:r>
      <w:r>
        <w:rPr>
          <w:rFonts w:hint="eastAsia" w:ascii="仿宋_GB2312" w:hAnsi="仿宋_GB2312" w:cs="仿宋_GB2312"/>
          <w:szCs w:val="32"/>
        </w:rPr>
        <w:t>优化“居家为基础、社区为依托、机构为专业支撑、医养相结合”的养老服务供给格局，</w:t>
      </w:r>
      <w:r>
        <w:rPr>
          <w:rFonts w:hint="eastAsia" w:cs="Times New Roman"/>
          <w:bCs/>
          <w:szCs w:val="32"/>
        </w:rPr>
        <w:t>推进政府引导与市场化运作相结合模式，</w:t>
      </w:r>
      <w:r>
        <w:rPr>
          <w:rFonts w:cs="Times New Roman"/>
          <w:bCs/>
          <w:szCs w:val="32"/>
        </w:rPr>
        <w:t>培育社区嵌入式养老服务机构。</w:t>
      </w:r>
      <w:r>
        <w:rPr>
          <w:rFonts w:hint="eastAsia" w:cs="Times New Roman"/>
          <w:bCs/>
          <w:szCs w:val="32"/>
        </w:rPr>
        <w:t>补齐农村养老服务短板，打造以“一乡一阵地、一村一场所”为支撑的农村养老服务格局，探索发展农村自助互助养老服务。发展银发经济，推进可穿戴设备、服务机器人等智能设备集成应用，拓展旅居养老、文化养老、健康养老等新型消费领域，建设双牌阳明山旅居康养中心，联动</w:t>
      </w:r>
      <w:r>
        <w:rPr>
          <w:rFonts w:hint="eastAsia" w:ascii="仿宋" w:hAnsi="仿宋" w:eastAsia="仿宋" w:cs="微软雅黑"/>
          <w:bCs/>
          <w:szCs w:val="32"/>
        </w:rPr>
        <w:t>崀</w:t>
      </w:r>
      <w:r>
        <w:rPr>
          <w:rFonts w:hint="eastAsia" w:hAnsi="仿宋_GB2312" w:cs="Times New Roman"/>
          <w:bCs/>
          <w:szCs w:val="32"/>
        </w:rPr>
        <w:t>山、九嶷山景区打造</w:t>
      </w:r>
      <w:r>
        <w:rPr>
          <w:rFonts w:hint="eastAsia" w:cs="Times New Roman"/>
          <w:bCs/>
          <w:szCs w:val="32"/>
        </w:rPr>
        <w:t>“湘南康养走廊”，谋划建设生态医疗康养城</w:t>
      </w:r>
      <w:r>
        <w:rPr>
          <w:rFonts w:cs="Times New Roman"/>
          <w:bCs/>
          <w:szCs w:val="32"/>
        </w:rPr>
        <w:t>。</w:t>
      </w:r>
      <w:r>
        <w:rPr>
          <w:rFonts w:hint="eastAsia" w:ascii="仿宋_GB2312" w:hAnsi="仿宋_GB2312" w:cs="仿宋_GB2312"/>
          <w:szCs w:val="32"/>
        </w:rPr>
        <w:t>推动“银龄行动”拓面升级，扩大老年人就业创业服务和老年教育供给，积极开发老龄人力资源，支持老年人参与文明实践、公益慈善、志愿服务等事业，推动老年人实现老有所为。</w:t>
      </w:r>
      <w:r>
        <w:rPr>
          <w:rFonts w:hint="eastAsia" w:cs="Times New Roman"/>
          <w:bCs/>
          <w:szCs w:val="32"/>
        </w:rPr>
        <w:t>加大老年人安全和权益保障力度。到</w:t>
      </w:r>
      <w:r>
        <w:rPr>
          <w:rFonts w:cs="Times New Roman"/>
          <w:bCs/>
          <w:szCs w:val="32"/>
        </w:rPr>
        <w:t>2030</w:t>
      </w:r>
      <w:r>
        <w:rPr>
          <w:rFonts w:hint="eastAsia" w:cs="Times New Roman"/>
          <w:bCs/>
          <w:szCs w:val="32"/>
        </w:rPr>
        <w:t>年，三级养老服务网络进一步健全，每个县市区建有1所县级失能失智集中照护机构，所有街道及60%的乡镇至少建有1所综合养老服务中心，养老机构护理型床位占比达80%。</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991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331A789C">
            <w:pPr>
              <w:spacing w:before="217" w:beforeLines="50" w:after="217" w:afterLines="50" w:line="440" w:lineRule="exact"/>
              <w:ind w:firstLine="0" w:firstLineChars="0"/>
              <w:jc w:val="center"/>
              <w:outlineLvl w:val="3"/>
              <w:rPr>
                <w:rFonts w:cs="Times New Roman"/>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26</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人口高质量发展行动</w:t>
            </w:r>
          </w:p>
        </w:tc>
      </w:tr>
      <w:tr w14:paraId="7662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08C76E77">
            <w:pPr>
              <w:spacing w:line="440" w:lineRule="exact"/>
              <w:ind w:firstLine="482"/>
              <w:rPr>
                <w:rFonts w:cs="Times New Roman"/>
                <w:b/>
                <w:kern w:val="0"/>
                <w:sz w:val="24"/>
                <w:szCs w:val="22"/>
                <w14:ligatures w14:val="none"/>
              </w:rPr>
            </w:pPr>
            <w:r>
              <w:rPr>
                <w:rFonts w:hint="eastAsia" w:cs="Times New Roman"/>
                <w:b/>
                <w:kern w:val="0"/>
                <w:sz w:val="24"/>
                <w:szCs w:val="22"/>
                <w14:ligatures w14:val="none"/>
              </w:rPr>
              <w:t>生育观念引导行动。</w:t>
            </w:r>
            <w:r>
              <w:rPr>
                <w:rFonts w:hint="eastAsia" w:cs="Times New Roman"/>
                <w:bCs/>
                <w:kern w:val="0"/>
                <w:sz w:val="24"/>
                <w:szCs w:val="22"/>
                <w14:ligatures w14:val="none"/>
              </w:rPr>
              <w:t>每个县市区打造1个新型婚育文化宣传阵地。开设“永州婚育故事”专栏，开展“乡贤话婚育”巡回宣讲。上线“永州婚恋公益平台”，每年举办不低于</w:t>
            </w:r>
            <w:r>
              <w:rPr>
                <w:rFonts w:cs="Times New Roman"/>
                <w:bCs/>
                <w:kern w:val="0"/>
                <w:sz w:val="24"/>
                <w:szCs w:val="22"/>
                <w14:ligatures w14:val="none"/>
              </w:rPr>
              <w:t>6</w:t>
            </w:r>
            <w:r>
              <w:rPr>
                <w:rFonts w:hint="eastAsia" w:cs="Times New Roman"/>
                <w:bCs/>
                <w:kern w:val="0"/>
                <w:sz w:val="24"/>
                <w:szCs w:val="22"/>
                <w14:ligatures w14:val="none"/>
              </w:rPr>
              <w:t>场“青年交友联谊会”。建立“外出务工青年婚恋档案”，组织“家乡相亲会”，对“低彩礼家庭”给予村级集体经济分红奖励。</w:t>
            </w:r>
          </w:p>
          <w:p w14:paraId="65E58945">
            <w:pPr>
              <w:spacing w:line="440" w:lineRule="exact"/>
              <w:ind w:firstLine="482"/>
              <w:rPr>
                <w:rFonts w:cs="Times New Roman"/>
                <w:b/>
                <w:kern w:val="0"/>
                <w:szCs w:val="22"/>
                <w14:ligatures w14:val="none"/>
              </w:rPr>
            </w:pPr>
            <w:r>
              <w:rPr>
                <w:rFonts w:hint="eastAsia" w:cs="Times New Roman"/>
                <w:b/>
                <w:kern w:val="0"/>
                <w:sz w:val="24"/>
                <w:szCs w:val="22"/>
                <w14:ligatures w14:val="none"/>
              </w:rPr>
              <w:t>出生人口素质提升行动。</w:t>
            </w:r>
            <w:r>
              <w:rPr>
                <w:rFonts w:hint="eastAsia" w:cs="Times New Roman"/>
                <w:bCs/>
                <w:kern w:val="0"/>
                <w:sz w:val="24"/>
                <w:szCs w:val="22"/>
                <w14:ligatures w14:val="none"/>
              </w:rPr>
              <w:t>推进优生优育全程服务，实施母婴安全行动提升计划，提供以产妇为中心的人性化分娩服务。实施出生缺陷防治能力提升计划，扩大新生儿疾病筛查病种范围和出生缺陷救治救助范围。</w:t>
            </w:r>
          </w:p>
          <w:p w14:paraId="31D00531">
            <w:pPr>
              <w:spacing w:line="440" w:lineRule="exact"/>
              <w:ind w:firstLine="482"/>
              <w:rPr>
                <w:rFonts w:cs="Times New Roman"/>
                <w:bCs/>
                <w:kern w:val="0"/>
                <w:szCs w:val="22"/>
                <w14:ligatures w14:val="none"/>
              </w:rPr>
            </w:pPr>
            <w:r>
              <w:rPr>
                <w:rFonts w:hint="eastAsia" w:cs="Times New Roman"/>
                <w:b/>
                <w:kern w:val="0"/>
                <w:sz w:val="24"/>
                <w:szCs w:val="22"/>
                <w14:ligatures w14:val="none"/>
              </w:rPr>
              <w:t>托育服务扩容行动。</w:t>
            </w:r>
            <w:r>
              <w:rPr>
                <w:rFonts w:hint="eastAsia" w:cs="Times New Roman"/>
                <w:bCs/>
                <w:kern w:val="0"/>
                <w:sz w:val="24"/>
                <w:szCs w:val="22"/>
                <w14:ligatures w14:val="none"/>
              </w:rPr>
              <w:t>争取永州纳入国家生育友好型城市，申报以城市为单元整体推进普惠托育服务发展项目。到2030年，3岁以下婴幼儿入托率达20%。推动医疗机构与托育机构签约合作，加强农村妇幼保健人员培训，支持社区、用人单位兴办非营利性托育。</w:t>
            </w:r>
          </w:p>
          <w:p w14:paraId="1463FC93">
            <w:pPr>
              <w:spacing w:line="440" w:lineRule="exact"/>
              <w:ind w:firstLine="482"/>
              <w:rPr>
                <w:rFonts w:cs="Times New Roman"/>
                <w:b/>
                <w:kern w:val="0"/>
                <w:szCs w:val="22"/>
                <w14:ligatures w14:val="none"/>
              </w:rPr>
            </w:pPr>
            <w:r>
              <w:rPr>
                <w:rFonts w:hint="eastAsia" w:cs="Times New Roman"/>
                <w:b/>
                <w:kern w:val="0"/>
                <w:sz w:val="24"/>
                <w:szCs w:val="22"/>
                <w14:ligatures w14:val="none"/>
              </w:rPr>
              <w:t>儿童健康关爱行动。</w:t>
            </w:r>
            <w:r>
              <w:rPr>
                <w:rFonts w:hint="eastAsia" w:cs="Times New Roman"/>
                <w:bCs/>
                <w:kern w:val="0"/>
                <w:sz w:val="24"/>
                <w:szCs w:val="22"/>
                <w14:ligatures w14:val="none"/>
              </w:rPr>
              <w:t>开展儿科、精神卫生服务年活动，实施孤独症儿童关爱促进行动。加强少年儿童心理卫生门诊建设，加强中小学生常见病防治，建立筛、查、诊、治、康一体健康促进机制。谋划市级福利综合服务设施项目（包括儿童福利院、未成年人保护中心、困境儿童委托照护中心及心理健康服务中心）。</w:t>
            </w:r>
          </w:p>
          <w:p w14:paraId="5ADD49B9">
            <w:pPr>
              <w:spacing w:line="440" w:lineRule="exact"/>
              <w:ind w:firstLine="458"/>
              <w:rPr>
                <w:rFonts w:hint="eastAsia" w:ascii="仿宋" w:hAnsi="仿宋" w:cs="仿宋"/>
                <w:kern w:val="0"/>
                <w:szCs w:val="20"/>
                <w14:ligatures w14:val="none"/>
              </w:rPr>
            </w:pPr>
            <w:r>
              <w:rPr>
                <w:rFonts w:hint="eastAsia" w:cs="Times New Roman"/>
                <w:b/>
                <w:spacing w:val="-6"/>
                <w:kern w:val="0"/>
                <w:sz w:val="24"/>
                <w:szCs w:val="22"/>
                <w14:ligatures w14:val="none"/>
              </w:rPr>
              <w:t>养老服务体系建设行动。</w:t>
            </w:r>
            <w:r>
              <w:rPr>
                <w:rFonts w:hint="eastAsia" w:cs="Times New Roman"/>
                <w:bCs/>
                <w:spacing w:val="-6"/>
                <w:kern w:val="0"/>
                <w:sz w:val="24"/>
                <w:szCs w:val="22"/>
                <w14:ligatures w14:val="none"/>
              </w:rPr>
              <w:t>建设中心城区老年助餐点，城市社区助餐点不低于60个、村级助餐点不低于100个。建设市级爱晚学校，提供老年教育、职业化培训等服务。推动建设</w:t>
            </w:r>
            <w:r>
              <w:rPr>
                <w:rFonts w:hint="eastAsia" w:cs="Times New Roman"/>
                <w:bCs/>
                <w:kern w:val="0"/>
                <w:sz w:val="24"/>
                <w:szCs w:val="22"/>
                <w14:ligatures w14:val="none"/>
              </w:rPr>
              <w:t>生态医疗康养城项目，配备现代化医疗及养老配套设施。</w:t>
            </w:r>
          </w:p>
        </w:tc>
      </w:tr>
    </w:tbl>
    <w:p w14:paraId="30380861">
      <w:pPr>
        <w:widowControl/>
        <w:spacing w:line="240" w:lineRule="auto"/>
        <w:ind w:firstLine="0" w:firstLineChars="0"/>
        <w:jc w:val="left"/>
        <w:rPr>
          <w:rFonts w:ascii="仿宋_GB2312" w:hAnsi="Calibri" w:cs="Times New Roman"/>
          <w:szCs w:val="22"/>
        </w:rPr>
      </w:pPr>
      <w:r>
        <w:rPr>
          <w:rFonts w:ascii="仿宋_GB2312" w:hAnsi="Calibri" w:cs="Times New Roman"/>
          <w:szCs w:val="22"/>
        </w:rPr>
        <w:br w:type="page"/>
      </w:r>
    </w:p>
    <w:p w14:paraId="70A64DC6">
      <w:pPr>
        <w:pStyle w:val="5"/>
      </w:pPr>
      <w:bookmarkStart w:id="320" w:name="OLE_LINK65"/>
      <w:bookmarkStart w:id="321" w:name="_Toc232094423"/>
      <w:bookmarkStart w:id="322" w:name="_Toc214617468"/>
      <w:bookmarkStart w:id="323" w:name="_Toc212282439"/>
      <w:bookmarkStart w:id="324" w:name="_Hlk215302926"/>
      <w:r>
        <w:rPr>
          <w:rFonts w:hint="eastAsia"/>
        </w:rPr>
        <w:t>以碳达峰碳中和为牵引</w:t>
      </w:r>
      <w:bookmarkEnd w:id="320"/>
      <w:r>
        <w:rPr>
          <w:rFonts w:hint="eastAsia"/>
        </w:rPr>
        <w:t>，加快建设人与自然和谐共生的美丽永州</w:t>
      </w:r>
      <w:bookmarkEnd w:id="321"/>
      <w:bookmarkEnd w:id="322"/>
      <w:bookmarkEnd w:id="323"/>
    </w:p>
    <w:bookmarkEnd w:id="324"/>
    <w:p w14:paraId="37028B48">
      <w:pPr>
        <w:adjustRightInd w:val="0"/>
        <w:snapToGrid w:val="0"/>
        <w:ind w:firstLine="640"/>
        <w:rPr>
          <w:rFonts w:cs="Times New Roman"/>
          <w:szCs w:val="20"/>
          <w14:ligatures w14:val="none"/>
        </w:rPr>
      </w:pPr>
    </w:p>
    <w:p w14:paraId="77A627CA">
      <w:pPr>
        <w:adjustRightInd w:val="0"/>
        <w:snapToGrid w:val="0"/>
        <w:ind w:firstLine="640"/>
        <w:rPr>
          <w:rFonts w:cs="Times New Roman"/>
          <w:szCs w:val="20"/>
          <w14:ligatures w14:val="none"/>
        </w:rPr>
      </w:pPr>
      <w:r>
        <w:rPr>
          <w:rFonts w:hint="eastAsia" w:cs="Times New Roman"/>
          <w:szCs w:val="20"/>
          <w14:ligatures w14:val="none"/>
        </w:rPr>
        <w:t>牢记“守护好一江碧水”的殷殷嘱托，扛牢保护湘江源头政治责任，协同推进高水平保护和高质量发展，全方位、全地域、</w:t>
      </w:r>
      <w:r>
        <w:rPr>
          <w:rFonts w:hint="eastAsia" w:cs="Times New Roman"/>
          <w:spacing w:val="-6"/>
          <w:szCs w:val="20"/>
          <w14:ligatures w14:val="none"/>
        </w:rPr>
        <w:t>全社会建设美丽永州，让潇湘大地蓝天永驻、青山常在、绿水长流。</w:t>
      </w:r>
    </w:p>
    <w:p w14:paraId="3C515A08">
      <w:pPr>
        <w:pStyle w:val="6"/>
        <w:spacing w:before="435" w:after="217"/>
      </w:pPr>
      <w:bookmarkStart w:id="325" w:name="_Toc212282441"/>
      <w:bookmarkStart w:id="326" w:name="_Toc215270573"/>
      <w:bookmarkStart w:id="327" w:name="_Toc214617470"/>
      <w:bookmarkStart w:id="328" w:name="_Toc215259667"/>
      <w:bookmarkStart w:id="329" w:name="_Toc232094424"/>
      <w:bookmarkStart w:id="330" w:name="_Toc214617469"/>
      <w:bookmarkStart w:id="331" w:name="_Toc212282440"/>
      <w:r>
        <w:rPr>
          <w:rFonts w:hint="eastAsia"/>
        </w:rPr>
        <w:t>促进生态环境品质提升</w:t>
      </w:r>
      <w:bookmarkEnd w:id="325"/>
      <w:bookmarkEnd w:id="326"/>
      <w:bookmarkEnd w:id="327"/>
      <w:bookmarkEnd w:id="328"/>
      <w:bookmarkEnd w:id="329"/>
    </w:p>
    <w:p w14:paraId="17F7C33E">
      <w:pPr>
        <w:adjustRightInd w:val="0"/>
        <w:snapToGrid w:val="0"/>
        <w:ind w:firstLine="640"/>
        <w:rPr>
          <w:rFonts w:cs="Times New Roman"/>
          <w:szCs w:val="20"/>
          <w14:ligatures w14:val="none"/>
        </w:rPr>
      </w:pPr>
      <w:r>
        <w:rPr>
          <w:rFonts w:hint="eastAsia" w:cs="Times New Roman"/>
          <w:szCs w:val="20"/>
          <w14:ligatures w14:val="none"/>
        </w:rPr>
        <w:t>全面落实精准科学依法治污要求，以更高标准、更严要求、更实举措打好污染防治攻坚战，厚植美丽永州建设的生态底色和质量成色。</w:t>
      </w:r>
    </w:p>
    <w:p w14:paraId="1709EF4D">
      <w:pPr>
        <w:pStyle w:val="7"/>
        <w:spacing w:before="217" w:after="217"/>
        <w:rPr>
          <w:b w:val="0"/>
        </w:rPr>
      </w:pPr>
      <w:bookmarkStart w:id="332" w:name="_Toc215259668"/>
      <w:r>
        <w:rPr>
          <w:rFonts w:hint="eastAsia"/>
        </w:rPr>
        <w:t>第一节 深入推进大气污染防治</w:t>
      </w:r>
      <w:bookmarkEnd w:id="332"/>
    </w:p>
    <w:p w14:paraId="732E2547">
      <w:pPr>
        <w:adjustRightInd w:val="0"/>
        <w:snapToGrid w:val="0"/>
        <w:ind w:firstLine="640"/>
        <w:rPr>
          <w:rFonts w:cs="Times New Roman"/>
          <w:szCs w:val="20"/>
          <w14:ligatures w14:val="none"/>
        </w:rPr>
      </w:pPr>
      <w:r>
        <w:rPr>
          <w:rFonts w:hint="eastAsia" w:cs="Times New Roman"/>
          <w:szCs w:val="20"/>
          <w14:ligatures w14:val="none"/>
        </w:rPr>
        <w:t>持续推进守护蓝天攻坚行动，加强细颗粒物（PM</w:t>
      </w:r>
      <w:r>
        <w:rPr>
          <w:rFonts w:hint="eastAsia" w:cs="Times New Roman"/>
          <w:szCs w:val="20"/>
          <w:vertAlign w:val="subscript"/>
          <w14:ligatures w14:val="none"/>
        </w:rPr>
        <w:t>2.5</w:t>
      </w:r>
      <w:r>
        <w:rPr>
          <w:rFonts w:hint="eastAsia" w:cs="Times New Roman"/>
          <w:szCs w:val="20"/>
          <w14:ligatures w14:val="none"/>
        </w:rPr>
        <w:t>）和臭氧（O</w:t>
      </w:r>
      <w:r>
        <w:rPr>
          <w:rFonts w:hint="eastAsia" w:cs="Times New Roman"/>
          <w:szCs w:val="20"/>
          <w:vertAlign w:val="subscript"/>
          <w14:ligatures w14:val="none"/>
        </w:rPr>
        <w:t>3</w:t>
      </w:r>
      <w:r>
        <w:rPr>
          <w:rFonts w:hint="eastAsia" w:cs="Times New Roman"/>
          <w:szCs w:val="20"/>
          <w14:ligatures w14:val="none"/>
        </w:rPr>
        <w:t>）协同控制，推进挥发性有机物（VOCs）、氮氧化物（NOx）等多污染物协同减排。强化大气污染多源共治，开展水泥行业及燃煤锅炉超低排放改造，严抓机动车尾气排放检测监管，加快老旧柴油货车和非道路移动机械淘汰更新，加强工地、道路扬尘精细化管控，规范餐饮油烟排放管理，精准管控秸秆露天焚烧，实行烟花爆竹禁限燃放。加强区域大气污染防治，完善与衡阳、郴州、邵阳等周边城市联防联控机制。到2030年，基本消除重污染天气，美丽蓝天建设取得明显成效。</w:t>
      </w:r>
    </w:p>
    <w:p w14:paraId="4C58F97F">
      <w:pPr>
        <w:pStyle w:val="7"/>
        <w:spacing w:before="217" w:after="217"/>
        <w:rPr>
          <w:b w:val="0"/>
        </w:rPr>
      </w:pPr>
      <w:bookmarkStart w:id="333" w:name="_Toc215259669"/>
      <w:r>
        <w:rPr>
          <w:rFonts w:hint="eastAsia"/>
        </w:rPr>
        <w:t>第二节 持续改善水环境质量</w:t>
      </w:r>
      <w:bookmarkEnd w:id="333"/>
    </w:p>
    <w:p w14:paraId="0C685BC6">
      <w:pPr>
        <w:adjustRightInd w:val="0"/>
        <w:snapToGrid w:val="0"/>
        <w:ind w:firstLine="640"/>
        <w:rPr>
          <w:rFonts w:cs="Times New Roman"/>
          <w:szCs w:val="20"/>
          <w14:ligatures w14:val="none"/>
        </w:rPr>
      </w:pPr>
      <w:r>
        <w:rPr>
          <w:rFonts w:hint="eastAsia" w:cs="Times New Roman"/>
          <w:szCs w:val="20"/>
          <w14:ligatures w14:val="none"/>
        </w:rPr>
        <w:t>全面落实河湖长制，统筹水资源、水环境、水生态治理，促进人水和谐。实行水资源消耗总量和强度双控。推动工业源、生活源、农业源“三源齐控”，加强工业园区废水与城乡生活污水治理，深化农业面源污染整治。基本消除城乡黑臭水体并形成长效机制。加强饮用水水源地规范化建设和环境问题专项整治，确保饮用水安全。协同推进河道整治、流域联治、水岸同治，持续深化入河排污口排查整治和监督管理。强化枯水期、汛期、高温期水环境质量管理，提高蓝藻水华防控能力。到2030年，城市生活污水集中收集率达73%以上，美丽河湖建成率达70%以上。</w:t>
      </w:r>
    </w:p>
    <w:p w14:paraId="1A957E38">
      <w:pPr>
        <w:pStyle w:val="7"/>
        <w:spacing w:before="217" w:after="217"/>
        <w:rPr>
          <w:b w:val="0"/>
        </w:rPr>
      </w:pPr>
      <w:bookmarkStart w:id="334" w:name="_Toc215259670"/>
      <w:r>
        <w:rPr>
          <w:rFonts w:hint="eastAsia"/>
        </w:rPr>
        <w:t>第三节 强化土壤污染风险管控</w:t>
      </w:r>
      <w:bookmarkEnd w:id="334"/>
    </w:p>
    <w:p w14:paraId="7417E22A">
      <w:pPr>
        <w:adjustRightInd w:val="0"/>
        <w:snapToGrid w:val="0"/>
        <w:ind w:firstLine="640"/>
        <w:rPr>
          <w:rFonts w:cs="Times New Roman"/>
          <w:szCs w:val="20"/>
          <w14:ligatures w14:val="none"/>
        </w:rPr>
      </w:pPr>
      <w:r>
        <w:rPr>
          <w:rFonts w:hint="eastAsia" w:cs="Times New Roman"/>
          <w:szCs w:val="20"/>
          <w14:ligatures w14:val="none"/>
        </w:rPr>
        <w:t>实施土壤全生命周期管理，构建土壤污染“查—防—控—治—评”全过程管理体系。深入开展土壤污染源头防控行动，严控在产企业、工业园区等新增土壤污染，深入开展历史遗留锰、锑等重金属废渣排查治理。加强农用地土壤镉、砷、锑等重金属污染溯源和整治，推进受污染耕地安全利用和风险管控。严格建设用地准入管理，加强污染地块状况调查、风险评估及管控修复，强化土壤污染重点建设用地生态环境监管。深化地下水污染防治，严控重点矿区、化工园区、危险废物处置场等地下水污染防治重点区环境风险。到2030年，受污染耕地安全利用率达95%以上，建设用地安全利用得到有效保障。</w:t>
      </w:r>
    </w:p>
    <w:p w14:paraId="534C4B76">
      <w:pPr>
        <w:pStyle w:val="7"/>
        <w:spacing w:before="217" w:after="217"/>
        <w:rPr>
          <w:b w:val="0"/>
        </w:rPr>
      </w:pPr>
      <w:bookmarkStart w:id="335" w:name="_Toc215259671"/>
      <w:r>
        <w:rPr>
          <w:rFonts w:hint="eastAsia"/>
        </w:rPr>
        <w:t>第四节 加强固体废物和新污染物治理</w:t>
      </w:r>
      <w:bookmarkEnd w:id="335"/>
    </w:p>
    <w:p w14:paraId="30F7BE6B">
      <w:pPr>
        <w:adjustRightInd w:val="0"/>
        <w:snapToGrid w:val="0"/>
        <w:ind w:firstLine="640"/>
        <w:rPr>
          <w:rFonts w:cs="Times New Roman"/>
          <w:szCs w:val="20"/>
          <w14:ligatures w14:val="none"/>
        </w:rPr>
      </w:pPr>
      <w:r>
        <w:rPr>
          <w:rFonts w:hint="eastAsia" w:cs="Times New Roman"/>
          <w:szCs w:val="20"/>
          <w14:ligatures w14:val="none"/>
        </w:rPr>
        <w:t>全面推进“无废城市”建设，加强固体废物减量化、资源化和无害化处理。建立完善城乡生活垃圾分类收集处理体系，推进建筑垃圾及农业废弃物规范化管理和资源化利用，强化塑料污染全链条治理。增强生活垃圾焚烧飞灰、危险化学品等危险废物利用处置能力，完善危险废物监管体系。统筹推进新污染物治理，以持久性有机污染物、内分泌干扰物、抗生素和微塑料等为重点，持续开展化学物质环境信息调查。构建完善新污染物环境监测网络，加强新污染物治理科技支撑和基础能力建设。严守“一废一库一重”生态环境风险防控底线。到2030年，“无废城市”建设比例达60%，大宗工业固体废物综合利用率达60%。</w:t>
      </w:r>
    </w:p>
    <w:tbl>
      <w:tblPr>
        <w:tblStyle w:val="30"/>
        <w:tblW w:w="5000" w:type="pct"/>
        <w:jc w:val="center"/>
        <w:tblLayout w:type="autofit"/>
        <w:tblCellMar>
          <w:top w:w="0" w:type="dxa"/>
          <w:left w:w="0" w:type="dxa"/>
          <w:bottom w:w="0" w:type="dxa"/>
          <w:right w:w="0" w:type="dxa"/>
        </w:tblCellMar>
      </w:tblPr>
      <w:tblGrid>
        <w:gridCol w:w="9070"/>
      </w:tblGrid>
      <w:tr w14:paraId="55C0B08B">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2B50CC77">
            <w:pPr>
              <w:spacing w:before="217" w:beforeLines="50" w:after="217" w:afterLines="50" w:line="440" w:lineRule="exact"/>
              <w:ind w:firstLine="0" w:firstLineChars="0"/>
              <w:jc w:val="center"/>
              <w:outlineLvl w:val="3"/>
              <w:rPr>
                <w:rFonts w:cs="Times New Roman"/>
                <w:b/>
                <w:color w:val="000000"/>
                <w:szCs w:val="28"/>
              </w:rPr>
            </w:pPr>
            <w:bookmarkStart w:id="336" w:name="_Hlk216903810"/>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27</w:t>
            </w:r>
            <w:r>
              <w:rPr>
                <w:rFonts w:hint="eastAsia" w:cs="Times New Roman"/>
                <w:b/>
                <w:color w:val="000000"/>
                <w:szCs w:val="28"/>
              </w:rPr>
              <w:fldChar w:fldCharType="end"/>
            </w:r>
            <w:r>
              <w:rPr>
                <w:rFonts w:hint="eastAsia" w:cs="Times New Roman"/>
                <w:b/>
                <w:color w:val="000000"/>
                <w:szCs w:val="28"/>
              </w:rPr>
              <w:t xml:space="preserve"> 污染防治攻坚行动</w:t>
            </w:r>
          </w:p>
        </w:tc>
      </w:tr>
      <w:tr w14:paraId="50CCA7CA">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C41B0FE">
            <w:pPr>
              <w:spacing w:line="440" w:lineRule="exact"/>
              <w:ind w:firstLine="482"/>
              <w:rPr>
                <w:rFonts w:cs="Times New Roman"/>
                <w:bCs/>
                <w:sz w:val="24"/>
              </w:rPr>
            </w:pPr>
            <w:r>
              <w:rPr>
                <w:rFonts w:hint="eastAsia" w:cs="Times New Roman"/>
                <w:b/>
                <w:bCs/>
                <w:sz w:val="24"/>
              </w:rPr>
              <w:t>蓝天白云守护行动。</w:t>
            </w:r>
            <w:r>
              <w:rPr>
                <w:rFonts w:hint="eastAsia" w:cs="Times New Roman"/>
                <w:bCs/>
                <w:sz w:val="24"/>
              </w:rPr>
              <w:t>完成烟叶烘干烤房“电代煤”和燃气锅炉低氮改造任务，淘汰35蒸吨/小时及以下燃煤锅炉。大力推广涉VOCs企业使用低（无）VOCs含量的水性漆等原辅料，配套改进生产工艺。推动新建涉及VOCs排放的工业企业入园区，实行区域内VOCs排放等量削减替代。划分河西、河东、永州大道、零陵区、永州经开区五个重点管控区域，进行扬尘治理和道路保洁。完善环境空气质量自动监测系统，重点加强</w:t>
            </w:r>
            <w:r>
              <w:rPr>
                <w:rFonts w:cs="Times New Roman"/>
                <w:bCs/>
                <w:sz w:val="24"/>
              </w:rPr>
              <w:t>PM</w:t>
            </w:r>
            <w:r>
              <w:rPr>
                <w:rFonts w:hint="eastAsia" w:cs="Times New Roman"/>
                <w:bCs/>
                <w:sz w:val="24"/>
                <w:vertAlign w:val="subscript"/>
              </w:rPr>
              <w:t>2.5</w:t>
            </w:r>
            <w:r>
              <w:rPr>
                <w:rFonts w:cs="Times New Roman"/>
                <w:bCs/>
                <w:sz w:val="24"/>
              </w:rPr>
              <w:t>监测能力建设。</w:t>
            </w:r>
          </w:p>
          <w:p w14:paraId="5F2FDAB6">
            <w:pPr>
              <w:spacing w:line="440" w:lineRule="exact"/>
              <w:ind w:firstLine="482"/>
              <w:rPr>
                <w:rFonts w:cs="Times New Roman"/>
                <w:bCs/>
                <w:sz w:val="24"/>
              </w:rPr>
            </w:pPr>
            <w:r>
              <w:rPr>
                <w:rFonts w:hint="eastAsia" w:cs="Times New Roman"/>
                <w:b/>
                <w:bCs/>
                <w:sz w:val="24"/>
              </w:rPr>
              <w:t>碧波绿水守护行动。</w:t>
            </w:r>
            <w:r>
              <w:rPr>
                <w:rFonts w:hint="eastAsia" w:cs="Times New Roman"/>
                <w:bCs/>
                <w:sz w:val="24"/>
              </w:rPr>
              <w:t>持续开展省级及以上工业集聚区专项整治行动，推动园区工业污水全收集、全处理、全监控、实现稳定达标。全面开展城镇生活污水收集系统问题排查，重点攻坚冷水滩、零陵、祁阳的污水处理厂。鼓励通过生态湿地、栽植水生植物等生态净化方式，加快消除农村黑臭水体。</w:t>
            </w:r>
          </w:p>
          <w:p w14:paraId="49E65B2C">
            <w:pPr>
              <w:spacing w:line="440" w:lineRule="exact"/>
              <w:ind w:firstLine="482"/>
              <w:rPr>
                <w:rFonts w:cs="Times New Roman"/>
                <w:bCs/>
                <w:sz w:val="24"/>
              </w:rPr>
            </w:pPr>
            <w:r>
              <w:rPr>
                <w:rFonts w:hint="eastAsia" w:cs="Times New Roman"/>
                <w:b/>
                <w:bCs/>
                <w:sz w:val="24"/>
              </w:rPr>
              <w:t>一方净土守护行动。</w:t>
            </w:r>
            <w:r>
              <w:rPr>
                <w:rFonts w:hint="eastAsia" w:cs="Times New Roman"/>
                <w:bCs/>
                <w:sz w:val="24"/>
              </w:rPr>
              <w:t>加大优先保护类耕地保护力度，大力推广科学施肥及合理用药，对工矿企业周边的水稻等敏感作物开展重金属专项检测。加强地下水水源补给区污染土壤环境质量监测，开展涉重产业园等工业集聚区地下水环境状况调查评估及修复试点。</w:t>
            </w:r>
          </w:p>
          <w:p w14:paraId="254485C5">
            <w:pPr>
              <w:spacing w:line="440" w:lineRule="exact"/>
              <w:ind w:firstLine="482"/>
              <w:rPr>
                <w:rFonts w:cs="Times New Roman"/>
                <w:bCs/>
                <w:sz w:val="24"/>
              </w:rPr>
            </w:pPr>
            <w:r>
              <w:rPr>
                <w:rFonts w:hint="eastAsia" w:cs="Times New Roman"/>
                <w:b/>
                <w:bCs/>
                <w:sz w:val="24"/>
              </w:rPr>
              <w:t>“无废城市”建设行动。</w:t>
            </w:r>
            <w:r>
              <w:rPr>
                <w:rFonts w:hint="eastAsia" w:cs="Times New Roman"/>
                <w:bCs/>
                <w:sz w:val="24"/>
              </w:rPr>
              <w:t>推进永州市小微企业危险废物集中收集试点项目，推动祁阳建筑垃圾处置工程建设，完成2024年前已停用生活垃圾填埋场封场。充分利用永州市静脉产业园的载体优势，推进固体废弃物协同处理处置，加速向循环经济模式转变。</w:t>
            </w:r>
          </w:p>
        </w:tc>
      </w:tr>
      <w:bookmarkEnd w:id="336"/>
    </w:tbl>
    <w:p w14:paraId="564DC653">
      <w:pPr>
        <w:pStyle w:val="7"/>
        <w:spacing w:before="217" w:after="217" w:line="550" w:lineRule="exact"/>
        <w:rPr>
          <w:b w:val="0"/>
        </w:rPr>
      </w:pPr>
      <w:bookmarkStart w:id="337" w:name="_Toc215259672"/>
      <w:r>
        <w:rPr>
          <w:rFonts w:hint="eastAsia"/>
        </w:rPr>
        <w:t>第五节 健全生态环境治理体系</w:t>
      </w:r>
      <w:bookmarkEnd w:id="337"/>
    </w:p>
    <w:p w14:paraId="00BE451C">
      <w:pPr>
        <w:adjustRightInd w:val="0"/>
        <w:snapToGrid w:val="0"/>
        <w:spacing w:line="550" w:lineRule="exact"/>
        <w:ind w:firstLine="640"/>
        <w:rPr>
          <w:rFonts w:cs="Times New Roman"/>
          <w:szCs w:val="20"/>
          <w14:ligatures w14:val="none"/>
        </w:rPr>
      </w:pPr>
      <w:r>
        <w:rPr>
          <w:rFonts w:hint="eastAsia" w:cs="Times New Roman"/>
          <w:szCs w:val="20"/>
          <w14:ligatures w14:val="none"/>
        </w:rPr>
        <w:t>落实企业环境治理主体责任，全面实行以排污许可制为核心的固定污染源监管制度，实施排污许可“一证式”管理。巩固生态环境机构监测监察执法垂直管理制度改革成果，深化“双随机、一公开”环境监管模式，持续开展生态环境公益诉讼检察。建立生态环境风险台账与预警体系，推动生态环境风险管控从“事后处理”向“事前预防”转变。加大生态修复和污染治理投入，设立生态保护基金支持重点项目。推广环境污染第三方治理、合同能源管理等模式。健全环境治理信用体系，完善环境信息依法披露制度，加大环境信息公开力度。开展县域生态环境治理现代化试点。“十五五”期间，生态环境满意度保持在95%以上。</w:t>
      </w:r>
    </w:p>
    <w:p w14:paraId="1E6DE651">
      <w:pPr>
        <w:pStyle w:val="6"/>
        <w:spacing w:before="435" w:after="217"/>
      </w:pPr>
      <w:bookmarkStart w:id="338" w:name="_Toc214617471"/>
      <w:bookmarkStart w:id="339" w:name="_Toc212282442"/>
      <w:bookmarkStart w:id="340" w:name="_Toc215270574"/>
      <w:bookmarkStart w:id="341" w:name="_Toc215259673"/>
      <w:bookmarkStart w:id="342" w:name="_Toc232094425"/>
      <w:r>
        <w:rPr>
          <w:rFonts w:hint="eastAsia"/>
        </w:rPr>
        <w:t>深入推进生态系统</w:t>
      </w:r>
      <w:bookmarkEnd w:id="338"/>
      <w:bookmarkEnd w:id="339"/>
      <w:r>
        <w:rPr>
          <w:rFonts w:hint="eastAsia"/>
        </w:rPr>
        <w:t>优化</w:t>
      </w:r>
      <w:bookmarkEnd w:id="340"/>
      <w:bookmarkEnd w:id="341"/>
      <w:bookmarkEnd w:id="342"/>
    </w:p>
    <w:p w14:paraId="79296C2B">
      <w:pPr>
        <w:adjustRightInd w:val="0"/>
        <w:snapToGrid w:val="0"/>
        <w:spacing w:line="550" w:lineRule="exact"/>
        <w:ind w:firstLine="640"/>
        <w:rPr>
          <w:rFonts w:cs="Times New Roman"/>
          <w:szCs w:val="20"/>
          <w14:ligatures w14:val="none"/>
        </w:rPr>
      </w:pPr>
      <w:r>
        <w:rPr>
          <w:rFonts w:hint="eastAsia" w:cs="Times New Roman"/>
          <w:szCs w:val="20"/>
          <w14:ligatures w14:val="none"/>
        </w:rPr>
        <w:t>着力提升生态系统多样性、稳定性、持续性，守好自然生态安全边界，积极推动生态文明示范创建，全力打造“湘江源头”“千年鸟道”两大生态名片，构建群山葱郁、潇湘碧绿、山水交融的生态空间。</w:t>
      </w:r>
    </w:p>
    <w:p w14:paraId="4527A28C">
      <w:pPr>
        <w:pStyle w:val="7"/>
        <w:spacing w:before="217" w:after="217" w:line="550" w:lineRule="exact"/>
        <w:rPr>
          <w:b w:val="0"/>
        </w:rPr>
      </w:pPr>
      <w:bookmarkStart w:id="343" w:name="_Toc215259674"/>
      <w:r>
        <w:rPr>
          <w:rFonts w:hint="eastAsia"/>
        </w:rPr>
        <w:t>第一节 筑牢生态安全屏障</w:t>
      </w:r>
      <w:bookmarkEnd w:id="343"/>
    </w:p>
    <w:p w14:paraId="1C93ACE7">
      <w:pPr>
        <w:adjustRightInd w:val="0"/>
        <w:snapToGrid w:val="0"/>
        <w:spacing w:line="550" w:lineRule="exact"/>
        <w:ind w:firstLine="640"/>
        <w:rPr>
          <w:rFonts w:cs="Times New Roman"/>
          <w:szCs w:val="20"/>
          <w14:ligatures w14:val="none"/>
        </w:rPr>
      </w:pPr>
      <w:r>
        <w:rPr>
          <w:rFonts w:hint="eastAsia" w:cs="Times New Roman"/>
          <w:szCs w:val="20"/>
          <w14:ligatures w14:val="none"/>
        </w:rPr>
        <w:t>严守生态保护红线，禁止开展不符合主体功能定位的各类开发活动，筑牢“一廊三屏多单元”生态保护格局。加强国家重点生态功能区保护建设，建设以湘江流域为中心的水系生态廊道。全面深化林长制，持续开展国土绿化行动，实施森林可持续经营。加强石漠化和水土流失综合治理，巩固退耕还林还湿成果。健全自然保护区、森林公园、湿地公园等自然保护地体系，持续推进“绿盾”自然保护地强化监督，完善自然保护地监管机制和标准规范。开展生态状况监测评估，加强生态保护修复成效评估。到2030年，森林蓄积量不低于7600万立方米，自然保护地占陆域国土面积比例不低于8.7%。</w:t>
      </w:r>
    </w:p>
    <w:p w14:paraId="685CDDCD">
      <w:pPr>
        <w:spacing w:line="240" w:lineRule="auto"/>
        <w:ind w:firstLine="0" w:firstLineChars="0"/>
        <w:jc w:val="center"/>
        <w:rPr>
          <w:rFonts w:cs="Times New Roman"/>
          <w:szCs w:val="32"/>
        </w:rPr>
      </w:pPr>
      <w:r>
        <w:rPr>
          <w:rFonts w:cs="Times New Roman"/>
          <w:szCs w:val="32"/>
        </w:rPr>
        <w:drawing>
          <wp:inline distT="0" distB="0" distL="0" distR="0">
            <wp:extent cx="5363845" cy="7062470"/>
            <wp:effectExtent l="0" t="0" r="8255" b="5080"/>
            <wp:docPr id="142309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9691" name="图片 1"/>
                    <pic:cNvPicPr>
                      <a:picLocks noChangeAspect="1"/>
                    </pic:cNvPicPr>
                  </pic:nvPicPr>
                  <pic:blipFill>
                    <a:blip r:embed="rId26" cstate="print">
                      <a:extLst>
                        <a:ext uri="{28A0092B-C50C-407E-A947-70E740481C1C}">
                          <a14:useLocalDpi xmlns:a14="http://schemas.microsoft.com/office/drawing/2010/main" val="0"/>
                        </a:ext>
                      </a:extLst>
                    </a:blip>
                    <a:srcRect l="2254" t="6292" r="1924" b="4450"/>
                    <a:stretch>
                      <a:fillRect/>
                    </a:stretch>
                  </pic:blipFill>
                  <pic:spPr>
                    <a:xfrm>
                      <a:off x="0" y="0"/>
                      <a:ext cx="5363845" cy="7062470"/>
                    </a:xfrm>
                    <a:prstGeom prst="rect">
                      <a:avLst/>
                    </a:prstGeom>
                    <a:ln>
                      <a:noFill/>
                    </a:ln>
                  </pic:spPr>
                </pic:pic>
              </a:graphicData>
            </a:graphic>
          </wp:inline>
        </w:drawing>
      </w:r>
    </w:p>
    <w:p w14:paraId="4DB5F10A">
      <w:pPr>
        <w:numPr>
          <w:ilvl w:val="0"/>
          <w:numId w:val="2"/>
        </w:numPr>
        <w:adjustRightInd w:val="0"/>
        <w:snapToGrid w:val="0"/>
        <w:ind w:firstLineChars="0"/>
        <w:jc w:val="center"/>
        <w:outlineLvl w:val="5"/>
        <w:rPr>
          <w:rFonts w:ascii="仿宋_GB2312" w:hAnsi="Calibri" w:cs="Times New Roman"/>
          <w:b/>
          <w:sz w:val="28"/>
          <w:szCs w:val="22"/>
        </w:rPr>
      </w:pPr>
      <w:r>
        <w:rPr>
          <w:rFonts w:hint="eastAsia" w:ascii="仿宋_GB2312" w:hAnsi="Calibri" w:cs="Times New Roman"/>
          <w:b/>
          <w:sz w:val="28"/>
          <w:szCs w:val="22"/>
        </w:rPr>
        <w:t>生态屏障图</w:t>
      </w:r>
    </w:p>
    <w:p w14:paraId="57ECF83B">
      <w:pPr>
        <w:pStyle w:val="7"/>
        <w:spacing w:before="217" w:after="217"/>
        <w:rPr>
          <w:b w:val="0"/>
        </w:rPr>
      </w:pPr>
      <w:bookmarkStart w:id="344" w:name="_Toc215259675"/>
      <w:r>
        <w:rPr>
          <w:rFonts w:hint="eastAsia"/>
        </w:rPr>
        <w:t>第二节 统筹推进生态保护修复</w:t>
      </w:r>
      <w:bookmarkEnd w:id="344"/>
    </w:p>
    <w:p w14:paraId="38FBC2FB">
      <w:pPr>
        <w:adjustRightInd w:val="0"/>
        <w:snapToGrid w:val="0"/>
        <w:ind w:firstLine="640"/>
        <w:rPr>
          <w:rFonts w:cs="Times New Roman"/>
          <w:szCs w:val="20"/>
          <w14:ligatures w14:val="none"/>
        </w:rPr>
      </w:pPr>
      <w:r>
        <w:rPr>
          <w:rFonts w:hint="eastAsia" w:cs="Times New Roman"/>
          <w:szCs w:val="20"/>
          <w14:ligatures w14:val="none"/>
        </w:rPr>
        <w:t>综合运用自然恢复和人工修复手段，实施山水林田湖草沙一体化保护和系统治理。推进中小河流生态综合治理。加强自然岸线生态复绿建设，开展天然林、公益林、退化林修复。加强湿地生态系统保护修复，加大非法采砂整治力度，营造水源涵养林。持续推进历史遗留废弃矿山生态修复，加强重点区域矿山和尾矿库治理，加快建设绿色矿山。深入推进全域土地综合整治，统筹实施农用地集中连片整治、质量提升和生态化改造，整理盘活零散、闲置、低效建设用地。到2030年，全市自然生态系统状况实现明显好转。</w:t>
      </w:r>
    </w:p>
    <w:p w14:paraId="2D73DEF7">
      <w:pPr>
        <w:pStyle w:val="7"/>
        <w:spacing w:before="217" w:after="217"/>
        <w:rPr>
          <w:b w:val="0"/>
        </w:rPr>
      </w:pPr>
      <w:bookmarkStart w:id="345" w:name="_Toc215259676"/>
      <w:r>
        <w:rPr>
          <w:rFonts w:hint="eastAsia"/>
        </w:rPr>
        <w:t>第三节 加强生物多样性保护</w:t>
      </w:r>
      <w:bookmarkEnd w:id="345"/>
    </w:p>
    <w:p w14:paraId="513D8405">
      <w:pPr>
        <w:adjustRightInd w:val="0"/>
        <w:snapToGrid w:val="0"/>
        <w:ind w:firstLine="640"/>
        <w:rPr>
          <w:rFonts w:cs="Times New Roman"/>
          <w:szCs w:val="20"/>
          <w14:ligatures w14:val="none"/>
        </w:rPr>
      </w:pPr>
      <w:r>
        <w:rPr>
          <w:rFonts w:hint="eastAsia" w:cs="Times New Roman"/>
          <w:szCs w:val="20"/>
          <w14:ligatures w14:val="none"/>
        </w:rPr>
        <w:t>实施生物多样性保护重大工程，加强对珍稀濒危物种、极小种群和重要野生动植物资源的保护。健全古树名木保护长效机制。加强候鸟迁飞通道保护修复，建设候鸟友好城市，全力保障“千年鸟道”长远安全。全面落实长江十年禁渔，常态化开展水生生物增殖放流。加强生物安全管理，强化野生动物疫源疫病监测防控，严防外来物种侵害。严厉打击野生动植物非法捕猎和贸易行为。健全生物多样性调查、监测与评估体系。到2030年，典</w:t>
      </w:r>
      <w:r>
        <w:rPr>
          <w:rFonts w:hint="eastAsia" w:cs="Times New Roman"/>
          <w:spacing w:val="-6"/>
          <w:szCs w:val="20"/>
          <w14:ligatures w14:val="none"/>
        </w:rPr>
        <w:t>型生态系统、国家重点保护野生动植物及其栖息地得到有效保护。</w:t>
      </w:r>
    </w:p>
    <w:p w14:paraId="3FFE88EF">
      <w:pPr>
        <w:pStyle w:val="7"/>
        <w:spacing w:before="217" w:after="217"/>
        <w:rPr>
          <w:b w:val="0"/>
        </w:rPr>
      </w:pPr>
      <w:bookmarkStart w:id="346" w:name="_Toc215259677"/>
      <w:r>
        <w:t>第四节</w:t>
      </w:r>
      <w:r>
        <w:rPr>
          <w:rFonts w:hint="eastAsia"/>
        </w:rPr>
        <w:t xml:space="preserve"> 创新探索生态产品价值实现路径</w:t>
      </w:r>
      <w:bookmarkEnd w:id="346"/>
    </w:p>
    <w:p w14:paraId="22D81FDA">
      <w:pPr>
        <w:adjustRightInd w:val="0"/>
        <w:snapToGrid w:val="0"/>
        <w:ind w:firstLine="640"/>
        <w:rPr>
          <w:rFonts w:cs="Times New Roman"/>
          <w:szCs w:val="20"/>
          <w14:ligatures w14:val="none"/>
        </w:rPr>
      </w:pPr>
      <w:r>
        <w:rPr>
          <w:rFonts w:hint="eastAsia" w:cs="Times New Roman"/>
          <w:szCs w:val="20"/>
          <w14:ligatures w14:val="none"/>
        </w:rPr>
        <w:t>开展全域生态产品调查监测，建立生态产品总值核算体系，健全生态产品价值评价机制。创新推进“湘林碳票”多场景应用，提升林业碳汇价值。健全横向生态保护补偿机制，探索市场化、多元化生态补偿方式。深化自然资源有偿使用制度改革，加快推进自然资源资产市场化配置。持续扩大绿色信贷规模，探索基于碳资产的金融服务新模式。建立区域性生态产品交易平台，探索研究用水权、排污权市场化交易，争取国家生态产品价值实现机制试点。</w:t>
      </w:r>
    </w:p>
    <w:tbl>
      <w:tblPr>
        <w:tblStyle w:val="30"/>
        <w:tblW w:w="5000" w:type="pct"/>
        <w:jc w:val="center"/>
        <w:tblLayout w:type="autofit"/>
        <w:tblCellMar>
          <w:top w:w="0" w:type="dxa"/>
          <w:left w:w="0" w:type="dxa"/>
          <w:bottom w:w="0" w:type="dxa"/>
          <w:right w:w="0" w:type="dxa"/>
        </w:tblCellMar>
      </w:tblPr>
      <w:tblGrid>
        <w:gridCol w:w="9070"/>
      </w:tblGrid>
      <w:tr w14:paraId="4681831B">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584ABEAB">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28</w:t>
            </w:r>
            <w:r>
              <w:rPr>
                <w:rFonts w:hint="eastAsia" w:cs="Times New Roman"/>
                <w:b/>
                <w:color w:val="000000"/>
                <w:szCs w:val="28"/>
              </w:rPr>
              <w:fldChar w:fldCharType="end"/>
            </w:r>
            <w:r>
              <w:rPr>
                <w:rFonts w:hint="eastAsia" w:cs="Times New Roman"/>
                <w:b/>
                <w:color w:val="000000"/>
                <w:szCs w:val="28"/>
              </w:rPr>
              <w:t xml:space="preserve"> 生态保护修复建设工程</w:t>
            </w:r>
          </w:p>
        </w:tc>
      </w:tr>
      <w:tr w14:paraId="7DF7FDB2">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18F8C9B">
            <w:pPr>
              <w:spacing w:line="440" w:lineRule="exact"/>
              <w:ind w:firstLine="482"/>
              <w:rPr>
                <w:rFonts w:cs="Times New Roman"/>
                <w:bCs/>
                <w:sz w:val="24"/>
              </w:rPr>
            </w:pPr>
            <w:r>
              <w:rPr>
                <w:rFonts w:hint="eastAsia" w:cs="Times New Roman"/>
                <w:b/>
                <w:bCs/>
                <w:sz w:val="24"/>
              </w:rPr>
              <w:t>山水林田湖草沙一体化保护和</w:t>
            </w:r>
            <w:r>
              <w:rPr>
                <w:rFonts w:cs="Times New Roman"/>
                <w:b/>
                <w:bCs/>
                <w:sz w:val="24"/>
              </w:rPr>
              <w:t>修复工程</w:t>
            </w:r>
            <w:r>
              <w:rPr>
                <w:rFonts w:hint="eastAsia" w:cs="Times New Roman"/>
                <w:b/>
                <w:bCs/>
                <w:sz w:val="24"/>
              </w:rPr>
              <w:t>。</w:t>
            </w:r>
            <w:r>
              <w:rPr>
                <w:rFonts w:hint="eastAsia" w:cs="Times New Roman"/>
                <w:bCs/>
                <w:sz w:val="24"/>
              </w:rPr>
              <w:t>推进越城岭—四明山系余脉、都庞岭—阳明山系余脉、萌渚岭—九嶷山系余脉等生态屏障保护，建设湘江流域水系生态廊道。</w:t>
            </w:r>
            <w:r>
              <w:rPr>
                <w:rFonts w:cs="Times New Roman"/>
                <w:bCs/>
                <w:sz w:val="24"/>
              </w:rPr>
              <w:t>大力推进湘江西岸生态修复项目，重点推进阳明山自然保护区、九嶷山自然保护区、</w:t>
            </w:r>
            <w:r>
              <w:rPr>
                <w:rFonts w:hint="eastAsia" w:cs="Times New Roman"/>
                <w:bCs/>
                <w:sz w:val="24"/>
              </w:rPr>
              <w:t>湘江源区和湘西南石漠化地区</w:t>
            </w:r>
            <w:r>
              <w:rPr>
                <w:rFonts w:cs="Times New Roman"/>
                <w:bCs/>
                <w:sz w:val="24"/>
              </w:rPr>
              <w:t>等重点</w:t>
            </w:r>
            <w:r>
              <w:rPr>
                <w:rFonts w:hint="eastAsia" w:cs="Times New Roman"/>
                <w:bCs/>
                <w:sz w:val="24"/>
              </w:rPr>
              <w:t>生态保护和修复工程</w:t>
            </w:r>
            <w:r>
              <w:rPr>
                <w:rFonts w:cs="Times New Roman"/>
                <w:bCs/>
                <w:sz w:val="24"/>
              </w:rPr>
              <w:t>。</w:t>
            </w:r>
          </w:p>
          <w:p w14:paraId="2B12026F">
            <w:pPr>
              <w:spacing w:line="440" w:lineRule="exact"/>
              <w:ind w:firstLine="482"/>
              <w:rPr>
                <w:rFonts w:cs="Times New Roman"/>
                <w:bCs/>
                <w:sz w:val="24"/>
              </w:rPr>
            </w:pPr>
            <w:r>
              <w:rPr>
                <w:rFonts w:hint="eastAsia" w:cs="Times New Roman"/>
                <w:b/>
                <w:bCs/>
                <w:sz w:val="24"/>
              </w:rPr>
              <w:t>全域土地综合整治工程。</w:t>
            </w:r>
            <w:r>
              <w:rPr>
                <w:rFonts w:hint="eastAsia" w:cs="Times New Roman"/>
                <w:bCs/>
                <w:sz w:val="24"/>
              </w:rPr>
              <w:t>以县域为统筹单元、以乡镇为基本实施单元，持续推进祁阳市茅竹镇、宁远县湾井镇和九嶷瑶族乡、宁远县水市镇等</w:t>
            </w:r>
            <w:r>
              <w:rPr>
                <w:rFonts w:cs="Times New Roman"/>
                <w:bCs/>
                <w:sz w:val="24"/>
              </w:rPr>
              <w:t>3</w:t>
            </w:r>
            <w:r>
              <w:rPr>
                <w:rFonts w:hint="eastAsia" w:cs="Times New Roman"/>
                <w:bCs/>
                <w:sz w:val="24"/>
              </w:rPr>
              <w:t>个乡镇（街道）、双牌县泷泊镇和五里牌镇、东安县芦洪市镇等</w:t>
            </w:r>
            <w:r>
              <w:rPr>
                <w:rFonts w:cs="Times New Roman"/>
                <w:bCs/>
                <w:sz w:val="24"/>
              </w:rPr>
              <w:t>5</w:t>
            </w:r>
            <w:r>
              <w:rPr>
                <w:rFonts w:hint="eastAsia" w:cs="Times New Roman"/>
                <w:bCs/>
                <w:sz w:val="24"/>
              </w:rPr>
              <w:t>个全域土地综合整治项目。</w:t>
            </w:r>
          </w:p>
          <w:p w14:paraId="6CF413FE">
            <w:pPr>
              <w:spacing w:line="440" w:lineRule="exact"/>
              <w:ind w:firstLine="482"/>
              <w:rPr>
                <w:rFonts w:cs="Times New Roman"/>
                <w:bCs/>
                <w:sz w:val="24"/>
              </w:rPr>
            </w:pPr>
            <w:r>
              <w:rPr>
                <w:rFonts w:hint="eastAsia" w:cs="Times New Roman"/>
                <w:b/>
                <w:sz w:val="24"/>
              </w:rPr>
              <w:t>矿山生态修复工程。</w:t>
            </w:r>
            <w:r>
              <w:rPr>
                <w:rFonts w:hint="eastAsia" w:cs="Times New Roman"/>
                <w:bCs/>
                <w:sz w:val="24"/>
              </w:rPr>
              <w:t>推进冷水滩、零陵、东安、双牌、宁远、新田、江华、回龙圩等8个县区（管理区）历史遗留废弃矿山生态修复示范工程项目，持续开展绿色矿山建设，确保到2028年底，持证在产的90%大型矿山、80%中型矿山达到绿色矿山标准要求，小型矿山参照绿色矿山标准进行管理。</w:t>
            </w:r>
          </w:p>
          <w:p w14:paraId="6AAFF5E6">
            <w:pPr>
              <w:spacing w:line="440" w:lineRule="exact"/>
              <w:ind w:firstLine="482"/>
              <w:rPr>
                <w:rFonts w:cs="Times New Roman"/>
                <w:bCs/>
                <w:sz w:val="24"/>
              </w:rPr>
            </w:pPr>
            <w:r>
              <w:rPr>
                <w:rFonts w:cs="Times New Roman"/>
                <w:b/>
                <w:bCs/>
                <w:sz w:val="24"/>
              </w:rPr>
              <w:t>生物多样性保护工程</w:t>
            </w:r>
            <w:r>
              <w:rPr>
                <w:rFonts w:hint="eastAsia" w:cs="Times New Roman"/>
                <w:b/>
                <w:bCs/>
                <w:sz w:val="24"/>
              </w:rPr>
              <w:t>。</w:t>
            </w:r>
            <w:r>
              <w:rPr>
                <w:rFonts w:cs="Times New Roman"/>
                <w:bCs/>
                <w:sz w:val="24"/>
              </w:rPr>
              <w:t>积极开展区域生物物种资源调查、建档和研究，加强珍稀动植物及其栖息地生境的保护和管理。补充调查遗漏的古树名木，对重要濒危的古树名木</w:t>
            </w:r>
            <w:r>
              <w:rPr>
                <w:rFonts w:hint="eastAsia" w:cs="Times New Roman"/>
                <w:bCs/>
                <w:sz w:val="24"/>
              </w:rPr>
              <w:t>进行</w:t>
            </w:r>
            <w:r>
              <w:rPr>
                <w:rFonts w:cs="Times New Roman"/>
                <w:bCs/>
                <w:sz w:val="24"/>
              </w:rPr>
              <w:t>抢救复壮，建设古树名木主题公园。开展水生生物完整性恢复工作，增殖天然水域水产种质资源，</w:t>
            </w:r>
            <w:r>
              <w:rPr>
                <w:rFonts w:hint="eastAsia" w:cs="Times New Roman"/>
                <w:bCs/>
                <w:sz w:val="24"/>
              </w:rPr>
              <w:t>在湘江等相关水域恢复</w:t>
            </w:r>
            <w:r>
              <w:rPr>
                <w:rFonts w:hint="eastAsia" w:ascii="仿宋" w:hAnsi="仿宋" w:eastAsia="仿宋" w:cs="微软雅黑"/>
                <w:bCs/>
                <w:sz w:val="24"/>
              </w:rPr>
              <w:t>鳑鲏</w:t>
            </w:r>
            <w:r>
              <w:rPr>
                <w:rFonts w:hint="eastAsia" w:cs="Times New Roman"/>
                <w:bCs/>
                <w:sz w:val="24"/>
              </w:rPr>
              <w:t>等土著鱼类。</w:t>
            </w:r>
          </w:p>
          <w:p w14:paraId="7B7977DB">
            <w:pPr>
              <w:spacing w:line="440" w:lineRule="exact"/>
              <w:ind w:firstLine="482"/>
              <w:rPr>
                <w:rFonts w:cs="Times New Roman"/>
                <w:bCs/>
                <w:sz w:val="24"/>
              </w:rPr>
            </w:pPr>
            <w:r>
              <w:rPr>
                <w:rFonts w:hint="eastAsia" w:cs="Times New Roman"/>
                <w:b/>
                <w:sz w:val="24"/>
              </w:rPr>
              <w:t>生态产品价值实现工程。</w:t>
            </w:r>
            <w:r>
              <w:rPr>
                <w:rFonts w:hint="eastAsia" w:cs="Times New Roman"/>
                <w:bCs/>
                <w:sz w:val="24"/>
              </w:rPr>
              <w:t>充分发挥金洞管理区的先天条件和独特优势，推进</w:t>
            </w:r>
            <w:r>
              <w:rPr>
                <w:rFonts w:cs="Times New Roman"/>
                <w:bCs/>
                <w:sz w:val="24"/>
              </w:rPr>
              <w:t>林业碳汇交易项目储备、林业碳汇计量、林业碳汇造林和林业碳汇开发</w:t>
            </w:r>
            <w:r>
              <w:rPr>
                <w:rFonts w:hint="eastAsia" w:cs="Times New Roman"/>
                <w:bCs/>
                <w:sz w:val="24"/>
              </w:rPr>
              <w:t>，深化全省林业碳汇工程试点县市区和碳汇经济先行区建设。</w:t>
            </w:r>
          </w:p>
        </w:tc>
      </w:tr>
      <w:bookmarkEnd w:id="330"/>
      <w:bookmarkEnd w:id="331"/>
    </w:tbl>
    <w:p w14:paraId="2DCCA0A8">
      <w:pPr>
        <w:pStyle w:val="6"/>
        <w:spacing w:before="435" w:after="217"/>
      </w:pPr>
      <w:bookmarkStart w:id="347" w:name="_Toc215259678"/>
      <w:bookmarkStart w:id="348" w:name="_Toc215270575"/>
      <w:bookmarkStart w:id="349" w:name="_Toc232094426"/>
      <w:r>
        <w:rPr>
          <w:rFonts w:hint="eastAsia"/>
        </w:rPr>
        <w:t>积极稳妥推进和实现碳达峰</w:t>
      </w:r>
      <w:bookmarkEnd w:id="347"/>
      <w:bookmarkEnd w:id="348"/>
      <w:bookmarkEnd w:id="349"/>
    </w:p>
    <w:p w14:paraId="1E3C24C6">
      <w:pPr>
        <w:adjustRightInd w:val="0"/>
        <w:snapToGrid w:val="0"/>
        <w:ind w:firstLine="640"/>
        <w:rPr>
          <w:rFonts w:cs="Times New Roman"/>
          <w:szCs w:val="20"/>
          <w14:ligatures w14:val="none"/>
        </w:rPr>
      </w:pPr>
      <w:r>
        <w:rPr>
          <w:rFonts w:hint="eastAsia" w:cs="Times New Roman"/>
          <w:szCs w:val="20"/>
          <w14:ligatures w14:val="none"/>
        </w:rPr>
        <w:t>统筹发展和减排，以系统观念推进能源生产方式变革与消费结构优化协同发力，有效控制温室气体排放，推动碳达峰目标如期实现，为碳中和奠定坚实基础。</w:t>
      </w:r>
    </w:p>
    <w:p w14:paraId="045B8E4F">
      <w:pPr>
        <w:pStyle w:val="7"/>
        <w:spacing w:before="217" w:after="217"/>
        <w:rPr>
          <w:b w:val="0"/>
        </w:rPr>
      </w:pPr>
      <w:bookmarkStart w:id="350" w:name="_Toc215259679"/>
      <w:r>
        <w:rPr>
          <w:rFonts w:hint="eastAsia"/>
        </w:rPr>
        <w:t>第一节 全面实施碳排放双控制度</w:t>
      </w:r>
      <w:bookmarkEnd w:id="350"/>
    </w:p>
    <w:p w14:paraId="476F2006">
      <w:pPr>
        <w:adjustRightInd w:val="0"/>
        <w:snapToGrid w:val="0"/>
        <w:ind w:firstLine="640"/>
        <w:rPr>
          <w:rFonts w:cs="Times New Roman"/>
          <w:szCs w:val="20"/>
          <w14:ligatures w14:val="none"/>
        </w:rPr>
      </w:pPr>
      <w:r>
        <w:rPr>
          <w:rFonts w:hint="eastAsia" w:cs="Times New Roman"/>
          <w:szCs w:val="20"/>
          <w14:ligatures w14:val="none"/>
        </w:rPr>
        <w:t>全面落实以强度控制为主、总量控制为辅的碳排放双控制度，推动能耗双控向碳排放双控全面转型。建立完善碳排放统计核算体系，将温室气体排放指标纳入生态环境统计制度。构建重点行业建设项目碳排放影响评价制度。开展重点行业领域碳排放预警管控，加强重点用能和碳排放单位节能降碳管理。支持高耗能行业构建生产全过程碳排放数据管理体系，参与全国碳排放权交易。严格落实固定资产投资项目节能审查和碳排放评价，坚决遏制高耗能高排放项目盲目发展。顺利实现2030年前碳达峰目标。</w:t>
      </w:r>
    </w:p>
    <w:p w14:paraId="0D2C7048">
      <w:pPr>
        <w:pStyle w:val="7"/>
        <w:spacing w:before="217" w:after="217"/>
        <w:rPr>
          <w:b w:val="0"/>
        </w:rPr>
      </w:pPr>
      <w:bookmarkStart w:id="351" w:name="_Toc215259680"/>
      <w:r>
        <w:rPr>
          <w:rFonts w:hint="eastAsia"/>
        </w:rPr>
        <w:t>第二节 深入推进重点领域碳达峰</w:t>
      </w:r>
      <w:bookmarkEnd w:id="351"/>
    </w:p>
    <w:p w14:paraId="7CDC356C">
      <w:pPr>
        <w:adjustRightInd w:val="0"/>
        <w:snapToGrid w:val="0"/>
        <w:ind w:firstLine="640"/>
        <w:rPr>
          <w:rFonts w:cs="Times New Roman"/>
          <w:szCs w:val="20"/>
          <w14:ligatures w14:val="none"/>
        </w:rPr>
      </w:pPr>
      <w:r>
        <w:rPr>
          <w:rFonts w:hint="eastAsia" w:cs="Times New Roman"/>
          <w:szCs w:val="20"/>
          <w14:ligatures w14:val="none"/>
        </w:rPr>
        <w:t>积极稳妥推进碳达峰碳中和，实施能源、工业、建筑、交通等重点领域碳达峰行动。加快构建新型能源体系和新型电力系统，加大风能、太阳能和生物质能开发力度，建设抽水蓄能电站，推动煤炭和石油消费逐步达峰。推动企业加快技术改造、能源替代、产能整合和工艺优化，实施变压器、电机、风机、水泵、空压机、工业锅炉等重点用能设备迭代升级。深入推进建材等重点行业节能降碳改造。全面推进绿色建筑、装配式建筑发展，改善建筑用能结构，加强节约型机关建设。大力推进“公转铁”“公转水”和多式联运，推广使用高效清洁运输装备，加强充电基础设施建设。到2030年，县级及以上党政机关建成节约型机关比例达95%以上。</w:t>
      </w:r>
    </w:p>
    <w:p w14:paraId="26FA6413">
      <w:pPr>
        <w:pStyle w:val="6"/>
        <w:spacing w:before="435" w:after="217"/>
      </w:pPr>
      <w:bookmarkStart w:id="352" w:name="_Toc216082354"/>
      <w:bookmarkEnd w:id="352"/>
      <w:bookmarkStart w:id="353" w:name="_Toc216100436"/>
      <w:bookmarkEnd w:id="353"/>
      <w:bookmarkStart w:id="354" w:name="_Toc216105743"/>
      <w:bookmarkEnd w:id="354"/>
      <w:bookmarkStart w:id="355" w:name="_Toc216086602"/>
      <w:bookmarkEnd w:id="355"/>
      <w:bookmarkStart w:id="356" w:name="_Toc232094427"/>
      <w:bookmarkStart w:id="357" w:name="_Toc215270576"/>
      <w:bookmarkStart w:id="358" w:name="_Toc215259681"/>
      <w:r>
        <w:rPr>
          <w:rFonts w:hint="eastAsia"/>
        </w:rPr>
        <w:t>推行绿色生产生活方式</w:t>
      </w:r>
      <w:bookmarkEnd w:id="356"/>
      <w:bookmarkEnd w:id="357"/>
      <w:bookmarkEnd w:id="358"/>
    </w:p>
    <w:p w14:paraId="6EDDFFD8">
      <w:pPr>
        <w:adjustRightInd w:val="0"/>
        <w:snapToGrid w:val="0"/>
        <w:ind w:firstLine="640"/>
        <w:rPr>
          <w:rFonts w:cs="Times New Roman"/>
          <w:szCs w:val="20"/>
          <w14:ligatures w14:val="none"/>
        </w:rPr>
      </w:pPr>
      <w:r>
        <w:rPr>
          <w:rFonts w:hint="eastAsia" w:cs="Times New Roman"/>
          <w:szCs w:val="20"/>
          <w14:ligatures w14:val="none"/>
        </w:rPr>
        <w:t>坚持把绿色低碳发展作为解决生态环境问题的治本之策，加快经济社会发展全面绿色转型，推动形成绿色生产和生活方式，在全社会牢固树立生态文明理念。</w:t>
      </w:r>
    </w:p>
    <w:p w14:paraId="55AD0498">
      <w:pPr>
        <w:pStyle w:val="7"/>
        <w:spacing w:before="217" w:after="217"/>
        <w:rPr>
          <w:b w:val="0"/>
        </w:rPr>
      </w:pPr>
      <w:bookmarkStart w:id="359" w:name="_Toc215259682"/>
      <w:r>
        <w:rPr>
          <w:rFonts w:hint="eastAsia"/>
        </w:rPr>
        <w:t>第一节 提升能源资源利用效率</w:t>
      </w:r>
      <w:bookmarkEnd w:id="359"/>
    </w:p>
    <w:p w14:paraId="69961043">
      <w:pPr>
        <w:adjustRightInd w:val="0"/>
        <w:snapToGrid w:val="0"/>
        <w:ind w:firstLine="640"/>
        <w:rPr>
          <w:rFonts w:cs="Times New Roman"/>
          <w:szCs w:val="20"/>
          <w14:ligatures w14:val="none"/>
        </w:rPr>
      </w:pPr>
      <w:r>
        <w:rPr>
          <w:rFonts w:hint="eastAsia" w:cs="Times New Roman"/>
          <w:szCs w:val="20"/>
          <w14:ligatures w14:val="none"/>
        </w:rPr>
        <w:t>落实资源总量管理和全面节约制度，强化节能、节水、节地、节材、节矿。推动高耗能企业建设能源管理中心，完善重点用能单位能耗在线监测系统，加强节能监察。深入开展节水型社会建设，推进农业节水增效、工业节水减排、城镇节水降损，加强中水回收利用。完善土地资源节约集约利用机制，建立健全以“亩均效益”为导向的项目用地评价体系。加强矿产资源合理开发与高效利用，提高伴生矿综合利用率。持</w:t>
      </w:r>
      <w:r>
        <w:rPr>
          <w:rFonts w:hint="eastAsia" w:cs="Times New Roman"/>
          <w:spacing w:val="-6"/>
          <w:szCs w:val="20"/>
          <w14:ligatures w14:val="none"/>
        </w:rPr>
        <w:t>续推进园区循环化改造，推动企业循环式生产、产业循环式组合，拓展不同产业企业固废协同、能源转换、废弃物资源化利用等功能。</w:t>
      </w:r>
    </w:p>
    <w:p w14:paraId="3CFABA66">
      <w:pPr>
        <w:pStyle w:val="7"/>
        <w:spacing w:before="217" w:after="217"/>
        <w:rPr>
          <w:b w:val="0"/>
        </w:rPr>
      </w:pPr>
      <w:bookmarkStart w:id="360" w:name="_Toc215259683"/>
      <w:r>
        <w:rPr>
          <w:rFonts w:hint="eastAsia"/>
        </w:rPr>
        <w:t>第二节 践行绿色低碳生活方式</w:t>
      </w:r>
      <w:bookmarkEnd w:id="360"/>
    </w:p>
    <w:p w14:paraId="79CDAFA5">
      <w:pPr>
        <w:ind w:firstLine="640"/>
      </w:pPr>
      <w:r>
        <w:rPr>
          <w:rFonts w:hint="eastAsia" w:cs="Times New Roman"/>
        </w:rPr>
        <w:t>广泛动员全民参与生态文明建设，倡导简约适度、绿色低碳、文明健康的生活理念和消费方式。构建家庭、学校、社会全方位生态文明教育体系，持续开展绿色学校、生态环境科普和教育基地建设活动。鼓励绿色消费，推广高效节能产品和环保低碳产品，优化政府绿色采购机制。加强新能源汽车推广应用，规范建设二手车交易市场。加强城市绿道建设，构建闭环衔接的公园体系。鼓励绿色出行。深入开展“光盘行动”，抵制餐饮浪费。</w:t>
      </w:r>
    </w:p>
    <w:tbl>
      <w:tblPr>
        <w:tblStyle w:val="30"/>
        <w:tblW w:w="5000" w:type="pct"/>
        <w:jc w:val="center"/>
        <w:tblLayout w:type="autofit"/>
        <w:tblCellMar>
          <w:top w:w="0" w:type="dxa"/>
          <w:left w:w="0" w:type="dxa"/>
          <w:bottom w:w="0" w:type="dxa"/>
          <w:right w:w="0" w:type="dxa"/>
        </w:tblCellMar>
      </w:tblPr>
      <w:tblGrid>
        <w:gridCol w:w="9070"/>
      </w:tblGrid>
      <w:tr w14:paraId="1F7EB155">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62D84FEA">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29</w:t>
            </w:r>
            <w:r>
              <w:rPr>
                <w:rFonts w:hint="eastAsia" w:cs="Times New Roman"/>
                <w:b/>
                <w:color w:val="000000"/>
                <w:szCs w:val="28"/>
              </w:rPr>
              <w:fldChar w:fldCharType="end"/>
            </w:r>
            <w:r>
              <w:rPr>
                <w:rFonts w:hint="eastAsia" w:cs="Times New Roman"/>
                <w:b/>
                <w:color w:val="000000"/>
                <w:szCs w:val="28"/>
              </w:rPr>
              <w:t xml:space="preserve"> 绿色生活创建行动</w:t>
            </w:r>
          </w:p>
        </w:tc>
      </w:tr>
      <w:tr w14:paraId="6BD966A5">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A65BDE1">
            <w:pPr>
              <w:pStyle w:val="68"/>
              <w:spacing w:line="440" w:lineRule="exact"/>
              <w:ind w:firstLine="482"/>
            </w:pPr>
            <w:r>
              <w:rPr>
                <w:rFonts w:hint="eastAsia"/>
                <w:b/>
                <w:bCs w:val="0"/>
              </w:rPr>
              <w:t>生态文化培育行动。</w:t>
            </w:r>
            <w:r>
              <w:rPr>
                <w:rFonts w:hint="eastAsia"/>
              </w:rPr>
              <w:t>将绿色低碳理念融入学前教育体系，引导青少年从小树立</w:t>
            </w:r>
            <w:r>
              <w:t>节约意识、环保意识、生态意识</w:t>
            </w:r>
            <w:r>
              <w:rPr>
                <w:rFonts w:hint="eastAsia"/>
              </w:rPr>
              <w:t>。将学习贯彻习近平生态文明思想作为干部教育培训的重要内容，同时将生态文明相关内容列入各级党校、行政学院的教学计划，切实增强各级领导干部抓好绿色低碳发展工作的业务素质。</w:t>
            </w:r>
          </w:p>
          <w:p w14:paraId="0C323CD4">
            <w:pPr>
              <w:pStyle w:val="68"/>
              <w:spacing w:line="440" w:lineRule="exact"/>
              <w:ind w:firstLine="482"/>
            </w:pPr>
            <w:r>
              <w:rPr>
                <w:rFonts w:hint="eastAsia"/>
                <w:b/>
                <w:bCs w:val="0"/>
              </w:rPr>
              <w:t>绿色居住提升行动。</w:t>
            </w:r>
            <w:r>
              <w:rPr>
                <w:rFonts w:hint="eastAsia"/>
              </w:rPr>
              <w:t>优化新建建筑节能降碳设计，提升新建建筑中绿色建筑比例。以空调、照明、电梯等重点用能设备和外墙、屋面、门窗等围护结构为重点，持续推进既有建筑节能改造。加大高效节能家电、灯具和节水器具普及力度，推广智能家居节能技术。</w:t>
            </w:r>
          </w:p>
          <w:p w14:paraId="7E544D8E">
            <w:pPr>
              <w:pStyle w:val="68"/>
              <w:spacing w:line="440" w:lineRule="exact"/>
              <w:ind w:firstLine="482"/>
            </w:pPr>
            <w:r>
              <w:rPr>
                <w:rFonts w:hint="eastAsia"/>
                <w:b/>
                <w:bCs w:val="0"/>
              </w:rPr>
              <w:t>绿色出行促进行动。</w:t>
            </w:r>
            <w:r>
              <w:rPr>
                <w:rFonts w:hint="eastAsia"/>
              </w:rPr>
              <w:t>优化城市公共交通服务，加密公交线网，提升运营效率和服务品质。建设安全、连续、舒适的自行车道和步行道，合理设置共享单车、共享电单车停放点。加快公共领域车辆电动化更新，完善公共充（换）电基础设施布局。鼓励私人购买使用新能源汽车。</w:t>
            </w:r>
          </w:p>
          <w:p w14:paraId="033037CD">
            <w:pPr>
              <w:pStyle w:val="68"/>
              <w:spacing w:line="440" w:lineRule="exact"/>
              <w:ind w:firstLine="482"/>
            </w:pPr>
            <w:r>
              <w:rPr>
                <w:rFonts w:hint="eastAsia"/>
                <w:b/>
                <w:bCs w:val="0"/>
              </w:rPr>
              <w:t>绿色消费引领行动。</w:t>
            </w:r>
            <w:r>
              <w:rPr>
                <w:rFonts w:hint="eastAsia"/>
              </w:rPr>
              <w:t>鼓励商场、电商平台设立绿色产品销售专区，积极引导消费者购买具有能效标识、水效标识和绿色产品认证的商品。推广可降解塑料替代产品，支持电商、快递企业使用环保包装。推动餐饮企业提供小份菜、剩菜打包服务。</w:t>
            </w:r>
          </w:p>
        </w:tc>
      </w:tr>
    </w:tbl>
    <w:p w14:paraId="0E43CA79">
      <w:pPr>
        <w:ind w:firstLine="640"/>
      </w:pPr>
    </w:p>
    <w:p w14:paraId="59BB382E">
      <w:pPr>
        <w:widowControl/>
        <w:spacing w:line="240" w:lineRule="auto"/>
        <w:ind w:firstLine="0" w:firstLineChars="0"/>
        <w:jc w:val="left"/>
      </w:pPr>
      <w:r>
        <w:br w:type="page"/>
      </w:r>
    </w:p>
    <w:bookmarkEnd w:id="1"/>
    <w:p w14:paraId="7E672DB3">
      <w:pPr>
        <w:pStyle w:val="5"/>
        <w:rPr>
          <w:spacing w:val="11"/>
        </w:rPr>
      </w:pPr>
      <w:bookmarkStart w:id="361" w:name="_Toc232094428"/>
      <w:r>
        <w:rPr>
          <w:rFonts w:hint="eastAsia"/>
          <w:spacing w:val="11"/>
        </w:rPr>
        <w:t>统筹推进法治安全与社会治理，打造区域平安善治高地</w:t>
      </w:r>
      <w:bookmarkEnd w:id="361"/>
    </w:p>
    <w:p w14:paraId="575128EF">
      <w:pPr>
        <w:ind w:firstLine="640"/>
        <w:rPr>
          <w:rFonts w:cs="Times New Roman"/>
          <w:szCs w:val="32"/>
        </w:rPr>
      </w:pPr>
      <w:bookmarkStart w:id="362" w:name="_Hlk215302777"/>
      <w:bookmarkStart w:id="363" w:name="_Toc212282449"/>
    </w:p>
    <w:p w14:paraId="5F9C2ADE">
      <w:pPr>
        <w:ind w:firstLine="640"/>
        <w:rPr>
          <w:rFonts w:cs="Times New Roman"/>
          <w:szCs w:val="32"/>
        </w:rPr>
      </w:pPr>
      <w:r>
        <w:rPr>
          <w:rFonts w:hint="eastAsia" w:cs="Times New Roman"/>
          <w:szCs w:val="32"/>
        </w:rPr>
        <w:t>统筹发展和安全，全面深化法治永州、平安永州建设，构建共建共治共享的社会治理格局，推动法治保障更加有力、安全底座更加牢固、社会大局更加和谐稳定，为全面建设社会主义现代化新永州筑牢法治基石和安全屏障。</w:t>
      </w:r>
    </w:p>
    <w:p w14:paraId="052582E2">
      <w:pPr>
        <w:pStyle w:val="6"/>
        <w:spacing w:before="435" w:after="217"/>
      </w:pPr>
      <w:bookmarkStart w:id="364" w:name="_Toc232094429"/>
      <w:r>
        <w:rPr>
          <w:rFonts w:hint="eastAsia"/>
        </w:rPr>
        <w:t>建设更高水平法治永州</w:t>
      </w:r>
      <w:bookmarkEnd w:id="364"/>
    </w:p>
    <w:p w14:paraId="0B1AD1BA">
      <w:pPr>
        <w:ind w:firstLine="640"/>
        <w:rPr>
          <w:szCs w:val="32"/>
        </w:rPr>
      </w:pPr>
      <w:r>
        <w:rPr>
          <w:rFonts w:hint="eastAsia"/>
          <w:szCs w:val="32"/>
        </w:rPr>
        <w:t>将法治建设贯穿经济社会发展各领域，加快构建系统完备、科学规范、运行有效的全面依法治市体系，一体推进法治永州、法治政府、法治社会建设，为永州高质量发展提供坚实法治保障。</w:t>
      </w:r>
    </w:p>
    <w:p w14:paraId="1EEC73D6">
      <w:pPr>
        <w:pStyle w:val="7"/>
        <w:spacing w:before="217" w:after="217"/>
        <w:rPr>
          <w:b w:val="0"/>
        </w:rPr>
      </w:pPr>
      <w:r>
        <w:rPr>
          <w:rFonts w:hint="eastAsia"/>
        </w:rPr>
        <w:t>第一节 扎实推进科学民主依法立法</w:t>
      </w:r>
    </w:p>
    <w:p w14:paraId="7024931C">
      <w:pPr>
        <w:ind w:firstLine="640"/>
      </w:pPr>
      <w:r>
        <w:rPr>
          <w:rFonts w:hint="eastAsia"/>
        </w:rPr>
        <w:t>紧扣全市发展战略与民生需求，坚持科学立法、民主立法、依法立法，完善立法工作格局，提升立法质量与效率，推动地方立法更好衔接发展实践、回应群众期盼。</w:t>
      </w:r>
    </w:p>
    <w:p w14:paraId="462C861E">
      <w:pPr>
        <w:ind w:firstLine="643"/>
      </w:pPr>
      <w:r>
        <w:rPr>
          <w:rFonts w:hint="eastAsia"/>
          <w:b/>
          <w:bCs/>
        </w:rPr>
        <w:t>健全社会主义民主制度。</w:t>
      </w:r>
      <w:r>
        <w:rPr>
          <w:rFonts w:hint="eastAsia"/>
        </w:rPr>
        <w:t>坚持人民主体地位，深化全过程人民民主基层实践。加强基层民主政治建设，依托乡镇（街道）政务服务中心、村（社区）党群服务站等平台，拓宽民意表达渠道，通过民主恳谈会、民意征集会、线上意见箱等形式，广泛收集群众对经济发展、民生保障、社会治理等领域意见建议。完善基层群众自治制度，结合乡村治理实际，推动民主实践与村（居）民自治深度融合，规范村（居）民会议、村（居）民代表会议制度，保障群众依法参与村级事务决策与管理。</w:t>
      </w:r>
    </w:p>
    <w:p w14:paraId="35220AEF">
      <w:pPr>
        <w:ind w:firstLine="643"/>
      </w:pPr>
      <w:r>
        <w:rPr>
          <w:rFonts w:hint="eastAsia"/>
          <w:b/>
          <w:bCs/>
        </w:rPr>
        <w:t>完善地方立法工作机制。</w:t>
      </w:r>
      <w:r>
        <w:rPr>
          <w:rFonts w:hint="eastAsia"/>
        </w:rPr>
        <w:t>认真落实立法领域改革要求，坚持和完善党委领导、人大主导、政府依托、各方参与的立法工作格局。建立健全地方立法工作规程，持续深化“开门立法”，多渠道、多形式听取社会各界意见，持续创建和完善基层立法联系点。健全政府规章和规范性文件备案审查制度，确保地方立法与国家法律法规、省级立法相衔接，与永州发展实际相适应。建设和完善智慧立法平台，推动立法信息公开、立法资料共享、立法过程智能辅助，以科技赋能提升立法质效。</w:t>
      </w:r>
    </w:p>
    <w:p w14:paraId="760A4B16">
      <w:pPr>
        <w:ind w:firstLine="643"/>
      </w:pPr>
      <w:r>
        <w:rPr>
          <w:rFonts w:hint="eastAsia"/>
          <w:b/>
          <w:bCs/>
        </w:rPr>
        <w:t>加强重点及新兴领域立法。</w:t>
      </w:r>
      <w:r>
        <w:rPr>
          <w:rFonts w:hint="eastAsia"/>
        </w:rPr>
        <w:t>紧扣永州发展所需和治理所急，积极推动城乡建设管理、文化和自然遗产保护、生态文明建设、基层社会治理、少数民族政策保障等领域立法工作。围绕数字经济、新能源产业、生物技术等新兴领域，积极探索出台相关政府规章。及时将实践中可复制可推广的经验做法上升为政府规章，开展具有永州特色、针对性强的“小快灵”“小切口”式立法。加强与粤港澳大湾区、湘南地区兄弟城市跨区域立法协同，探索在生态环境联防共治、交通基础设施互联互通、科技创新资源共享等领域开展协同立法。</w:t>
      </w:r>
    </w:p>
    <w:p w14:paraId="03EF8A26">
      <w:pPr>
        <w:pStyle w:val="7"/>
        <w:spacing w:before="217" w:after="217"/>
        <w:rPr>
          <w:b w:val="0"/>
        </w:rPr>
      </w:pPr>
      <w:r>
        <w:rPr>
          <w:rFonts w:hint="eastAsia"/>
        </w:rPr>
        <w:t>第二节 深入推进依法行政和司法公正</w:t>
      </w:r>
    </w:p>
    <w:p w14:paraId="179390B9">
      <w:pPr>
        <w:ind w:firstLine="640"/>
      </w:pPr>
      <w:r>
        <w:rPr>
          <w:rFonts w:hint="eastAsia"/>
        </w:rPr>
        <w:t>以规范权力运行、保障公平正义为导向，推动依法行政与司法公正协同发力，为全市经济社会发展营造稳定、公平、透明的法治环境。</w:t>
      </w:r>
    </w:p>
    <w:p w14:paraId="1323D689">
      <w:pPr>
        <w:ind w:firstLine="643"/>
      </w:pPr>
      <w:r>
        <w:rPr>
          <w:rFonts w:hint="eastAsia"/>
          <w:b/>
          <w:bCs/>
        </w:rPr>
        <w:t>纵深推进法治政府建设。</w:t>
      </w:r>
      <w:r>
        <w:rPr>
          <w:rFonts w:hint="eastAsia"/>
        </w:rPr>
        <w:t>推进政府机构职能优化协同高效，推动政府事权规范化、法治化，全面落实政府权责清单。开展市县部门权责清单编制试点工作。加快建设数字法治政府，依法依规推进人工智能在法治领域的技术应用。全面落实政府规章和行政规范性文件有效期制度、动态清理制度和备案审查制度。严格落实重大行政决策程序、公众参与、风险评估和合法性审查刚性约束。强化领导干部法治意识，全面推行领导干部述法制度，压实党政主要负责人履行推进法治建设第一责任人职责。充分发挥行政复议化解行政争议主渠道作用，探索构建常态化“府院联动”“府检联动”机制。加强法治监督，健全完善法治督察与党委巡察联动融合机制，形成督察整改闭环，强化结果运用。</w:t>
      </w:r>
    </w:p>
    <w:p w14:paraId="60EA0AA0">
      <w:pPr>
        <w:ind w:firstLine="643"/>
      </w:pPr>
      <w:r>
        <w:rPr>
          <w:rFonts w:hint="eastAsia"/>
          <w:b/>
          <w:bCs/>
        </w:rPr>
        <w:t>严格规范公正文明执法。</w:t>
      </w:r>
      <w:r>
        <w:rPr>
          <w:rFonts w:hint="eastAsia"/>
        </w:rPr>
        <w:t>完善行政执法与刑事司法双向衔接机制，全面制定、修改和重新公布行政处罚裁量权基准、免罚事项清单、行政执法事项目录，深入落实行政执法“三项制度”，严格落实裁量权基准和行政处罚“三张清单”制度并实行动态管理。深入推行包容审慎柔性执法，强化“首违不罚”“轻微免罚”，引导新技术、新产业、新业态、新模式规范发展。推进感知监管执法，提速推进省行政执法和行</w:t>
      </w:r>
      <w:r>
        <w:rPr>
          <w:rFonts w:hint="eastAsia"/>
          <w:spacing w:val="-6"/>
        </w:rPr>
        <w:t>政执法监督一体化信息平台全面覆盖。积极落实行政执法监督员制度，探索建立行政执法第三方评估机制，引入专家、律师、群众代表参与执法监督。</w:t>
      </w:r>
    </w:p>
    <w:p w14:paraId="0DA6998F">
      <w:pPr>
        <w:ind w:firstLine="643"/>
      </w:pPr>
      <w:r>
        <w:rPr>
          <w:rFonts w:hint="eastAsia"/>
          <w:b/>
          <w:bCs/>
        </w:rPr>
        <w:t>全面提升司法公信力。</w:t>
      </w:r>
      <w:r>
        <w:rPr>
          <w:rFonts w:hint="eastAsia"/>
        </w:rPr>
        <w:t>健全完善司法责任制，全面深化审判权和执行权分离改革。持续推进审判监督指导体系建设，定期开展数据会商和类案指导，统筹抓好“三大审判”“三大环节”“三大程序”工作，扎实推进审判工作现代化。强化检查监督，加强公益诉讼。加强司法权力运行监督，推动监察、公安、检察、审判、司法行政等机关各司其职、相互配合、相互制约。深化案源治理，推进行政案件级别管辖、集中管辖、异地管辖改革，持续完善行政处罚和刑事处罚双向衔接机制。依法加大司法公开力度，强化事前释法和判后答疑。进一步推动人工智能同司法工作深度融合，全面深化智慧法院、智慧检务、智慧警务建设，以科技创新创造更高水平的数字正义。</w:t>
      </w:r>
    </w:p>
    <w:p w14:paraId="4B5DB8F9">
      <w:pPr>
        <w:pStyle w:val="7"/>
        <w:spacing w:before="217" w:after="217"/>
        <w:rPr>
          <w:b w:val="0"/>
        </w:rPr>
      </w:pPr>
      <w:r>
        <w:rPr>
          <w:rFonts w:hint="eastAsia"/>
        </w:rPr>
        <w:t>第三节 全面夯实法治社会建设基础</w:t>
      </w:r>
    </w:p>
    <w:p w14:paraId="658E00DF">
      <w:pPr>
        <w:ind w:firstLine="640"/>
      </w:pPr>
      <w:r>
        <w:rPr>
          <w:rFonts w:hint="eastAsia"/>
        </w:rPr>
        <w:t>坚持人民主体地位，大力推动社会主义法治精神深入人心、更高水平法治服务惠及全民，加快形成全社会尊法学法守法用法的良好氛围。</w:t>
      </w:r>
    </w:p>
    <w:p w14:paraId="13C451BE">
      <w:pPr>
        <w:ind w:firstLine="643"/>
      </w:pPr>
      <w:r>
        <w:rPr>
          <w:rFonts w:hint="eastAsia"/>
          <w:b/>
          <w:bCs/>
        </w:rPr>
        <w:t>增强全民法治素养。</w:t>
      </w:r>
      <w:r>
        <w:rPr>
          <w:rFonts w:hint="eastAsia"/>
        </w:rPr>
        <w:t>深入实施公民法治素养提升行动，科学谋划全市“九五”普法规划，构建党委领导、部门协作、全社会参与的大普法工作格局。严格落实“谁执法谁普法”“谁主管谁负责”普法责任制，推动立法、执法、司法、法律服务过程与普法宣传有机结合。持续擦亮“非遗”普法、民俗普法、大学生“送法下乡”“你学法我送票”等特色普法品牌，探索“大数据+普法”“微短剧+普法”等普法新模式。支持法治文艺作品创作，推动社区打造法治文化空间。深化青少年法治教育，落实法治教育进校园、进课堂，培养具备法治知识、法治意识和用法能力的社会主义建设者和接班人。</w:t>
      </w:r>
    </w:p>
    <w:p w14:paraId="6D809A9F">
      <w:pPr>
        <w:ind w:firstLine="643"/>
      </w:pPr>
      <w:r>
        <w:rPr>
          <w:rFonts w:hint="eastAsia"/>
          <w:b/>
          <w:bCs/>
        </w:rPr>
        <w:t>建设覆盖城乡的现代公共法律服务体系。</w:t>
      </w:r>
      <w:r>
        <w:rPr>
          <w:rFonts w:hint="eastAsia"/>
        </w:rPr>
        <w:t>加强市县乡村四级公共法律服务中心及市法律援助中心建设，推动法律援助、律师、公证、司法鉴定、仲裁、调解等法律服务资源有效整合，形成全要素、一体化的公共法律服务体系。大力推进司法行政基础设施规范化、标准化、数字化建设，着力构建一体化业务协同与指挥平台，全面强化基层司法所基础设施与装备配置，切实完善社区矫正与安置帮教设施。依托“智慧法援”“湘易办”“湖南法网·如法网”等线上平台，深化法律援助“点援制”一网通办，推动优质法律资源惠及特殊困难群体和低收入人群。强化法律服务队伍建设，大力培养村（社区）“法律明白人”和志愿者。</w:t>
      </w:r>
      <w:bookmarkEnd w:id="362"/>
    </w:p>
    <w:bookmarkEnd w:id="363"/>
    <w:p w14:paraId="79B8B33B">
      <w:pPr>
        <w:pStyle w:val="6"/>
        <w:spacing w:before="435" w:after="217"/>
      </w:pPr>
      <w:bookmarkStart w:id="365" w:name="_Toc215270579"/>
      <w:bookmarkStart w:id="366" w:name="_Toc232094430"/>
      <w:bookmarkStart w:id="367" w:name="_Toc212282450"/>
      <w:r>
        <w:rPr>
          <w:rFonts w:hint="eastAsia"/>
        </w:rPr>
        <w:t>推进国家安全体系和安全能力</w:t>
      </w:r>
      <w:bookmarkEnd w:id="365"/>
      <w:r>
        <w:rPr>
          <w:rFonts w:hint="eastAsia"/>
        </w:rPr>
        <w:t>现代化</w:t>
      </w:r>
      <w:bookmarkEnd w:id="366"/>
    </w:p>
    <w:p w14:paraId="3DC0C6CF">
      <w:pPr>
        <w:ind w:firstLine="640"/>
      </w:pPr>
      <w:r>
        <w:t>深入贯彻总体国家安全观，锚定健全国家安全体系、提升安全能力核心目标，统筹发展和安全两件大事，全面筑牢安全发展根基。</w:t>
      </w:r>
    </w:p>
    <w:p w14:paraId="2797CE17">
      <w:pPr>
        <w:pStyle w:val="7"/>
        <w:spacing w:before="217" w:after="217"/>
        <w:rPr>
          <w:b w:val="0"/>
        </w:rPr>
      </w:pPr>
      <w:r>
        <w:rPr>
          <w:rFonts w:hint="eastAsia"/>
        </w:rPr>
        <w:t>第一节 健全国家安全体系</w:t>
      </w:r>
    </w:p>
    <w:p w14:paraId="05CA087F">
      <w:pPr>
        <w:ind w:firstLine="640"/>
      </w:pPr>
      <w:r>
        <w:rPr>
          <w:rFonts w:hint="eastAsia"/>
        </w:rPr>
        <w:t>加强党对国家安全工作的领导，巩固集中统一、高效权威的国家安全领导体制，构建新安全格局。健全国家安全法治体系、政策体系、人才体系和运行机制，推进国家安全体系现代化。强化国家安全工作协调机制，健全重点领域安全保障体系和重点专项协调指挥体系。深化全民国防教育，将国防教育融入社会主义核心价值观教育、爱国主义教育、国家安全教育各方面，推动国防教育常态化。落实国家安全主体责任，把国家安全工</w:t>
      </w:r>
      <w:r>
        <w:rPr>
          <w:rFonts w:hint="eastAsia"/>
          <w:spacing w:val="-6"/>
        </w:rPr>
        <w:t>作纳入重要议事日程，同改革发展稳定任务同谋划、同部署、同推进。加强国防动员能力和民兵力量建设，做好“三后”工作，强化军政军民团结，巩固深化全国双拥模范城建设成果。</w:t>
      </w:r>
    </w:p>
    <w:p w14:paraId="32B4B632">
      <w:pPr>
        <w:pStyle w:val="7"/>
        <w:spacing w:before="217" w:after="217"/>
        <w:rPr>
          <w:b w:val="0"/>
        </w:rPr>
      </w:pPr>
      <w:r>
        <w:rPr>
          <w:rFonts w:hint="eastAsia"/>
        </w:rPr>
        <w:t xml:space="preserve">第二节 </w:t>
      </w:r>
      <w:r>
        <w:rPr>
          <w:rFonts w:hint="eastAsia" w:ascii="楷体_GB2312" w:hAnsi="黑体" w:cs="Times New Roman"/>
          <w:bCs/>
          <w:color w:val="000000"/>
          <w:szCs w:val="22"/>
        </w:rPr>
        <w:t>增强维护国家</w:t>
      </w:r>
      <w:r>
        <w:rPr>
          <w:rFonts w:hint="eastAsia"/>
        </w:rPr>
        <w:t>安全能力</w:t>
      </w:r>
    </w:p>
    <w:p w14:paraId="59BE6FA2">
      <w:pPr>
        <w:adjustRightInd w:val="0"/>
        <w:snapToGrid w:val="0"/>
        <w:ind w:firstLine="640"/>
        <w:rPr>
          <w:rFonts w:cs="Times New Roman"/>
          <w:bCs/>
          <w:szCs w:val="32"/>
        </w:rPr>
      </w:pPr>
      <w:r>
        <w:rPr>
          <w:rFonts w:hint="eastAsia" w:cs="Times New Roman"/>
          <w:bCs/>
          <w:szCs w:val="32"/>
        </w:rPr>
        <w:t>全面贯彻总体国家安全观，推进国家安全法律法规实施，完善国家安全力量布局，构建联动高效的国家安全防护体系。坚决捍卫国家政治安全、政权安全、制度安全、意识形态安全，严密防范和严厉打击敌对势力渗透、破坏活动。常态化开展政治安全领域信息分析研判、监测预警与源头预防。加强意识形态风险研判和阵地建设管理，深入开展“清朗”“净网”专项行动。维护水利电力、交通通信、网络数据等重要基础设施安全，确保粮食能源、重要产业、重大科技等关键领域安全可控，加强战略性矿产资源勘探开发和储备。统筹防范涉众金融、房地产、地方政府债务等风险。</w:t>
      </w:r>
    </w:p>
    <w:p w14:paraId="79CD8106">
      <w:pPr>
        <w:pStyle w:val="6"/>
        <w:spacing w:before="435" w:after="217"/>
      </w:pPr>
      <w:bookmarkStart w:id="368" w:name="_Toc215270580"/>
      <w:bookmarkStart w:id="369" w:name="_Toc232094431"/>
      <w:bookmarkStart w:id="370" w:name="_Toc227059023"/>
      <w:r>
        <w:rPr>
          <w:rFonts w:hint="eastAsia"/>
        </w:rPr>
        <w:t>提升公共安全治理</w:t>
      </w:r>
      <w:bookmarkEnd w:id="368"/>
      <w:r>
        <w:rPr>
          <w:rFonts w:hint="eastAsia"/>
        </w:rPr>
        <w:t>水平</w:t>
      </w:r>
      <w:bookmarkEnd w:id="369"/>
      <w:bookmarkEnd w:id="370"/>
    </w:p>
    <w:p w14:paraId="5BDBC7F4">
      <w:pPr>
        <w:ind w:firstLine="640"/>
        <w:rPr>
          <w:rFonts w:cs="Times New Roman"/>
          <w:szCs w:val="32"/>
        </w:rPr>
      </w:pPr>
      <w:r>
        <w:rPr>
          <w:rFonts w:hint="eastAsia" w:cs="Times New Roman"/>
          <w:szCs w:val="32"/>
        </w:rPr>
        <w:t>坚持人民至上、生命至上，构建全域联动、立体高效的城市安全防护体系，全面提升城市本质安全水平、防灾减灾救灾能力和突发公共事件处置保障能力，有效防范化解安全生产和自然灾害重大风险。</w:t>
      </w:r>
    </w:p>
    <w:p w14:paraId="1992B063">
      <w:pPr>
        <w:pStyle w:val="7"/>
        <w:spacing w:before="217" w:after="217"/>
        <w:rPr>
          <w:b w:val="0"/>
        </w:rPr>
      </w:pPr>
      <w:r>
        <w:rPr>
          <w:rFonts w:hint="eastAsia"/>
        </w:rPr>
        <w:t>第一节 健全防灾减灾救灾体系</w:t>
      </w:r>
    </w:p>
    <w:p w14:paraId="2B858A27">
      <w:pPr>
        <w:adjustRightInd w:val="0"/>
        <w:snapToGrid w:val="0"/>
        <w:spacing w:line="550" w:lineRule="exact"/>
        <w:ind w:firstLine="640"/>
        <w:rPr>
          <w:rFonts w:cs="Times New Roman"/>
          <w:bCs/>
          <w:szCs w:val="32"/>
        </w:rPr>
      </w:pPr>
      <w:r>
        <w:rPr>
          <w:rFonts w:hint="eastAsia" w:cs="Times New Roman"/>
          <w:bCs/>
          <w:szCs w:val="32"/>
        </w:rPr>
        <w:t>常态推进灾害综合风险普查和成果应用，动态更新自然灾害风险隐患底数与区划评估，完成地震、地质、气象、水旱、森林火灾等五大类自然灾害综合风险调查评估，提升应急管理和防灾减灾水平。加强综合监测预警能力，应用北斗高精度定位、5G通信、AI算法等关键技术，构建自然灾害综合监测预警模型，健全自然灾害监测网络。强化灾害工程防御能力，进一步提升气象监测精度、预报准度，“十五五”时期，新建自动气象观测站40个，实现平均站网间距小于5公里。加快防洪抗旱重大枢纽工程建设，加强河流堤防达标、中小河流治理、病险水库除险加固及抗旱水源工程建设。</w:t>
      </w:r>
    </w:p>
    <w:p w14:paraId="3D11B8E2">
      <w:pPr>
        <w:pStyle w:val="7"/>
        <w:spacing w:before="217" w:after="217" w:line="550" w:lineRule="exact"/>
        <w:rPr>
          <w:b w:val="0"/>
        </w:rPr>
      </w:pPr>
      <w:r>
        <w:rPr>
          <w:rFonts w:hint="eastAsia"/>
        </w:rPr>
        <w:t>第二节 建设安全生产预防体系</w:t>
      </w:r>
    </w:p>
    <w:p w14:paraId="6BEE9136">
      <w:pPr>
        <w:adjustRightInd w:val="0"/>
        <w:snapToGrid w:val="0"/>
        <w:spacing w:line="550" w:lineRule="exact"/>
        <w:ind w:firstLine="640"/>
        <w:rPr>
          <w:rFonts w:hint="eastAsia" w:hAnsi="等线" w:cs="Times New Roman"/>
          <w:bCs/>
          <w:szCs w:val="32"/>
        </w:rPr>
      </w:pPr>
      <w:r>
        <w:rPr>
          <w:rFonts w:hint="eastAsia" w:hAnsi="等线" w:cs="Times New Roman"/>
          <w:bCs/>
          <w:szCs w:val="32"/>
        </w:rPr>
        <w:t>建立“三抓三查三严”常态化工作机制，加强学校、商超、公园、娱乐场所等人员密集场所巡控，坚决遏制重特大安全事故。强化安全生产风险辨识与评估，建立风险隐患清单与安全风险空间分布图，搭建区域安全风险管理信息平台，实现风险信息动态监管与可视化呈现。细化行业领域标准与指南，加强对重点领域及新技术、新业态安全管控。完善隐患排查治理机制，围绕安全生产“人、机、物、环、法”五要素全面辨识风险，严格执行重大隐患整治“一单四制”制度，严厉惩治违法行为。提升本质安全水平，强化生产经营单位主要负责人、安全生产管理人员和特种作业人员安全培训，压实全员安全责任。推进高危行业风险监测预警能力建设，构建覆盖工矿商贸和城市安全的监测预警体系。健全食品药品安全全过程全链条监管机制，严厉打击食品药品安全违法犯罪活动。</w:t>
      </w:r>
    </w:p>
    <w:p w14:paraId="3A45C006">
      <w:pPr>
        <w:pStyle w:val="7"/>
        <w:spacing w:before="217" w:after="217"/>
        <w:rPr>
          <w:b w:val="0"/>
        </w:rPr>
      </w:pPr>
      <w:r>
        <w:rPr>
          <w:rFonts w:hint="eastAsia"/>
        </w:rPr>
        <w:t>第三节 加强应急救援力量和能力建设</w:t>
      </w:r>
    </w:p>
    <w:p w14:paraId="20E48651">
      <w:pPr>
        <w:adjustRightInd w:val="0"/>
        <w:snapToGrid w:val="0"/>
        <w:ind w:firstLine="640"/>
        <w:rPr>
          <w:rFonts w:cs="Times New Roman"/>
          <w:bCs/>
          <w:szCs w:val="32"/>
        </w:rPr>
      </w:pPr>
      <w:r>
        <w:rPr>
          <w:rFonts w:hint="eastAsia" w:cs="Times New Roman"/>
          <w:bCs/>
          <w:szCs w:val="32"/>
        </w:rPr>
        <w:t>加强应急管理队伍建设，依托实训基地开展实战化教学。构建以综合性消防救援队伍为主力、森林消防应急救援队伍为骨干、军队应急力量为突击、专业应急救援力量为协同、社会应急力量为辅助的综合应急救援体系。优化专业化应急救援队伍布局，重点强化自然灾害、危险化学品、电力、交通等行业应急救援力量。推进应急预案规范化、数字化建设，构建“横向到边、纵向到底”的预案体系。强化实战演练，突出“断路、断电、断网”条件考验，形成“演练—评估—修订”闭环。</w:t>
      </w:r>
      <w:r>
        <w:rPr>
          <w:color w:val="000000" w:themeColor="text1"/>
          <w14:textFill>
            <w14:solidFill>
              <w14:schemeClr w14:val="tx1"/>
            </w14:solidFill>
          </w14:textFill>
        </w:rPr>
        <w:t>完善大安全大应急框架下应急指挥机制</w:t>
      </w:r>
      <w:r>
        <w:rPr>
          <w:rFonts w:hint="eastAsia"/>
          <w:color w:val="000000" w:themeColor="text1"/>
          <w14:textFill>
            <w14:solidFill>
              <w14:schemeClr w14:val="tx1"/>
            </w14:solidFill>
          </w14:textFill>
        </w:rPr>
        <w:t>，</w:t>
      </w:r>
      <w:r>
        <w:rPr>
          <w:rFonts w:hint="eastAsia" w:cs="Times New Roman"/>
          <w:bCs/>
          <w:szCs w:val="32"/>
        </w:rPr>
        <w:t>健全扁平化应急指挥机制，提升协同响应效能。推进乡镇应急管理机构标准化建设，组建“一岗多能”网格员队伍，推进基层“一队多能”队伍建设，实现风险监管全覆盖。</w:t>
      </w:r>
    </w:p>
    <w:tbl>
      <w:tblPr>
        <w:tblStyle w:val="1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796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7A01869F">
            <w:pPr>
              <w:spacing w:before="217" w:beforeLines="50" w:after="217" w:afterLines="50" w:line="440" w:lineRule="exact"/>
              <w:ind w:firstLine="0" w:firstLineChars="0"/>
              <w:jc w:val="center"/>
              <w:outlineLvl w:val="3"/>
              <w:rPr>
                <w:rFonts w:hint="eastAsia" w:ascii="宋体" w:hAnsi="宋体" w:eastAsia="宋体" w:cs="宋体"/>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30</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安全能力提升工程</w:t>
            </w:r>
          </w:p>
        </w:tc>
      </w:tr>
      <w:tr w14:paraId="6C07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53D0F4CE">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应急预案AI应用建设工程。</w:t>
            </w:r>
            <w:r>
              <w:rPr>
                <w:rFonts w:hint="eastAsia" w:cs="Times New Roman"/>
                <w:bCs/>
                <w:kern w:val="0"/>
                <w:sz w:val="24"/>
                <w:szCs w:val="22"/>
                <w14:ligatures w14:val="none"/>
              </w:rPr>
              <w:t>包括搭建应急预案数据库、智能分析建立预警响应指标、开展AI模型训练、研发应急预案AI应用平台等。</w:t>
            </w:r>
          </w:p>
          <w:p w14:paraId="124C60A6">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应急管理能力建设工程。</w:t>
            </w:r>
            <w:r>
              <w:rPr>
                <w:rFonts w:hint="eastAsia" w:cs="Times New Roman"/>
                <w:bCs/>
                <w:kern w:val="0"/>
                <w:sz w:val="24"/>
                <w:szCs w:val="22"/>
                <w14:ligatures w14:val="none"/>
              </w:rPr>
              <w:t>包括应急物资储备体系建设项目、应急救援综合物资装备储备基地项目、应急救援能力提升工程、应急管理队伍建设项目等。</w:t>
            </w:r>
          </w:p>
          <w:p w14:paraId="172483AB">
            <w:pPr>
              <w:spacing w:line="440" w:lineRule="exact"/>
              <w:ind w:firstLine="458"/>
              <w:rPr>
                <w:rFonts w:cs="Times New Roman"/>
                <w:bCs/>
                <w:spacing w:val="-6"/>
                <w:kern w:val="0"/>
                <w:sz w:val="24"/>
                <w:szCs w:val="22"/>
                <w14:ligatures w14:val="none"/>
              </w:rPr>
            </w:pPr>
            <w:r>
              <w:rPr>
                <w:rFonts w:hint="eastAsia" w:cs="Times New Roman"/>
                <w:b/>
                <w:bCs/>
                <w:spacing w:val="-6"/>
                <w:kern w:val="0"/>
                <w:sz w:val="24"/>
                <w:szCs w:val="22"/>
                <w14:ligatures w14:val="none"/>
              </w:rPr>
              <w:t>应急管理信息化建设工程。</w:t>
            </w:r>
            <w:r>
              <w:rPr>
                <w:rFonts w:hint="eastAsia" w:cs="Times New Roman"/>
                <w:bCs/>
                <w:spacing w:val="-6"/>
                <w:kern w:val="0"/>
                <w:sz w:val="24"/>
                <w:szCs w:val="22"/>
                <w14:ligatures w14:val="none"/>
              </w:rPr>
              <w:t>包括应急综合指挥平台建设项目、感知网络建设项目等。</w:t>
            </w:r>
          </w:p>
          <w:p w14:paraId="6EDBF5E9">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应急科普教育基地建设工程。</w:t>
            </w:r>
            <w:r>
              <w:rPr>
                <w:rFonts w:hint="eastAsia" w:cs="Times New Roman"/>
                <w:bCs/>
                <w:kern w:val="0"/>
                <w:sz w:val="24"/>
                <w:szCs w:val="22"/>
                <w14:ligatures w14:val="none"/>
              </w:rPr>
              <w:t>打造集安全教育体验与应急救援科普于一体的现代化综合场馆，其中体验馆重点面向青少年群体，设置交通安全、消防安全等7大主题体验区。</w:t>
            </w:r>
          </w:p>
          <w:p w14:paraId="0775CDBB">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乡镇（街道）应消一体化救援站建设工程。</w:t>
            </w:r>
            <w:r>
              <w:rPr>
                <w:rFonts w:hint="eastAsia" w:cs="Times New Roman"/>
                <w:bCs/>
                <w:kern w:val="0"/>
                <w:sz w:val="24"/>
                <w:szCs w:val="22"/>
                <w14:ligatures w14:val="none"/>
              </w:rPr>
              <w:t>包括推进应消一体救援站标准化建设、构建应消一体化装备体系、升级应急消防综合管理平台等。</w:t>
            </w:r>
          </w:p>
          <w:p w14:paraId="4D622991">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自然灾害风险普查工程。</w:t>
            </w:r>
            <w:r>
              <w:rPr>
                <w:rFonts w:hint="eastAsia" w:cs="Times New Roman"/>
                <w:bCs/>
                <w:kern w:val="0"/>
                <w:sz w:val="24"/>
                <w:szCs w:val="22"/>
                <w14:ligatures w14:val="none"/>
              </w:rPr>
              <w:t>推进自然灾害综合风险调查普查工程，包括综合减灾资源（政府减灾资源和社会减灾资源2大类）、产业（直管行业3大类7小类）、公共服务设施（学校、医疗卫生机构等9类）、县域、乡（镇）基础情况等领域数据更新工作。</w:t>
            </w:r>
          </w:p>
          <w:p w14:paraId="49E18714">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应急避难场所能力提升工程。</w:t>
            </w:r>
            <w:r>
              <w:rPr>
                <w:rFonts w:hint="eastAsia" w:cs="Times New Roman"/>
                <w:bCs/>
                <w:kern w:val="0"/>
                <w:sz w:val="24"/>
                <w:szCs w:val="22"/>
                <w14:ligatures w14:val="none"/>
              </w:rPr>
              <w:t>以“存量改造+增量扩建”模式，优先对符合标准的规划或在建、已建公共设施进行复合化改造，将应急避难功能融入城市发展、嵌入各类规划民生项目。</w:t>
            </w:r>
          </w:p>
        </w:tc>
      </w:tr>
    </w:tbl>
    <w:p w14:paraId="03D847BA">
      <w:pPr>
        <w:pStyle w:val="7"/>
        <w:spacing w:before="217" w:after="217"/>
        <w:rPr>
          <w:b w:val="0"/>
        </w:rPr>
      </w:pPr>
      <w:r>
        <w:rPr>
          <w:rFonts w:hint="eastAsia"/>
        </w:rPr>
        <w:t>第四节 深化社会治安整体防控体系</w:t>
      </w:r>
    </w:p>
    <w:p w14:paraId="1B447008">
      <w:pPr>
        <w:ind w:firstLine="640"/>
      </w:pPr>
      <w:r>
        <w:rPr>
          <w:rFonts w:hint="eastAsia"/>
        </w:rPr>
        <w:t>落实维护社会稳定责任制，统筹推进常态化扫黑除恶斗争、禁毒、反电诈和未成年人权益保护等工作。深化“化解矛盾风险、维护社会稳定”专项治理，严防极端案事件发生，扎实推进重点信访事项集中攻坚。健全立体化智能化社会治安防控体系，推进“雪亮工程”复亮，优化“永州快反135”</w:t>
      </w:r>
      <w:r>
        <w:rPr>
          <w:rFonts w:hint="eastAsia" w:hAnsi="等线" w:cs="Times New Roman"/>
          <w:bCs/>
          <w:szCs w:val="32"/>
        </w:rPr>
        <w:t>“农村15分钟快反圈”</w:t>
      </w:r>
      <w:r>
        <w:rPr>
          <w:rFonts w:hint="eastAsia"/>
        </w:rPr>
        <w:t>机制，做实以社区警务为支撑的派出所主防“12345”模式。发展壮大群防群治力量，完善行政处罚与刑事处罚双向衔接机制，依法严惩违法犯罪活动，持续巩固社会安全稳定局面。</w:t>
      </w:r>
    </w:p>
    <w:p w14:paraId="2B8AA4FF">
      <w:pPr>
        <w:pStyle w:val="6"/>
        <w:spacing w:before="435" w:after="217"/>
      </w:pPr>
      <w:bookmarkStart w:id="371" w:name="_Toc216566210"/>
      <w:bookmarkEnd w:id="371"/>
      <w:bookmarkStart w:id="372" w:name="_Toc216561763"/>
      <w:bookmarkEnd w:id="372"/>
      <w:bookmarkStart w:id="373" w:name="_Toc216563251"/>
      <w:bookmarkEnd w:id="373"/>
      <w:bookmarkStart w:id="374" w:name="_Toc216563322"/>
      <w:bookmarkEnd w:id="374"/>
      <w:bookmarkStart w:id="375" w:name="_Toc232094432"/>
      <w:bookmarkStart w:id="376" w:name="_Toc227059024"/>
      <w:r>
        <w:rPr>
          <w:rFonts w:hint="eastAsia"/>
        </w:rPr>
        <w:t>健全社会治理体系</w:t>
      </w:r>
      <w:bookmarkEnd w:id="375"/>
      <w:bookmarkEnd w:id="376"/>
    </w:p>
    <w:p w14:paraId="00E8860F">
      <w:pPr>
        <w:ind w:firstLine="640"/>
        <w:rPr>
          <w:rFonts w:cs="Times New Roman"/>
          <w:szCs w:val="32"/>
        </w:rPr>
      </w:pPr>
      <w:r>
        <w:rPr>
          <w:rFonts w:hint="eastAsia" w:hAnsi="Calibri" w:cs="Times New Roman"/>
          <w:szCs w:val="32"/>
        </w:rPr>
        <w:t>深化拓展新兴领域党的建设，抓好党建引领基层治理和基层政权建设，做好凝聚服务群众工作，不断激发和增强社会治理活力，形成</w:t>
      </w:r>
      <w:r>
        <w:rPr>
          <w:rFonts w:hint="eastAsia" w:cs="Times New Roman"/>
          <w:szCs w:val="32"/>
        </w:rPr>
        <w:t>体现永州特色、遵循治理规律、满足人民需求的社会治理现代化“永州路径”。</w:t>
      </w:r>
    </w:p>
    <w:p w14:paraId="736BA27F">
      <w:pPr>
        <w:pStyle w:val="7"/>
        <w:spacing w:before="217" w:after="217"/>
        <w:rPr>
          <w:b w:val="0"/>
        </w:rPr>
      </w:pPr>
      <w:r>
        <w:rPr>
          <w:rFonts w:hint="eastAsia"/>
        </w:rPr>
        <w:t>第一节 健全社会工作体制机制</w:t>
      </w:r>
    </w:p>
    <w:p w14:paraId="0345D30F">
      <w:pPr>
        <w:adjustRightInd w:val="0"/>
        <w:snapToGrid w:val="0"/>
        <w:ind w:firstLine="640"/>
        <w:rPr>
          <w:rFonts w:cs="Times New Roman"/>
          <w:bCs/>
          <w:szCs w:val="32"/>
          <w:lang w:bidi="ar"/>
        </w:rPr>
      </w:pPr>
      <w:r>
        <w:rPr>
          <w:rFonts w:hint="eastAsia" w:cs="Times New Roman"/>
          <w:bCs/>
          <w:szCs w:val="32"/>
        </w:rPr>
        <w:t>构建党委统一领导，社会工作部门统筹协调，各部门各负其责、协同配合，全社会共建共享共发展的工作格局。健全完善新兴领域党建工作协调机制，实施新兴领域“两个覆盖”集中攻坚，推动新经济组织、新社会组织、新就业群体党的组织和工作有效覆盖。完善行业协会商会党建工作管理体制，</w:t>
      </w:r>
      <w:r>
        <w:rPr>
          <w:rFonts w:hint="eastAsia" w:cs="Times New Roman"/>
          <w:bCs/>
          <w:szCs w:val="32"/>
          <w:lang w:val="en"/>
        </w:rPr>
        <w:t>推动行业协会商会深化改革和转型发展。</w:t>
      </w:r>
      <w:r>
        <w:rPr>
          <w:rFonts w:hint="eastAsia" w:cs="Times New Roman"/>
          <w:bCs/>
          <w:szCs w:val="32"/>
          <w:lang w:bidi="ar"/>
        </w:rPr>
        <w:t>持续推进基层减负赋能，健全村（社区）工作事项准入制度，建立乡镇（街道）履职事项清单，推动权责资源匹配，推广“街乡吹哨、部门报到”“接诉即办”等做法，搭建各方参与基层治理平台。加强宗亲组织和宗祠规范管理，强化家庭家教家风建设，持续整治农村陈规陋习。</w:t>
      </w:r>
    </w:p>
    <w:p w14:paraId="28BE9B47">
      <w:pPr>
        <w:pStyle w:val="7"/>
        <w:spacing w:before="217" w:after="217"/>
        <w:rPr>
          <w:b w:val="0"/>
        </w:rPr>
      </w:pPr>
      <w:r>
        <w:rPr>
          <w:rFonts w:hint="eastAsia"/>
        </w:rPr>
        <w:t>第二节 夯实社会治理群众基础</w:t>
      </w:r>
    </w:p>
    <w:p w14:paraId="3357A872">
      <w:pPr>
        <w:ind w:firstLine="640"/>
        <w:rPr>
          <w:rFonts w:cs="Times New Roman"/>
          <w:szCs w:val="22"/>
        </w:rPr>
      </w:pPr>
      <w:r>
        <w:rPr>
          <w:rFonts w:hint="eastAsia" w:cs="Times New Roman"/>
          <w:szCs w:val="22"/>
        </w:rPr>
        <w:t>扎实做好凝聚服务群众工作，改进各类社会群体服务管理，</w:t>
      </w:r>
      <w:r>
        <w:rPr>
          <w:color w:val="000000" w:themeColor="text1"/>
          <w14:textFill>
            <w14:solidFill>
              <w14:schemeClr w14:val="tx1"/>
            </w14:solidFill>
          </w14:textFill>
        </w:rPr>
        <w:t>健全利益关系协调、合法权益保障制度</w:t>
      </w:r>
      <w:r>
        <w:rPr>
          <w:rFonts w:hint="eastAsia" w:cs="Times New Roman"/>
          <w:szCs w:val="22"/>
        </w:rPr>
        <w:t>。坚持和发展新时代“枫桥经验”，完善社会矛盾纠纷多元预防调处化解机制，发挥综治中心作用，持续推进政法“五老”+“好邻居”调解。推进信访工作法治化，强化</w:t>
      </w:r>
      <w:r>
        <w:rPr>
          <w:rFonts w:hint="eastAsia" w:ascii="仿宋_GB2312"/>
          <w:color w:val="000000" w:themeColor="text1"/>
          <w14:textFill>
            <w14:solidFill>
              <w14:schemeClr w14:val="tx1"/>
            </w14:solidFill>
          </w14:textFill>
        </w:rPr>
        <w:t>“</w:t>
      </w:r>
      <w:r>
        <w:rPr>
          <w:color w:val="000000" w:themeColor="text1"/>
          <w14:textFill>
            <w14:solidFill>
              <w14:schemeClr w14:val="tx1"/>
            </w14:solidFill>
          </w14:textFill>
        </w:rPr>
        <w:t>12345</w:t>
      </w:r>
      <w:r>
        <w:rPr>
          <w:rFonts w:hint="eastAsia" w:ascii="仿宋_GB2312"/>
          <w:color w:val="000000" w:themeColor="text1"/>
          <w14:textFill>
            <w14:solidFill>
              <w14:schemeClr w14:val="tx1"/>
            </w14:solidFill>
          </w14:textFill>
        </w:rPr>
        <w:t>”</w:t>
      </w:r>
      <w:r>
        <w:rPr>
          <w:color w:val="000000" w:themeColor="text1"/>
          <w14:textFill>
            <w14:solidFill>
              <w14:schemeClr w14:val="tx1"/>
            </w14:solidFill>
          </w14:textFill>
        </w:rPr>
        <w:t>政务服务便民热线等</w:t>
      </w:r>
      <w:r>
        <w:rPr>
          <w:rFonts w:hint="eastAsia" w:cs="Times New Roman"/>
          <w:szCs w:val="22"/>
        </w:rPr>
        <w:t>平台功能，融入全省民意反映渠道一体化平台。健全社会心理服务和危机干预机制，完善基层心理咨询室、社会工作室建设，加强专业心理矫治人才队伍建设，广泛开展心理健康宣传教育和社会心理服务。优化新就业群体服务管理机制，加强群体权益维护与关爱帮扶，推进社区、商圈、楼宇等“友好场景”建设，打造休息、充电、急救等服务阵地。</w:t>
      </w:r>
    </w:p>
    <w:tbl>
      <w:tblPr>
        <w:tblStyle w:val="1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34E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44E5E9FE">
            <w:pPr>
              <w:spacing w:before="217" w:beforeLines="50" w:after="217" w:afterLines="50" w:line="440" w:lineRule="exact"/>
              <w:ind w:firstLine="0" w:firstLineChars="0"/>
              <w:jc w:val="center"/>
              <w:outlineLvl w:val="3"/>
              <w:rPr>
                <w:rFonts w:hint="eastAsia" w:ascii="宋体" w:hAnsi="宋体" w:eastAsia="宋体" w:cs="宋体"/>
                <w:b/>
                <w:color w:val="000000"/>
                <w:kern w:val="0"/>
                <w:szCs w:val="28"/>
                <w14:ligatures w14:val="none"/>
              </w:rPr>
            </w:pPr>
            <w:bookmarkStart w:id="377" w:name="_Hlk216788625"/>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31</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社会治理活力提升工程</w:t>
            </w:r>
          </w:p>
        </w:tc>
      </w:tr>
      <w:tr w14:paraId="35EE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35BE7543">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新兴领域党建引领提升工程。</w:t>
            </w:r>
            <w:r>
              <w:rPr>
                <w:rFonts w:hint="eastAsia" w:ascii="仿宋_GB2312" w:cs="Times New Roman"/>
                <w:bCs/>
                <w:kern w:val="0"/>
                <w:sz w:val="24"/>
                <w:szCs w:val="22"/>
                <w14:ligatures w14:val="none"/>
              </w:rPr>
              <w:t>推进“三有”非公企业、新经济组织“小个专”、社会服务机构及新就业群体党组织应建尽建。规范党员管理，整合党建、政务等多元服务，搭建社会治理集成平台。加强党务工作者轮训与履职能力，强化人员、阵地保障，推进党组织规范化标准化建设，落实“党建入章”等制度，健全共学共商机制。</w:t>
            </w:r>
          </w:p>
          <w:p w14:paraId="66A563FA">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村（社区）治理提升工程。</w:t>
            </w:r>
            <w:r>
              <w:rPr>
                <w:rFonts w:hint="eastAsia" w:ascii="仿宋_GB2312" w:cs="Times New Roman"/>
                <w:bCs/>
                <w:kern w:val="0"/>
                <w:sz w:val="24"/>
                <w:szCs w:val="22"/>
                <w14:ligatures w14:val="none"/>
              </w:rPr>
              <w:t>建设党建引领基层治理创新实验点。完善在职党员“双报到”机制，推广“党组织</w:t>
            </w:r>
            <w:r>
              <w:rPr>
                <w:rFonts w:cs="Times New Roman"/>
                <w:bCs/>
                <w:kern w:val="0"/>
                <w:sz w:val="24"/>
                <w:szCs w:val="22"/>
                <w14:ligatures w14:val="none"/>
              </w:rPr>
              <w:t>+</w:t>
            </w:r>
            <w:r>
              <w:rPr>
                <w:rFonts w:hint="eastAsia" w:ascii="仿宋_GB2312" w:cs="Times New Roman"/>
                <w:bCs/>
                <w:kern w:val="0"/>
                <w:sz w:val="24"/>
                <w:szCs w:val="22"/>
                <w14:ligatures w14:val="none"/>
              </w:rPr>
              <w:t>”等做法。加强社区服务设施配套与综合利用，改善老旧小区社区服务平台，规范新建小区配置标准。探索基层群众性自治组织法人资格，鼓励兴办社区企业、设立发展基金。</w:t>
            </w:r>
          </w:p>
          <w:p w14:paraId="71F96973">
            <w:pPr>
              <w:pStyle w:val="68"/>
              <w:spacing w:line="440" w:lineRule="exact"/>
              <w:ind w:firstLine="482"/>
            </w:pPr>
            <w:r>
              <w:rPr>
                <w:rFonts w:hint="eastAsia"/>
                <w:b/>
                <w:bCs w:val="0"/>
              </w:rPr>
              <w:t>智能赋能社会治理工程。</w:t>
            </w:r>
            <w:r>
              <w:rPr>
                <w:rFonts w:hint="eastAsia"/>
              </w:rPr>
              <w:t>推进“雪亮工程”复亮项目，</w:t>
            </w:r>
            <w:r>
              <w:rPr>
                <w:rFonts w:hint="eastAsia"/>
                <w:bCs w:val="0"/>
              </w:rPr>
              <w:t>升级视频监控系统，优化网络传输能力，实现全市视频高效联网与数据整合。构建视频图像数据库和智能解析系统，打造集视频监控、智能预警、数据共享于一体的综合平台。</w:t>
            </w:r>
            <w:r>
              <w:rPr>
                <w:rFonts w:hint="eastAsia"/>
              </w:rPr>
              <w:t>用好湖南省政法跨部门大数据办案平台和刑事涉案财物库管信息系统，推动政法部门案件办理数据融合共享和涉案财物管理规范化、信息化。</w:t>
            </w:r>
          </w:p>
          <w:p w14:paraId="084F55BE">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社会主体培育工程。</w:t>
            </w:r>
            <w:r>
              <w:rPr>
                <w:rFonts w:hint="eastAsia" w:ascii="仿宋_GB2312" w:cs="Times New Roman"/>
                <w:bCs/>
                <w:kern w:val="0"/>
                <w:sz w:val="24"/>
                <w:szCs w:val="22"/>
                <w14:ligatures w14:val="none"/>
              </w:rPr>
              <w:t>建立市级社会组织领导协调机制与管理服务事项清单，健全“枢纽型”社会组织工作体系，力争培育市级“枢纽型”社会组织</w:t>
            </w:r>
            <w:r>
              <w:rPr>
                <w:rFonts w:cs="Times New Roman"/>
                <w:bCs/>
                <w:kern w:val="0"/>
                <w:sz w:val="24"/>
                <w:szCs w:val="22"/>
                <w14:ligatures w14:val="none"/>
              </w:rPr>
              <w:t>2</w:t>
            </w:r>
            <w:r>
              <w:rPr>
                <w:rFonts w:hint="eastAsia" w:ascii="仿宋_GB2312" w:cs="Times New Roman"/>
                <w:bCs/>
                <w:kern w:val="0"/>
                <w:sz w:val="24"/>
                <w:szCs w:val="22"/>
                <w14:ligatures w14:val="none"/>
              </w:rPr>
              <w:t>个以上，各县市区“枢纽型”社会组织</w:t>
            </w:r>
            <w:r>
              <w:rPr>
                <w:rFonts w:cs="Times New Roman"/>
                <w:bCs/>
                <w:kern w:val="0"/>
                <w:sz w:val="24"/>
                <w:szCs w:val="22"/>
                <w14:ligatures w14:val="none"/>
              </w:rPr>
              <w:t>1</w:t>
            </w:r>
            <w:r>
              <w:rPr>
                <w:rFonts w:hint="eastAsia" w:ascii="仿宋_GB2312" w:cs="Times New Roman"/>
                <w:bCs/>
                <w:kern w:val="0"/>
                <w:sz w:val="24"/>
                <w:szCs w:val="22"/>
                <w14:ligatures w14:val="none"/>
              </w:rPr>
              <w:t>个以上，孵化一批应急、社区服务、公益慈善等社会组织。完善政府购买服务机制与清单，引导社会组织参与社区治理。支持利用公益补助、党组织服务群众经费等购买社会组织服务。</w:t>
            </w:r>
          </w:p>
          <w:p w14:paraId="66992254">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社工人才培养工程。</w:t>
            </w:r>
            <w:r>
              <w:rPr>
                <w:rFonts w:hint="eastAsia" w:ascii="仿宋_GB2312" w:cs="Times New Roman"/>
                <w:bCs/>
                <w:kern w:val="0"/>
                <w:sz w:val="24"/>
                <w:szCs w:val="22"/>
                <w14:ligatures w14:val="none"/>
              </w:rPr>
              <w:t>加强民政、卫生、教育等重点领域基层人才队伍建设，组织职业资格考试，“十五五”时期，实现全市社会工作专业人才超</w:t>
            </w:r>
            <w:r>
              <w:rPr>
                <w:rFonts w:cs="Times New Roman"/>
                <w:bCs/>
                <w:kern w:val="0"/>
                <w:sz w:val="24"/>
                <w:szCs w:val="22"/>
                <w14:ligatures w14:val="none"/>
              </w:rPr>
              <w:t>1</w:t>
            </w:r>
            <w:r>
              <w:rPr>
                <w:rFonts w:hint="eastAsia" w:ascii="仿宋_GB2312" w:cs="Times New Roman"/>
                <w:bCs/>
                <w:kern w:val="0"/>
                <w:sz w:val="24"/>
                <w:szCs w:val="22"/>
                <w14:ligatures w14:val="none"/>
              </w:rPr>
              <w:t>万人、持证比例不低于</w:t>
            </w:r>
            <w:r>
              <w:rPr>
                <w:rFonts w:cs="Times New Roman"/>
                <w:bCs/>
                <w:kern w:val="0"/>
                <w:sz w:val="24"/>
                <w:szCs w:val="22"/>
                <w14:ligatures w14:val="none"/>
              </w:rPr>
              <w:t>15</w:t>
            </w:r>
            <w:r>
              <w:rPr>
                <w:rFonts w:ascii="仿宋_GB2312" w:cs="Times New Roman"/>
                <w:bCs/>
                <w:kern w:val="0"/>
                <w:sz w:val="24"/>
                <w:szCs w:val="22"/>
                <w14:ligatures w14:val="none"/>
              </w:rPr>
              <w:t>%</w:t>
            </w:r>
            <w:r>
              <w:rPr>
                <w:rFonts w:hint="eastAsia" w:ascii="仿宋_GB2312" w:cs="Times New Roman"/>
                <w:bCs/>
                <w:kern w:val="0"/>
                <w:sz w:val="24"/>
                <w:szCs w:val="22"/>
                <w14:ligatures w14:val="none"/>
              </w:rPr>
              <w:t>。落实社区工作者“</w:t>
            </w:r>
            <w:r>
              <w:rPr>
                <w:rFonts w:cs="Times New Roman"/>
                <w:bCs/>
                <w:kern w:val="0"/>
                <w:sz w:val="24"/>
                <w:szCs w:val="22"/>
                <w14:ligatures w14:val="none"/>
              </w:rPr>
              <w:t>3</w:t>
            </w:r>
            <w:r>
              <w:rPr>
                <w:rFonts w:hint="eastAsia" w:cs="Times New Roman"/>
                <w:bCs/>
                <w:kern w:val="0"/>
                <w:sz w:val="24"/>
                <w:szCs w:val="22"/>
                <w14:ligatures w14:val="none"/>
              </w:rPr>
              <w:t>岗</w:t>
            </w:r>
            <w:r>
              <w:rPr>
                <w:rFonts w:cs="Times New Roman"/>
                <w:bCs/>
                <w:kern w:val="0"/>
                <w:sz w:val="24"/>
                <w:szCs w:val="22"/>
                <w14:ligatures w14:val="none"/>
              </w:rPr>
              <w:t>13</w:t>
            </w:r>
            <w:r>
              <w:rPr>
                <w:rFonts w:hint="eastAsia" w:cs="Times New Roman"/>
                <w:bCs/>
                <w:kern w:val="0"/>
                <w:sz w:val="24"/>
                <w:szCs w:val="22"/>
                <w14:ligatures w14:val="none"/>
              </w:rPr>
              <w:t>级</w:t>
            </w:r>
            <w:r>
              <w:rPr>
                <w:rFonts w:hint="eastAsia" w:ascii="仿宋_GB2312" w:cs="Times New Roman"/>
                <w:bCs/>
                <w:kern w:val="0"/>
                <w:sz w:val="24"/>
                <w:szCs w:val="22"/>
                <w14:ligatures w14:val="none"/>
              </w:rPr>
              <w:t>”岗位等级序列及省内互认，规范招录、管理、考核等流程，建立培训师资库与实习基地。鼓励高校毕业生到社区就业创业，推动符合条件的社区党组织书记择优选聘或选拔进街道（乡镇）领导班子。</w:t>
            </w:r>
          </w:p>
          <w:p w14:paraId="1BC6D539">
            <w:pPr>
              <w:spacing w:line="440" w:lineRule="exact"/>
              <w:ind w:firstLine="482"/>
              <w:rPr>
                <w:rFonts w:cs="Times New Roman"/>
                <w:bCs/>
                <w:kern w:val="0"/>
                <w:sz w:val="24"/>
                <w:szCs w:val="22"/>
                <w14:ligatures w14:val="none"/>
              </w:rPr>
            </w:pPr>
            <w:r>
              <w:rPr>
                <w:rFonts w:hint="eastAsia" w:ascii="仿宋_GB2312" w:cs="Times New Roman"/>
                <w:b/>
                <w:kern w:val="0"/>
                <w:sz w:val="24"/>
                <w:szCs w:val="22"/>
                <w14:ligatures w14:val="none"/>
              </w:rPr>
              <w:t>社会关系融合工程。</w:t>
            </w:r>
            <w:r>
              <w:rPr>
                <w:rFonts w:hint="eastAsia" w:ascii="仿宋_GB2312" w:cs="Times New Roman"/>
                <w:bCs/>
                <w:kern w:val="0"/>
                <w:sz w:val="24"/>
                <w:szCs w:val="22"/>
                <w14:ligatures w14:val="none"/>
              </w:rPr>
              <w:t>落实信访工作责任制，畅通群众诉求通道，化解重复信访与积案，创新网上信访受理模式。健全矛盾排查预警、多元化解机制，推进诉源治理与重大决策社会稳定风险评估，加强调解员专业化建设。完善社会心理服务与危机干预机制，“十五五”时期，实现全市中小学校、城乡社区、党群服务中心心理咨询室全覆盖。</w:t>
            </w:r>
          </w:p>
        </w:tc>
      </w:tr>
      <w:bookmarkEnd w:id="377"/>
    </w:tbl>
    <w:p w14:paraId="1F159779">
      <w:pPr>
        <w:widowControl/>
        <w:spacing w:line="240" w:lineRule="auto"/>
        <w:ind w:firstLine="0" w:firstLineChars="0"/>
        <w:jc w:val="left"/>
      </w:pPr>
      <w:r>
        <w:br w:type="page"/>
      </w:r>
    </w:p>
    <w:bookmarkEnd w:id="367"/>
    <w:p w14:paraId="1A60B4C8">
      <w:pPr>
        <w:pStyle w:val="5"/>
      </w:pPr>
      <w:bookmarkStart w:id="378" w:name="_Toc212282452"/>
      <w:bookmarkStart w:id="379" w:name="_Toc232094433"/>
      <w:r>
        <w:rPr>
          <w:rFonts w:hint="eastAsia"/>
        </w:rPr>
        <w:t>加强规划实施保障</w:t>
      </w:r>
      <w:bookmarkEnd w:id="378"/>
      <w:bookmarkEnd w:id="379"/>
    </w:p>
    <w:p w14:paraId="0B041C80">
      <w:pPr>
        <w:spacing w:line="550" w:lineRule="exact"/>
        <w:ind w:firstLine="640"/>
      </w:pPr>
    </w:p>
    <w:p w14:paraId="37C604AF">
      <w:pPr>
        <w:spacing w:line="550" w:lineRule="exact"/>
        <w:ind w:firstLine="640"/>
      </w:pPr>
      <w:r>
        <w:rPr>
          <w:rFonts w:hint="eastAsia"/>
        </w:rPr>
        <w:t>坚持和加强党的全面领导，健全规划体系，完善规划实施机制，科学统筹施策，合理配置资源，凝聚全市力量，推动规划顺利实施和落地见效。</w:t>
      </w:r>
    </w:p>
    <w:p w14:paraId="42AE9187">
      <w:pPr>
        <w:pStyle w:val="6"/>
        <w:spacing w:before="435" w:after="217"/>
      </w:pPr>
      <w:bookmarkStart w:id="380" w:name="_Toc215270584"/>
      <w:bookmarkStart w:id="381" w:name="_Toc232094434"/>
      <w:bookmarkStart w:id="382" w:name="_Toc212282453"/>
      <w:bookmarkStart w:id="383" w:name="_Toc215259696"/>
      <w:r>
        <w:rPr>
          <w:rFonts w:hint="eastAsia"/>
        </w:rPr>
        <w:t>广泛凝聚推进中国式现代化永州实践的磅礴力量</w:t>
      </w:r>
      <w:bookmarkEnd w:id="380"/>
      <w:bookmarkEnd w:id="381"/>
      <w:bookmarkEnd w:id="382"/>
      <w:bookmarkEnd w:id="383"/>
    </w:p>
    <w:p w14:paraId="3E11CDB9">
      <w:pPr>
        <w:spacing w:line="550" w:lineRule="exact"/>
        <w:ind w:firstLine="640"/>
      </w:pPr>
      <w:r>
        <w:rPr>
          <w:rFonts w:hint="eastAsia"/>
        </w:rPr>
        <w:t>贯彻落实新时代党的建设总要求，持之以恒推进全面从严治党，充分发挥党总揽全局、协调各方的领导核心作用，形成推动永州高质量发展的强大合力。</w:t>
      </w:r>
    </w:p>
    <w:p w14:paraId="4C0DF857">
      <w:pPr>
        <w:pStyle w:val="7"/>
        <w:spacing w:before="217" w:after="217" w:line="550" w:lineRule="exact"/>
        <w:rPr>
          <w:b w:val="0"/>
        </w:rPr>
      </w:pPr>
      <w:bookmarkStart w:id="384" w:name="_Toc215259697"/>
      <w:r>
        <w:rPr>
          <w:rFonts w:hint="eastAsia"/>
        </w:rPr>
        <w:t>第一节 坚持和加强党的全面领导</w:t>
      </w:r>
      <w:bookmarkEnd w:id="384"/>
    </w:p>
    <w:p w14:paraId="4EFCFC0B">
      <w:pPr>
        <w:spacing w:line="550" w:lineRule="exact"/>
        <w:ind w:firstLine="640"/>
      </w:pPr>
      <w:r>
        <w:rPr>
          <w:rFonts w:hint="eastAsia"/>
        </w:rPr>
        <w:t>深入学习贯彻习近平新时代中国特色社会主义思想，持续用党的创新理论统一思想、统一意志、统一行动。完善党中央重大决策部署落实机制，确保党中央政令在永州畅通无阻、令行禁止。发扬党内民主，健全和落实民主集中制。持之以恒加固中央八项规定精神堤坝，推进作风建设常态化长效化。深入整治形式主义，为基层减负赋能。深化基层监督体制机制改革，加强对权力配置、运行的规范和监督。充分发挥“四种形态”层层设防作用，构建教育、提醒、纠偏、重处、严惩立体防线。保持反腐败永远在路上的清醒坚定，一体推进“三不腐”，坚决打好反腐败斗争攻坚战、持久战、总体战。深化清廉永州建设，以风清气正的政治生态引领形成良好发展环境。</w:t>
      </w:r>
    </w:p>
    <w:p w14:paraId="5A5E150D">
      <w:pPr>
        <w:pStyle w:val="7"/>
        <w:spacing w:before="217" w:after="217" w:line="550" w:lineRule="exact"/>
        <w:rPr>
          <w:b w:val="0"/>
        </w:rPr>
      </w:pPr>
      <w:bookmarkStart w:id="385" w:name="_Toc215259698"/>
      <w:r>
        <w:rPr>
          <w:rFonts w:hint="eastAsia"/>
        </w:rPr>
        <w:t>第二节 加强社会主义民主政治建设</w:t>
      </w:r>
      <w:bookmarkEnd w:id="385"/>
    </w:p>
    <w:p w14:paraId="665A7281">
      <w:pPr>
        <w:spacing w:line="550" w:lineRule="exact"/>
        <w:ind w:firstLine="640"/>
      </w:pPr>
      <w:r>
        <w:rPr>
          <w:rFonts w:hint="eastAsia"/>
        </w:rPr>
        <w:t>坚持党的领导、人民当家作主、依法治国有机统一，扎实推进全过程人民民主的永州实践，坚定不移走中国特色社会主义政治发展道路。坚持和完善人民代表大会制度，支持和保证人大及其常委会依法行使各项职权，加强对“一府一委两院”监督。坚持和完善中国共产党领导的多党合作和政治协商制度，推进协商民主广泛多层制度化发展，推动发扬民主和增进团结相互贯通、建言资政和凝聚共识双向发力。完善大统战工作格局，有效凝聚各方力量。铸牢中华民族共同体意识，全面推进中华民族共有精神家园建设，积极创建全国民族团结进步示范市。全面贯彻党的宗教工作基本方针，提高宗教事务治理法治化水平。广泛汇聚港澳台同胞、海外侨胞的智慧和力量，巩固和发展最广泛的爱国统一战线。</w:t>
      </w:r>
    </w:p>
    <w:p w14:paraId="36E7B673">
      <w:pPr>
        <w:pStyle w:val="7"/>
        <w:spacing w:before="217" w:after="217"/>
        <w:rPr>
          <w:b w:val="0"/>
        </w:rPr>
      </w:pPr>
      <w:bookmarkStart w:id="386" w:name="_Toc215259702"/>
      <w:r>
        <w:rPr>
          <w:rFonts w:hint="eastAsia"/>
        </w:rPr>
        <w:t>第三节 充分调动各方面积极性主动性创造性</w:t>
      </w:r>
      <w:bookmarkEnd w:id="386"/>
    </w:p>
    <w:p w14:paraId="724F2FB8">
      <w:pPr>
        <w:ind w:firstLine="640"/>
      </w:pPr>
      <w:r>
        <w:rPr>
          <w:rFonts w:hint="eastAsia"/>
        </w:rPr>
        <w:t>贯彻尊重劳动、尊重知识、尊重人才、尊重创造的方针，激发全社会干事创业、创新创造活力。更好发挥工会、共青团、妇联等群团组织作用，加强产业工人队伍建设，推动青少年发展、妇女儿童事业发展。树立和践行正确政绩观，常态化推进“一树两严”教育，完善领导班子和领导干部考核评价体系，树立正确选人用人导向，推进领导干部能上能下常态化，建设政治过硬、具备领导现代化建设能力的干部队伍。健全基层党组织领导的基层群众自治机制，拓宽基层各类组织和群众有序参与基层治理渠道，健全吸纳民意、汇集民智工作机制。</w:t>
      </w:r>
    </w:p>
    <w:p w14:paraId="62E68CCB">
      <w:pPr>
        <w:pStyle w:val="6"/>
        <w:spacing w:before="435" w:after="217"/>
      </w:pPr>
      <w:bookmarkStart w:id="387" w:name="_Toc212282455"/>
      <w:bookmarkStart w:id="388" w:name="_Toc215270586"/>
      <w:bookmarkStart w:id="389" w:name="_Toc215259703"/>
      <w:bookmarkStart w:id="390" w:name="_Toc232094435"/>
      <w:r>
        <w:rPr>
          <w:rFonts w:hint="eastAsia"/>
        </w:rPr>
        <w:t>完善规划实施机制</w:t>
      </w:r>
      <w:bookmarkEnd w:id="387"/>
      <w:bookmarkEnd w:id="388"/>
      <w:bookmarkEnd w:id="389"/>
      <w:bookmarkEnd w:id="390"/>
    </w:p>
    <w:p w14:paraId="41B437C4">
      <w:pPr>
        <w:ind w:firstLine="640"/>
      </w:pPr>
      <w:bookmarkStart w:id="391" w:name="_Hlk215348346"/>
      <w:r>
        <w:rPr>
          <w:rFonts w:hint="eastAsia"/>
        </w:rPr>
        <w:t>落实《中华人民共和国国家发展规划法》，突出规划纲要统领作用，加强各类规划衔接配合，构建责任分工清晰、监测评估精准、监督评价有力、政策协同高效、要素保障到位的实施推进机制，扎实提升规划实施效能。</w:t>
      </w:r>
    </w:p>
    <w:p w14:paraId="39CC22E2">
      <w:pPr>
        <w:pStyle w:val="7"/>
        <w:spacing w:before="217" w:after="217"/>
        <w:rPr>
          <w:b w:val="0"/>
        </w:rPr>
      </w:pPr>
      <w:bookmarkStart w:id="392" w:name="_Toc215259704"/>
      <w:r>
        <w:rPr>
          <w:rFonts w:hint="eastAsia"/>
        </w:rPr>
        <w:t>第一节 深入健全统一规划体系</w:t>
      </w:r>
      <w:bookmarkEnd w:id="392"/>
    </w:p>
    <w:p w14:paraId="67631948">
      <w:pPr>
        <w:ind w:firstLine="640"/>
      </w:pPr>
      <w:r>
        <w:rPr>
          <w:rFonts w:hint="eastAsia"/>
        </w:rPr>
        <w:t>更好发挥发展规划战略导向作用，以发展规划为统领、国土空间规划为基础、专项规划和区域规划为支撑，进一步完善定位准确、边界清晰、功能互补、统一衔接的规划体系。依据发展规划同步部署、同步编制、同步实施一批重点专项规划，量化具体目标、细化任务举措。加强各县市区规划对本规划的贯彻落实，坚持下位规划服从上位规划、下级规划服务上级规划、等位规划相互协调。强化各类规划在目标设定、项目安排、政策机制等方面的协调衔接，确保方向一致、任务协同、资源统筹，避免规划冲突和重复建设，形成全市“一盘棋”的发展格局。</w:t>
      </w:r>
    </w:p>
    <w:p w14:paraId="5FCDCF8C">
      <w:pPr>
        <w:pStyle w:val="7"/>
        <w:spacing w:before="217" w:after="217"/>
        <w:rPr>
          <w:b w:val="0"/>
        </w:rPr>
      </w:pPr>
      <w:bookmarkStart w:id="393" w:name="_Toc215259705"/>
      <w:r>
        <w:rPr>
          <w:rFonts w:hint="eastAsia"/>
        </w:rPr>
        <w:t>第二节 压实规划</w:t>
      </w:r>
      <w:bookmarkEnd w:id="393"/>
      <w:r>
        <w:rPr>
          <w:rFonts w:hint="eastAsia"/>
        </w:rPr>
        <w:t>实施主体责任</w:t>
      </w:r>
    </w:p>
    <w:p w14:paraId="75A01961">
      <w:pPr>
        <w:ind w:firstLine="640"/>
      </w:pPr>
      <w:r>
        <w:rPr>
          <w:rFonts w:hint="eastAsia"/>
        </w:rPr>
        <w:t>本规划经市人民代表大会审查和批准，由市人民政府组织实施。市人民政府依据本规划制定实施国民经济和社会发展年度计划，根据规划指标科学设定年度目标并做好年度间综合平衡，合理确定年度工作重点任务。各级各部门要按照职责分工，针对本规划目标任务制定可操作可评估的实施方案。对约束性指标及公共服务、生态环保、安全保障等领域任务，明确责任主体，强化分解落实。对预期性指标和产业发展、结构调整等领域任务，创造良好政策环境、体制环境和法治环境，切实依托市场主体作用推动相关指标和任务实现。细化重大工程项目清单，分类推进单体项目、打捆项目落地实施，“十五五”期间开展前期工作和研究论证的项目，条件成熟的按程序推动开工建设。</w:t>
      </w:r>
    </w:p>
    <w:p w14:paraId="19FA912E">
      <w:pPr>
        <w:pStyle w:val="7"/>
        <w:spacing w:before="217" w:after="217"/>
        <w:rPr>
          <w:b w:val="0"/>
        </w:rPr>
      </w:pPr>
      <w:r>
        <w:rPr>
          <w:rFonts w:hint="eastAsia"/>
        </w:rPr>
        <w:t>第三节 加强规划质效监督评估</w:t>
      </w:r>
    </w:p>
    <w:p w14:paraId="3CA05DC4">
      <w:pPr>
        <w:ind w:firstLine="640"/>
      </w:pPr>
      <w:r>
        <w:rPr>
          <w:rFonts w:hint="eastAsia"/>
        </w:rPr>
        <w:t>开展动态监测、中期评估和总结评估，加强形势跟踪和风险研判，根据监测评估情况及时提出加强和改进规划实施的政策举措。规划实施情况依法接受市人民代表大会及其常务委员会的监督。强化规划的权威性、严肃性，未经法定程序批准，不得随意调整更改各类规划。完善政府向人大、政协的报告与沟通机制，健全政府与企业、民众的交流与反馈机制，坚持规划公开透明，自觉接受人大监督、政协民主监督、审计监督和社会监督。</w:t>
      </w:r>
      <w:bookmarkEnd w:id="391"/>
    </w:p>
    <w:p w14:paraId="6F39E9B0">
      <w:pPr>
        <w:pStyle w:val="7"/>
        <w:spacing w:before="217" w:after="217"/>
        <w:rPr>
          <w:b w:val="0"/>
        </w:rPr>
      </w:pPr>
      <w:r>
        <w:rPr>
          <w:rFonts w:hint="eastAsia"/>
        </w:rPr>
        <w:t>第四节 强化规划实施要素保障</w:t>
      </w:r>
    </w:p>
    <w:p w14:paraId="1BC6FBB4">
      <w:pPr>
        <w:pStyle w:val="39"/>
        <w:ind w:firstLine="640"/>
        <w:rPr>
          <w:b w:val="0"/>
          <w:color w:val="auto"/>
          <w:sz w:val="32"/>
        </w:rPr>
      </w:pPr>
      <w:r>
        <w:rPr>
          <w:rFonts w:hint="eastAsia"/>
          <w:b w:val="0"/>
          <w:color w:val="auto"/>
          <w:sz w:val="32"/>
        </w:rPr>
        <w:t>建立健全“项目跟着规划走、要素跟着项目走”机制，加快规划确定的重大项目审批核准。统筹财力合理安排财政支出规模和结构，市级财政资金优先投向规划确定的重点任务和重大项目。强化金融政策支撑作用，引导和鼓励各类金融机构重点支持规划确定的重点领域和薄弱环节。聚焦规划明确的产业发展方向，系统制定并动态优化靶向精准、协同高效的产业配套政策体系，细化技术创新、人才引育等专项政策措施。制定与规划相匹配的用地、用水、用能、碳排放、排污权等保障方案，在符合全市总量控制要求条件下，依法依规保障规划确定的重大项目建设所需各类资源要素。</w:t>
      </w:r>
    </w:p>
    <w:p w14:paraId="3BB2D81F">
      <w:pPr>
        <w:ind w:firstLine="640"/>
      </w:pPr>
      <w:r>
        <w:rPr>
          <w:rFonts w:hint="eastAsia"/>
        </w:rPr>
        <w:t>全市人民要更加紧密地团结在以习近平同志为核心的党中央周围，在省委、省政府和市委、市政府的坚强领导下，坚定信心、激昂斗志、锐意进取、攻坚克难，大力发扬团结拼搏、永不言弃的“永冲锋”精神，为推动永州“十五五”美好蓝图变为生动现实，谱写高质量发展新篇章而努力奋斗！</w:t>
      </w:r>
    </w:p>
    <w:p w14:paraId="586475F2">
      <w:pPr>
        <w:widowControl/>
        <w:overflowPunct/>
        <w:spacing w:line="240" w:lineRule="auto"/>
        <w:ind w:firstLine="0" w:firstLineChars="0"/>
        <w:jc w:val="left"/>
      </w:pPr>
      <w:r>
        <w:br w:type="page"/>
      </w:r>
    </w:p>
    <w:p w14:paraId="27055072">
      <w:pPr>
        <w:ind w:firstLine="640"/>
      </w:pPr>
    </w:p>
    <w:p w14:paraId="21E37DDF">
      <w:pPr>
        <w:ind w:firstLine="640"/>
      </w:pPr>
    </w:p>
    <w:p w14:paraId="26516B8A">
      <w:pPr>
        <w:pStyle w:val="99"/>
      </w:pPr>
      <w:bookmarkStart w:id="394" w:name="_Toc232094436"/>
      <w:r>
        <w:rPr>
          <w:rFonts w:hint="eastAsia"/>
        </w:rPr>
        <w:t>名 词 解 释</w:t>
      </w:r>
      <w:bookmarkEnd w:id="394"/>
    </w:p>
    <w:p w14:paraId="29B2C653">
      <w:pPr>
        <w:ind w:firstLine="640"/>
      </w:pPr>
    </w:p>
    <w:p w14:paraId="672F6B65">
      <w:pPr>
        <w:ind w:firstLine="640"/>
      </w:pPr>
      <w:r>
        <w:rPr>
          <w:rFonts w:hint="eastAsia"/>
        </w:rPr>
        <w:t>1.</w:t>
      </w:r>
      <w:r>
        <w:rPr>
          <w:rFonts w:hint="eastAsia"/>
          <w:b/>
          <w:bCs/>
        </w:rPr>
        <w:t>“五好”园区：</w:t>
      </w:r>
      <w:r>
        <w:rPr>
          <w:rFonts w:hint="eastAsia"/>
        </w:rPr>
        <w:t>规划定位好、创新平台好、产业项目好、体制机制好、发展环境好的园区。</w:t>
      </w:r>
    </w:p>
    <w:p w14:paraId="7A071E62">
      <w:pPr>
        <w:ind w:firstLine="640"/>
      </w:pPr>
      <w:r>
        <w:rPr>
          <w:rFonts w:hint="eastAsia"/>
        </w:rPr>
        <w:t>2.</w:t>
      </w:r>
      <w:r>
        <w:rPr>
          <w:rFonts w:hint="eastAsia"/>
          <w:b/>
          <w:bCs/>
        </w:rPr>
        <w:t>“三品”标杆企业：</w:t>
      </w:r>
      <w:r>
        <w:rPr>
          <w:rFonts w:hint="eastAsia"/>
        </w:rPr>
        <w:t>在增品种、提品质、创品牌实践过程中业绩显著，具有重要示范和导向作用的企业。</w:t>
      </w:r>
    </w:p>
    <w:p w14:paraId="7E257C7A">
      <w:pPr>
        <w:ind w:firstLine="640"/>
      </w:pPr>
      <w:r>
        <w:rPr>
          <w:rFonts w:hint="eastAsia"/>
        </w:rPr>
        <w:t>3.</w:t>
      </w:r>
      <w:r>
        <w:rPr>
          <w:rFonts w:hint="eastAsia"/>
          <w:b/>
          <w:bCs/>
        </w:rPr>
        <w:t>工业经济增长“第二曲线”：</w:t>
      </w:r>
      <w:r>
        <w:rPr>
          <w:rFonts w:hint="eastAsia"/>
        </w:rPr>
        <w:t>在传统工业动能减弱时，通过技术、模式与生态的系统性创新，开辟并主导的以高质量发展为特征的新一轮可持续增长路径。</w:t>
      </w:r>
    </w:p>
    <w:p w14:paraId="7F253D4B">
      <w:pPr>
        <w:ind w:firstLine="640"/>
      </w:pPr>
      <w:r>
        <w:rPr>
          <w:rFonts w:hint="eastAsia"/>
        </w:rPr>
        <w:t>4.</w:t>
      </w:r>
      <w:r>
        <w:rPr>
          <w:rFonts w:hint="eastAsia"/>
          <w:b/>
          <w:bCs/>
        </w:rPr>
        <w:t>“智改数转网联”：</w:t>
      </w:r>
      <w:r>
        <w:rPr>
          <w:rFonts w:hint="eastAsia"/>
        </w:rPr>
        <w:t>智能化改造、数字化转型、网络化联接。</w:t>
      </w:r>
    </w:p>
    <w:p w14:paraId="52AD5284">
      <w:pPr>
        <w:ind w:firstLine="640"/>
      </w:pPr>
      <w:r>
        <w:rPr>
          <w:rFonts w:hint="eastAsia"/>
        </w:rPr>
        <w:t>5.</w:t>
      </w:r>
      <w:r>
        <w:rPr>
          <w:rFonts w:hint="eastAsia"/>
          <w:b/>
          <w:bCs/>
        </w:rPr>
        <w:t>两业融合：</w:t>
      </w:r>
      <w:r>
        <w:rPr>
          <w:rFonts w:hint="eastAsia"/>
        </w:rPr>
        <w:t>指先进制造业和现代服务业融合，是在技术进步、市场开放、制度创新的驱动下，通过技术牵引、产业联动、链条延伸等途径，推动产业交叉渗透，培育形成新业态新模式，促进制造业和服务业协同耦合。</w:t>
      </w:r>
    </w:p>
    <w:p w14:paraId="5E437DEC">
      <w:pPr>
        <w:ind w:firstLine="640"/>
      </w:pPr>
      <w:r>
        <w:rPr>
          <w:rFonts w:hint="eastAsia"/>
        </w:rPr>
        <w:t>6.</w:t>
      </w:r>
      <w:r>
        <w:rPr>
          <w:rFonts w:hint="eastAsia"/>
          <w:b/>
          <w:bCs/>
        </w:rPr>
        <w:t>“湘商回归”：</w:t>
      </w:r>
      <w:r>
        <w:rPr>
          <w:rFonts w:hint="eastAsia"/>
        </w:rPr>
        <w:t>吸引在外湖南籍企业家回乡投资的专项工作品牌。</w:t>
      </w:r>
    </w:p>
    <w:p w14:paraId="5E42BD1F">
      <w:pPr>
        <w:ind w:firstLine="640"/>
      </w:pPr>
      <w:r>
        <w:rPr>
          <w:rFonts w:hint="eastAsia"/>
        </w:rPr>
        <w:t>7.</w:t>
      </w:r>
      <w:r>
        <w:rPr>
          <w:rFonts w:hint="eastAsia"/>
          <w:b/>
          <w:bCs/>
        </w:rPr>
        <w:t>“两图两库两队三池”：</w:t>
      </w:r>
      <w:r>
        <w:rPr>
          <w:rFonts w:hint="eastAsia"/>
        </w:rPr>
        <w:t>“两图”即产业链全景图、招商线路图，“两库”即产业链客商库、招商项目库，“两队”即驻点招商团队、专家顾问咨询团队，“三池”即人才池、技术池、资金池。</w:t>
      </w:r>
    </w:p>
    <w:p w14:paraId="5429BFA2">
      <w:pPr>
        <w:ind w:firstLine="640"/>
      </w:pPr>
      <w:r>
        <w:rPr>
          <w:rFonts w:hint="eastAsia"/>
        </w:rPr>
        <w:t>8.</w:t>
      </w:r>
      <w:r>
        <w:rPr>
          <w:rFonts w:hint="eastAsia"/>
          <w:b/>
          <w:bCs/>
        </w:rPr>
        <w:t>科创飞地：</w:t>
      </w:r>
      <w:r>
        <w:rPr>
          <w:rFonts w:hint="eastAsia"/>
        </w:rPr>
        <w:t>指一个地区在异地设立科创园区、科创平台等，通过科创要素和产业要素跨区域对接，从“飞入地”汲取技术、资金、人才等资源，为“飞出地”的产业发展提供源源不断的“养料”。</w:t>
      </w:r>
    </w:p>
    <w:p w14:paraId="60A993B9">
      <w:pPr>
        <w:ind w:firstLine="640"/>
      </w:pPr>
      <w:r>
        <w:rPr>
          <w:rFonts w:hint="eastAsia"/>
        </w:rPr>
        <w:t>9.</w:t>
      </w:r>
      <w:r>
        <w:rPr>
          <w:rFonts w:hint="eastAsia"/>
          <w:b/>
          <w:bCs/>
        </w:rPr>
        <w:t>省“四大实验室”：</w:t>
      </w:r>
      <w:r>
        <w:rPr>
          <w:rFonts w:hint="eastAsia"/>
        </w:rPr>
        <w:t>指岳麓山实验室、岳麓山工业创新中心（实验室）、湘江实验室、芙蓉实验室。</w:t>
      </w:r>
    </w:p>
    <w:p w14:paraId="6495134C">
      <w:pPr>
        <w:ind w:firstLine="640"/>
      </w:pPr>
      <w:r>
        <w:rPr>
          <w:rFonts w:hint="eastAsia"/>
        </w:rPr>
        <w:t>10.</w:t>
      </w:r>
      <w:r>
        <w:rPr>
          <w:rFonts w:hint="eastAsia"/>
          <w:b/>
          <w:bCs/>
        </w:rPr>
        <w:t>“双高”对接：</w:t>
      </w:r>
      <w:r>
        <w:rPr>
          <w:rFonts w:hint="eastAsia"/>
        </w:rPr>
        <w:t>指高新区、高新技术企业与高等院校、科研院所开展常态化对接。</w:t>
      </w:r>
    </w:p>
    <w:p w14:paraId="46122473">
      <w:pPr>
        <w:ind w:firstLine="640"/>
      </w:pPr>
      <w:r>
        <w:rPr>
          <w:rFonts w:hint="eastAsia"/>
        </w:rPr>
        <w:t>11.</w:t>
      </w:r>
      <w:r>
        <w:rPr>
          <w:rFonts w:hint="eastAsia"/>
          <w:b/>
          <w:bCs/>
        </w:rPr>
        <w:t>“双进双转”：</w:t>
      </w:r>
      <w:r>
        <w:rPr>
          <w:rFonts w:hint="eastAsia"/>
        </w:rPr>
        <w:t>“双进”指组织企业进高等院校、高等院校专家团队进企业，“双转”指推动高等院校科技成果转化、企业创新转型等校企合作活动。</w:t>
      </w:r>
    </w:p>
    <w:p w14:paraId="410D2173">
      <w:pPr>
        <w:ind w:firstLine="640"/>
      </w:pPr>
      <w:r>
        <w:rPr>
          <w:rFonts w:hint="eastAsia"/>
        </w:rPr>
        <w:t>12.</w:t>
      </w:r>
      <w:r>
        <w:rPr>
          <w:rFonts w:hint="eastAsia"/>
          <w:b/>
          <w:bCs/>
        </w:rPr>
        <w:t>“拨投结合”：</w:t>
      </w:r>
      <w:r>
        <w:rPr>
          <w:rFonts w:hint="eastAsia"/>
        </w:rPr>
        <w:t>指将财政资金的拨款、补贴等无偿支持方式与股权投资相结合，形成“拨款+投资”的组合支持模式。</w:t>
      </w:r>
    </w:p>
    <w:p w14:paraId="2FC9122B">
      <w:pPr>
        <w:ind w:firstLine="640"/>
      </w:pPr>
      <w:r>
        <w:rPr>
          <w:rFonts w:hint="eastAsia"/>
        </w:rPr>
        <w:t>13.</w:t>
      </w:r>
      <w:r>
        <w:rPr>
          <w:rFonts w:hint="eastAsia"/>
          <w:b/>
          <w:bCs/>
        </w:rPr>
        <w:t>“三尖人才”：</w:t>
      </w:r>
      <w:r>
        <w:rPr>
          <w:rFonts w:hint="eastAsia"/>
        </w:rPr>
        <w:t>指湖南省科学技术厅实施的“三尖”创新人才工程中重点支持的三类高层次人才，包括战略科学家（顶尖）、科技领军人才（拔尖）、青年科技人才（荷尖）。</w:t>
      </w:r>
    </w:p>
    <w:p w14:paraId="31AE5596">
      <w:pPr>
        <w:ind w:firstLine="640"/>
      </w:pPr>
      <w:r>
        <w:rPr>
          <w:rFonts w:hint="eastAsia"/>
        </w:rPr>
        <w:t>14.</w:t>
      </w:r>
      <w:r>
        <w:rPr>
          <w:rFonts w:hint="eastAsia"/>
          <w:b/>
          <w:bCs/>
        </w:rPr>
        <w:t>湖南自贸区协同联动区：</w:t>
      </w:r>
      <w:r>
        <w:rPr>
          <w:rFonts w:hint="eastAsia"/>
        </w:rPr>
        <w:t>指经中国（湖南）自由贸易试验区工作领导小组批准，由湖南省内具备较好基础和条件的省级以上园区、海关特殊监管区域等经济功能区与湖南自贸试验区各片区开展协同联动的特定区域，实现自贸试验区的政策延伸、区域联动、功能互补和产业协同，进而更好发挥自贸试验区的示范引领和辐射带动作用。</w:t>
      </w:r>
    </w:p>
    <w:p w14:paraId="08162779">
      <w:pPr>
        <w:ind w:firstLine="640"/>
      </w:pPr>
      <w:r>
        <w:rPr>
          <w:rFonts w:hint="eastAsia"/>
        </w:rPr>
        <w:t>15.</w:t>
      </w:r>
      <w:r>
        <w:rPr>
          <w:rFonts w:hint="eastAsia"/>
          <w:b/>
          <w:bCs/>
        </w:rPr>
        <w:t>中非经贸深度合作先行区：</w:t>
      </w:r>
      <w:r>
        <w:rPr>
          <w:rFonts w:hint="eastAsia"/>
        </w:rPr>
        <w:t>商务部和湖南省人民政府合作共建的对非合作国家级平台，于2024年年初获批，依托中国（湖南）自由贸易试验区开展对非经贸合作政策先行先试。</w:t>
      </w:r>
    </w:p>
    <w:p w14:paraId="54F5077A">
      <w:pPr>
        <w:ind w:firstLine="640"/>
      </w:pPr>
      <w:r>
        <w:rPr>
          <w:rFonts w:hint="eastAsia"/>
        </w:rPr>
        <w:t>16.</w:t>
      </w:r>
      <w:r>
        <w:rPr>
          <w:rFonts w:hint="eastAsia"/>
          <w:b/>
          <w:bCs/>
        </w:rPr>
        <w:t>民营经济“六个一”行动：</w:t>
      </w:r>
      <w:r>
        <w:rPr>
          <w:rFonts w:hint="eastAsia"/>
        </w:rPr>
        <w:t>即“一榜（三湘民营企业百强榜）、一奖（新湖南贡献奖）、一中心（湖南省民营企业服务中心）、一册（《湖南省民营企业支持政策手册》）、一办（省优化经济发展环境联席会议办公室）、一平台（科技成果转化平台与区域性股权市场）”，为湖南省为促进民营经济发展而推出的专项工作举措，旨在通过榜单引领、奖励激励、服务提升、政策落实、环境优化、平台支撑等举措，促进民营经济高质量发展。</w:t>
      </w:r>
    </w:p>
    <w:p w14:paraId="572CA7D7">
      <w:pPr>
        <w:ind w:firstLine="640"/>
      </w:pPr>
      <w:r>
        <w:rPr>
          <w:rFonts w:hint="eastAsia"/>
        </w:rPr>
        <w:t>17.</w:t>
      </w:r>
      <w:r>
        <w:rPr>
          <w:rFonts w:hint="eastAsia"/>
          <w:b/>
          <w:bCs/>
        </w:rPr>
        <w:t>建设用地“增存挂钩”机制：</w:t>
      </w:r>
      <w:r>
        <w:rPr>
          <w:rFonts w:hint="eastAsia"/>
        </w:rPr>
        <w:t>指将新增建设用地计划指标分配与地方消化批而未供、处置闲置土地等存量建设用地使用效率直接挂钩的土地管理政策。</w:t>
      </w:r>
    </w:p>
    <w:p w14:paraId="672FB8BF">
      <w:pPr>
        <w:ind w:firstLine="640"/>
      </w:pPr>
      <w:r>
        <w:rPr>
          <w:rFonts w:hint="eastAsia"/>
        </w:rPr>
        <w:t>18.</w:t>
      </w:r>
      <w:r>
        <w:rPr>
          <w:rFonts w:hint="eastAsia"/>
          <w:b/>
          <w:bCs/>
        </w:rPr>
        <w:t>“多规合一”：</w:t>
      </w:r>
      <w:r>
        <w:rPr>
          <w:rFonts w:hint="eastAsia"/>
        </w:rPr>
        <w:t>指将主体功能区规划、土地利用规划、城乡规划等空间规划融合为统一的国土空间规划，实现“一张图”管控的规划协调机制。</w:t>
      </w:r>
    </w:p>
    <w:p w14:paraId="2CCF68D4">
      <w:pPr>
        <w:ind w:firstLine="640"/>
      </w:pPr>
      <w:r>
        <w:rPr>
          <w:rFonts w:hint="eastAsia"/>
        </w:rPr>
        <w:t>19.</w:t>
      </w:r>
      <w:r>
        <w:rPr>
          <w:rFonts w:hint="eastAsia"/>
          <w:b/>
          <w:bCs/>
        </w:rPr>
        <w:t>“数据要素×”行动：</w:t>
      </w:r>
      <w:r>
        <w:rPr>
          <w:rFonts w:hint="eastAsia"/>
        </w:rPr>
        <w:t>指国家数据局牵头推动的一项重要战略举措，旨在充分发挥数据要素的放大、叠加、倍增作用，赋能经济社会发展。</w:t>
      </w:r>
    </w:p>
    <w:p w14:paraId="2BF56702">
      <w:pPr>
        <w:ind w:firstLine="640"/>
      </w:pPr>
      <w:r>
        <w:rPr>
          <w:rFonts w:hint="eastAsia"/>
        </w:rPr>
        <w:t>20.</w:t>
      </w:r>
      <w:r>
        <w:rPr>
          <w:rFonts w:hint="eastAsia"/>
          <w:b/>
          <w:bCs/>
        </w:rPr>
        <w:t>“高效办成一件事”：</w:t>
      </w:r>
      <w:r>
        <w:rPr>
          <w:rFonts w:hint="eastAsia"/>
        </w:rPr>
        <w:t>旨在通过改革引领与数字赋能双轮驱动，推动跨部门业务协同和数据共享，实现办事流程精简、成本降低、效能提升。</w:t>
      </w:r>
    </w:p>
    <w:p w14:paraId="6763D19A">
      <w:pPr>
        <w:ind w:firstLine="640"/>
      </w:pPr>
      <w:r>
        <w:rPr>
          <w:rFonts w:hint="eastAsia"/>
        </w:rPr>
        <w:t>21.</w:t>
      </w:r>
      <w:r>
        <w:rPr>
          <w:rFonts w:hint="eastAsia"/>
          <w:b/>
          <w:bCs/>
        </w:rPr>
        <w:t>住房公积金“既提又贷”政策：</w:t>
      </w:r>
      <w:r>
        <w:rPr>
          <w:rFonts w:hint="eastAsia"/>
        </w:rPr>
        <w:t>指缴存职工在购买自住住房时，可以同时提取个人住房公积金账户余额用于支付房款，并申请住房公积金贷款，实现“提取+贷款”双重支持的政策。</w:t>
      </w:r>
    </w:p>
    <w:p w14:paraId="7B6CF648">
      <w:pPr>
        <w:ind w:firstLine="640"/>
      </w:pPr>
      <w:r>
        <w:rPr>
          <w:rFonts w:hint="eastAsia"/>
        </w:rPr>
        <w:t>22.</w:t>
      </w:r>
      <w:r>
        <w:rPr>
          <w:rFonts w:hint="eastAsia"/>
          <w:b/>
          <w:bCs/>
        </w:rPr>
        <w:t>“消费新业态新模式新场景”：</w:t>
      </w:r>
      <w:r>
        <w:rPr>
          <w:rFonts w:hint="eastAsia"/>
        </w:rPr>
        <w:t>指随着数字技术发展和消费升级而涌现的新型消费形态、商业运营方式以及具体的消费体验空间，例如直播电商、即时零售、智慧商圈等。</w:t>
      </w:r>
    </w:p>
    <w:p w14:paraId="1E311EB2">
      <w:pPr>
        <w:ind w:firstLine="640"/>
      </w:pPr>
      <w:r>
        <w:rPr>
          <w:rFonts w:hint="eastAsia"/>
        </w:rPr>
        <w:t>23.</w:t>
      </w:r>
      <w:r>
        <w:rPr>
          <w:rFonts w:hint="eastAsia"/>
          <w:b/>
          <w:bCs/>
        </w:rPr>
        <w:t>政府和社会资本合作（PPP）：</w:t>
      </w:r>
      <w:r>
        <w:rPr>
          <w:rFonts w:hint="eastAsia"/>
        </w:rPr>
        <w:t>为增强公共产品和服务供给能力、提高供给效率，通过特许经营、购买服务、股权合作等方式，与社会资本建立利益共享、风险分担及长期合作关系。</w:t>
      </w:r>
    </w:p>
    <w:p w14:paraId="5D7353ED">
      <w:pPr>
        <w:ind w:firstLine="640"/>
      </w:pPr>
      <w:r>
        <w:rPr>
          <w:rFonts w:hint="eastAsia"/>
        </w:rPr>
        <w:t>24.</w:t>
      </w:r>
      <w:r>
        <w:rPr>
          <w:rFonts w:hint="eastAsia"/>
          <w:b/>
          <w:bCs/>
        </w:rPr>
        <w:t>“金芙蓉”基础设施和社会发展投资基金：</w:t>
      </w:r>
      <w:r>
        <w:rPr>
          <w:rFonts w:hint="eastAsia"/>
        </w:rPr>
        <w:t>是湖南省为培育耐心资本发起的省级政府引导基金矩阵中的子基金，采取“母—子基金”两层架构，重点投向省内交通、水利等基础设施与文旅、养老等社会发展领域。</w:t>
      </w:r>
    </w:p>
    <w:p w14:paraId="2C678CF5">
      <w:pPr>
        <w:ind w:firstLine="640"/>
      </w:pPr>
      <w:r>
        <w:rPr>
          <w:rFonts w:hint="eastAsia"/>
        </w:rPr>
        <w:t>25.</w:t>
      </w:r>
      <w:r>
        <w:rPr>
          <w:rFonts w:hint="eastAsia"/>
          <w:b/>
          <w:bCs/>
        </w:rPr>
        <w:t>“五统一、一开放”：</w:t>
      </w:r>
      <w:r>
        <w:rPr>
          <w:rFonts w:hint="eastAsia"/>
        </w:rPr>
        <w:t>即统一市场基础制度、统一市场基础设施、统一政府行为尺度、统一市场监管执法、统一要素资源市场，持续扩大对内对外开放。</w:t>
      </w:r>
    </w:p>
    <w:p w14:paraId="1B974F06">
      <w:pPr>
        <w:ind w:firstLine="640"/>
      </w:pPr>
      <w:r>
        <w:rPr>
          <w:rFonts w:hint="eastAsia"/>
        </w:rPr>
        <w:t>26.</w:t>
      </w:r>
      <w:r>
        <w:rPr>
          <w:rFonts w:hint="eastAsia"/>
          <w:b/>
          <w:bCs/>
        </w:rPr>
        <w:t>“全国一张清单”：</w:t>
      </w:r>
      <w:r>
        <w:rPr>
          <w:rFonts w:hint="eastAsia"/>
        </w:rPr>
        <w:t>指全国统一的市场准入负面清单管理模式，是我国深化经济体制改革、构建高水平社会主义市场经济体制的重要制度安排。</w:t>
      </w:r>
    </w:p>
    <w:p w14:paraId="46C3D9FC">
      <w:pPr>
        <w:ind w:firstLine="640"/>
      </w:pPr>
      <w:r>
        <w:rPr>
          <w:rFonts w:hint="eastAsia"/>
        </w:rPr>
        <w:t>27.</w:t>
      </w:r>
      <w:r>
        <w:rPr>
          <w:rFonts w:hint="eastAsia"/>
          <w:b/>
          <w:bCs/>
        </w:rPr>
        <w:t>“一核两轴三圈”：</w:t>
      </w:r>
      <w:r>
        <w:rPr>
          <w:rFonts w:hint="eastAsia"/>
        </w:rPr>
        <w:t>“一核”，就是加快推进零冷联城，打造市域核心增长极，辐射带动全市经济社会发展。“两轴”，就是着力在市域北部打造以先进制造和高新技术产业为主的经济发展轴，在市域南部打造以高加工度工业和新兴工业为主的经济发展轴。“三圈”，就是要加快推进中心城区与祁阳、东安、双牌一体化发展，打造30分钟“同城圈”；推进中心城区与县及县域之间的快速通道建设，提升相互之间经济协作、产业协同发展水平，推动公共服务设施配套共享，打造60分钟“协同圈”；利用高铁、航空快速通道，主动融入粤港澳大湾区、长江经济带、成渝地区双城经济圈、湖南自贸区、海南自贸港和东盟，形成90分钟“融入圈”。</w:t>
      </w:r>
    </w:p>
    <w:p w14:paraId="628E6B1E">
      <w:pPr>
        <w:ind w:firstLine="640"/>
      </w:pPr>
      <w:r>
        <w:rPr>
          <w:rFonts w:hint="eastAsia"/>
        </w:rPr>
        <w:t>28.</w:t>
      </w:r>
      <w:r>
        <w:rPr>
          <w:rFonts w:hint="eastAsia"/>
          <w:b/>
          <w:bCs/>
        </w:rPr>
        <w:t>多式联运：</w:t>
      </w:r>
      <w:r>
        <w:rPr>
          <w:rFonts w:hint="eastAsia"/>
        </w:rPr>
        <w:t>指货物由一种且不变的运载单元装载，相继以两种及以上运输方式运输，并且在转换运输方式的过程中不对货物本身进行操作的联合运输形式。</w:t>
      </w:r>
    </w:p>
    <w:p w14:paraId="0CB03E2F">
      <w:pPr>
        <w:ind w:firstLine="640"/>
      </w:pPr>
      <w:r>
        <w:rPr>
          <w:rFonts w:hint="eastAsia"/>
        </w:rPr>
        <w:t>29.</w:t>
      </w:r>
      <w:r>
        <w:rPr>
          <w:rFonts w:hint="eastAsia"/>
          <w:b/>
          <w:bCs/>
        </w:rPr>
        <w:t>湘粤背靠背联网工程：</w:t>
      </w:r>
      <w:r>
        <w:rPr>
          <w:rFonts w:hint="eastAsia"/>
        </w:rPr>
        <w:t>即建设湖南与广东电网间的跨区、跨网输电通道，促进电力资源在更大范围内优化配置，充分发挥省间、区域间电力灵活互济作用，有效提升两省两网电力安全可靠供应能力、新能源消纳能力和紧急事故支援能力，助力全国统一电力市场构建。</w:t>
      </w:r>
    </w:p>
    <w:p w14:paraId="604E5435">
      <w:pPr>
        <w:ind w:firstLine="640"/>
      </w:pPr>
      <w:r>
        <w:rPr>
          <w:rFonts w:hint="eastAsia"/>
        </w:rPr>
        <w:t>30.</w:t>
      </w:r>
      <w:r>
        <w:rPr>
          <w:rFonts w:hint="eastAsia"/>
          <w:b/>
          <w:bCs/>
        </w:rPr>
        <w:t>“周末工程师”：</w:t>
      </w:r>
      <w:r>
        <w:rPr>
          <w:rFonts w:hint="eastAsia"/>
        </w:rPr>
        <w:t>指用人主体在不改变人才的人事、户籍、社保关系的前提下，从市外（含驻市高校、科研院所）招引，利用周末、节假日及业余时间，到企业或事业单位指导开展科技攻关、推动科技成果转化的一种柔性引才模式。</w:t>
      </w:r>
    </w:p>
    <w:p w14:paraId="38016BDE">
      <w:pPr>
        <w:ind w:firstLine="640"/>
      </w:pPr>
      <w:r>
        <w:rPr>
          <w:rFonts w:hint="eastAsia"/>
        </w:rPr>
        <w:t>31.</w:t>
      </w:r>
      <w:r>
        <w:rPr>
          <w:rFonts w:hint="eastAsia"/>
          <w:b/>
          <w:bCs/>
        </w:rPr>
        <w:t>“双聘制”：</w:t>
      </w:r>
      <w:r>
        <w:rPr>
          <w:rFonts w:hint="eastAsia"/>
        </w:rPr>
        <w:t>指高校、科研院所、企业等用人单位之间建立的人才共享与柔性流动机制，允许人才在不改变与原单位人事关系的前提下，通过兼职兼薪、项目合作、挂职服务等形式，实现人才的跨单位、跨区域共享共用。</w:t>
      </w:r>
    </w:p>
    <w:p w14:paraId="2993EBBB">
      <w:pPr>
        <w:ind w:firstLine="640"/>
      </w:pPr>
      <w:r>
        <w:rPr>
          <w:rFonts w:hint="eastAsia"/>
        </w:rPr>
        <w:t>32.</w:t>
      </w:r>
      <w:r>
        <w:rPr>
          <w:rFonts w:hint="eastAsia"/>
          <w:b/>
          <w:bCs/>
        </w:rPr>
        <w:t>“一廊三屏两区、一核两圈四轴”：</w:t>
      </w:r>
      <w:r>
        <w:rPr>
          <w:rFonts w:hint="eastAsia"/>
        </w:rPr>
        <w:t>“一廊”，即湘江、潇水生态廊道；“三屏”，即三大生态屏障；“两区”，即两大农业生产与加工区。“一核”，即永州市中心城区；“两圈”，即以零陵、冷水滩中心城区为核心的祁阳、东安、双牌半小时经济圈及宁远、道县、新田、蓝山、江永、江华一小时经济圈；“四轴”，即泉南高速、厦蓉高速、二广高速、永贺高速四条城市发展轴线。</w:t>
      </w:r>
    </w:p>
    <w:p w14:paraId="373ED4EF">
      <w:pPr>
        <w:ind w:firstLine="640"/>
      </w:pPr>
      <w:r>
        <w:rPr>
          <w:rFonts w:hint="eastAsia"/>
        </w:rPr>
        <w:t>33.</w:t>
      </w:r>
      <w:r>
        <w:rPr>
          <w:rFonts w:hint="eastAsia"/>
          <w:b/>
          <w:bCs/>
        </w:rPr>
        <w:t>“三权分置”：</w:t>
      </w:r>
      <w:r>
        <w:rPr>
          <w:rFonts w:hint="eastAsia"/>
        </w:rPr>
        <w:t>指农村土地所有权、承包权、经营权分置。</w:t>
      </w:r>
    </w:p>
    <w:p w14:paraId="007B96FD">
      <w:pPr>
        <w:ind w:firstLine="640"/>
      </w:pPr>
      <w:r>
        <w:rPr>
          <w:rFonts w:hint="eastAsia"/>
        </w:rPr>
        <w:t>34.</w:t>
      </w:r>
      <w:r>
        <w:rPr>
          <w:rFonts w:hint="eastAsia"/>
          <w:b/>
          <w:bCs/>
        </w:rPr>
        <w:t>“人地钱”挂钩机制：</w:t>
      </w:r>
      <w:r>
        <w:rPr>
          <w:rFonts w:hint="eastAsia"/>
        </w:rPr>
        <w:t>指财政转移支付与农业转移人口市民化挂钩、城镇建设用地新增指标与农业转移人口落户数挂钩、基建投资安排与农业转移人口市民化挂钩机制。</w:t>
      </w:r>
    </w:p>
    <w:p w14:paraId="205C2A4D">
      <w:pPr>
        <w:ind w:firstLine="640"/>
      </w:pPr>
      <w:r>
        <w:rPr>
          <w:rFonts w:hint="eastAsia"/>
        </w:rPr>
        <w:t>35.</w:t>
      </w:r>
      <w:r>
        <w:rPr>
          <w:rFonts w:hint="eastAsia"/>
          <w:b/>
          <w:bCs/>
        </w:rPr>
        <w:t>“两山一水一城”古城格局：</w:t>
      </w:r>
      <w:r>
        <w:rPr>
          <w:rFonts w:hint="eastAsia"/>
        </w:rPr>
        <w:t>“两山”指东山、西山，“一水”指潇水，“一城”指永州古城。</w:t>
      </w:r>
    </w:p>
    <w:p w14:paraId="0ACF7CE8">
      <w:pPr>
        <w:ind w:firstLine="640"/>
      </w:pPr>
      <w:r>
        <w:rPr>
          <w:rFonts w:hint="eastAsia"/>
        </w:rPr>
        <w:t>36.</w:t>
      </w:r>
      <w:r>
        <w:rPr>
          <w:rFonts w:hint="eastAsia"/>
          <w:b/>
          <w:bCs/>
        </w:rPr>
        <w:t>“平急两用”公共基础设施：</w:t>
      </w:r>
      <w:r>
        <w:rPr>
          <w:rFonts w:hint="eastAsia"/>
        </w:rPr>
        <w:t>指集公共卫生、应急医疗和物资保障为一体的重大工程设施，“平时”可用作旅游、康养、休闲、仓储物流等，“急时”可转换为人员临时安置、物资应急中转场所，满足公共卫生防控救治、临时安置、物资保障等需求。</w:t>
      </w:r>
    </w:p>
    <w:p w14:paraId="54F78059">
      <w:pPr>
        <w:ind w:firstLine="640"/>
      </w:pPr>
      <w:r>
        <w:rPr>
          <w:rFonts w:hint="eastAsia"/>
        </w:rPr>
        <w:t>37.</w:t>
      </w:r>
      <w:r>
        <w:rPr>
          <w:rFonts w:hint="eastAsia"/>
          <w:b/>
          <w:bCs/>
        </w:rPr>
        <w:t>“两重”“两新”：</w:t>
      </w:r>
      <w:r>
        <w:rPr>
          <w:rFonts w:hint="eastAsia"/>
        </w:rPr>
        <w:t>“两重”指国家重大战略实施和重点领域安全能力建设，“两新”指推动新一轮大规模设备更新和消费品以旧换新，该政策通过发行超长期特别国债支持“两重”"两新“，是国家为扩大内需、推动高质量发展实施的重要举措。</w:t>
      </w:r>
    </w:p>
    <w:p w14:paraId="46AB6835">
      <w:pPr>
        <w:ind w:firstLine="640"/>
      </w:pPr>
      <w:r>
        <w:rPr>
          <w:rFonts w:hint="eastAsia"/>
        </w:rPr>
        <w:t>38.</w:t>
      </w:r>
      <w:r>
        <w:rPr>
          <w:rFonts w:hint="eastAsia"/>
          <w:b/>
          <w:bCs/>
        </w:rPr>
        <w:t>国家储备粮源基地：</w:t>
      </w:r>
      <w:r>
        <w:rPr>
          <w:rFonts w:hint="eastAsia"/>
        </w:rPr>
        <w:t>落实“良田、良种、良机、良法”要求，建立以订单农业为导向，从种源选育到生产、收购、储存、加工、销售各环节有机衔接，引导国家收储、加工从生产导向型转化为市场导向型，提高种粮农民效益和积极性的粮食全产业链模式。</w:t>
      </w:r>
    </w:p>
    <w:p w14:paraId="38C98D19">
      <w:pPr>
        <w:ind w:firstLine="640"/>
      </w:pPr>
      <w:r>
        <w:rPr>
          <w:rFonts w:hint="eastAsia"/>
        </w:rPr>
        <w:t>39.</w:t>
      </w:r>
      <w:r>
        <w:rPr>
          <w:rFonts w:hint="eastAsia"/>
          <w:b/>
          <w:bCs/>
        </w:rPr>
        <w:t>“五小水利工程”：</w:t>
      </w:r>
      <w:r>
        <w:rPr>
          <w:rFonts w:hint="eastAsia"/>
        </w:rPr>
        <w:t>指在山丘区因地制宜兴建小水池、小塘坝、小泵站、小水渠、小堰闸，增强雨洪资源利用和抗旱保灌能力。</w:t>
      </w:r>
    </w:p>
    <w:p w14:paraId="2736DBBD">
      <w:pPr>
        <w:ind w:firstLine="640"/>
      </w:pPr>
      <w:r>
        <w:rPr>
          <w:rFonts w:hint="eastAsia"/>
        </w:rPr>
        <w:t>40.</w:t>
      </w:r>
      <w:r>
        <w:rPr>
          <w:rFonts w:hint="eastAsia"/>
          <w:b/>
          <w:bCs/>
        </w:rPr>
        <w:t>“村社分账”：</w:t>
      </w:r>
      <w:r>
        <w:rPr>
          <w:rFonts w:hint="eastAsia"/>
        </w:rPr>
        <w:t>指村民委员会与村级集体经济组织分别设置账套，进行独立核算，明确各自经济业务范围和财务收支界限，切实保证村级集体经济组织成员合法权益，是农村集体产权制度改革的重要内容。</w:t>
      </w:r>
    </w:p>
    <w:p w14:paraId="7E98AB76">
      <w:pPr>
        <w:ind w:firstLine="640"/>
      </w:pPr>
      <w:r>
        <w:rPr>
          <w:rFonts w:hint="eastAsia"/>
        </w:rPr>
        <w:t>41.</w:t>
      </w:r>
      <w:r>
        <w:rPr>
          <w:rFonts w:hint="eastAsia"/>
          <w:b/>
          <w:bCs/>
        </w:rPr>
        <w:t>“新农人”：</w:t>
      </w:r>
      <w:r>
        <w:rPr>
          <w:rFonts w:hint="eastAsia"/>
        </w:rPr>
        <w:t>指具备新理念、新技术、新业态及新生产组织方式，具有一定科学文化素质、能够掌握现代农业生产和服务工具，以从事农业生产、加工、销售、服务等各环节为主要收入来源，且收入高于所在地区传统农业从业人员收入水平，有农业情怀、有适度规模、有持续发展性、有防风险能力的现代农业经营者。</w:t>
      </w:r>
    </w:p>
    <w:p w14:paraId="33D0BFC6">
      <w:pPr>
        <w:ind w:firstLine="640"/>
      </w:pPr>
      <w:r>
        <w:rPr>
          <w:rFonts w:hint="eastAsia"/>
        </w:rPr>
        <w:t>42.</w:t>
      </w:r>
      <w:r>
        <w:rPr>
          <w:rFonts w:hint="eastAsia"/>
          <w:b/>
          <w:bCs/>
        </w:rPr>
        <w:t>“四议两公开”程序：</w:t>
      </w:r>
      <w:r>
        <w:rPr>
          <w:rFonts w:hint="eastAsia"/>
        </w:rPr>
        <w:t>指所有村级重大事项都必须在村党组织领导下按照该程序决策实施，“四议”即党支部会提议、“两委”会商议、党员大会审议、村民代表会议或村民会议决议；“两公开”即决议公开、实施结果公开，该制度旨在加强农村基层民主建设，保障村民的知情权、参与权、决策权和监督权，提升村级事务决策的科学化、民主化、规范化水平。</w:t>
      </w:r>
    </w:p>
    <w:p w14:paraId="6A59D9B5">
      <w:pPr>
        <w:ind w:firstLine="640"/>
      </w:pPr>
      <w:r>
        <w:rPr>
          <w:rFonts w:hint="eastAsia"/>
        </w:rPr>
        <w:t>43.</w:t>
      </w:r>
      <w:r>
        <w:rPr>
          <w:rFonts w:hint="eastAsia"/>
          <w:b/>
          <w:bCs/>
        </w:rPr>
        <w:t>省际边界县农民收入提升攻坚行动：</w:t>
      </w:r>
      <w:r>
        <w:rPr>
          <w:rFonts w:hint="eastAsia"/>
        </w:rPr>
        <w:t>指围绕永州市省际边界县（如江华、江永、道县、蓝山等与粤桂赣交界县）高质量发展和农民共同富裕的核心任务，实施“四个高于”攻坚行动，到“十五五”末，确保省际边界县农民人均可支配收入增速高于全市平均水平、增速高于周边邻省接壤县水平、绝对值与全市平均水平的差距显著高于“十四五”末的缩小程度、收入结构优化程度高于全市平均水平。</w:t>
      </w:r>
    </w:p>
    <w:p w14:paraId="25F79C87">
      <w:pPr>
        <w:ind w:firstLine="640"/>
      </w:pPr>
      <w:r>
        <w:rPr>
          <w:rFonts w:hint="eastAsia"/>
        </w:rPr>
        <w:t>44.</w:t>
      </w:r>
      <w:r>
        <w:rPr>
          <w:rFonts w:hint="eastAsia"/>
          <w:b/>
          <w:bCs/>
        </w:rPr>
        <w:t>“第一议题”：</w:t>
      </w:r>
      <w:r>
        <w:rPr>
          <w:rFonts w:hint="eastAsia"/>
        </w:rPr>
        <w:t>指各级党组织在召开党委会、理论学习中心组学习会、支部大会等党内重要会议时，必须将学习习近平新时代中国特色社会主义思想、党的二十大精神、习近平总书记重要讲话和指示批示精神等内容作为会议的首要议题，第一时间组织传达学习。</w:t>
      </w:r>
    </w:p>
    <w:p w14:paraId="273CB6B2">
      <w:pPr>
        <w:ind w:firstLine="640"/>
      </w:pPr>
      <w:r>
        <w:rPr>
          <w:rFonts w:hint="eastAsia"/>
        </w:rPr>
        <w:t>45.</w:t>
      </w:r>
      <w:r>
        <w:rPr>
          <w:rFonts w:hint="eastAsia"/>
          <w:b/>
          <w:bCs/>
        </w:rPr>
        <w:t>“永冲锋”精神：</w:t>
      </w:r>
      <w:r>
        <w:rPr>
          <w:rFonts w:hint="eastAsia"/>
        </w:rPr>
        <w:t>指以“团结拼搏、永不言弃”为核心内涵，从足球赛场延伸至经济社会发展各领域的永州城市奋斗精神标识。</w:t>
      </w:r>
    </w:p>
    <w:p w14:paraId="5F39815C">
      <w:pPr>
        <w:ind w:firstLine="640"/>
      </w:pPr>
      <w:r>
        <w:rPr>
          <w:rFonts w:hint="eastAsia"/>
        </w:rPr>
        <w:t>46.</w:t>
      </w:r>
      <w:r>
        <w:rPr>
          <w:rFonts w:hint="eastAsia"/>
          <w:b/>
          <w:bCs/>
        </w:rPr>
        <w:t>“引客入永”行动：</w:t>
      </w:r>
      <w:r>
        <w:rPr>
          <w:rFonts w:hint="eastAsia"/>
        </w:rPr>
        <w:t>指永州市为推动文化生态旅游发展、对接粤港澳大湾区等客源市场而实施的一项专项行动计划，旨在吸引更多游客到永州观光旅游、休闲度假，促进当地文旅产业高质量发展。</w:t>
      </w:r>
    </w:p>
    <w:p w14:paraId="3C249731">
      <w:pPr>
        <w:ind w:firstLine="640"/>
      </w:pPr>
      <w:r>
        <w:rPr>
          <w:rFonts w:hint="eastAsia"/>
        </w:rPr>
        <w:t>47.</w:t>
      </w:r>
      <w:r>
        <w:rPr>
          <w:rFonts w:hint="eastAsia"/>
          <w:b/>
          <w:bCs/>
        </w:rPr>
        <w:t>“办会兴城”：</w:t>
      </w:r>
      <w:r>
        <w:rPr>
          <w:rFonts w:hint="eastAsia"/>
        </w:rPr>
        <w:t>指通过举办大型会议、展览、赛事、节庆等活动，带动城市基础设施建设、提升城市知名度与综合服务能力，从而推动城市经济和社会全面发展的战略举措。</w:t>
      </w:r>
    </w:p>
    <w:p w14:paraId="62C8F470">
      <w:pPr>
        <w:ind w:firstLine="640"/>
      </w:pPr>
      <w:r>
        <w:rPr>
          <w:rFonts w:hint="eastAsia"/>
        </w:rPr>
        <w:t>48.</w:t>
      </w:r>
      <w:r>
        <w:rPr>
          <w:rFonts w:hint="eastAsia"/>
          <w:b/>
          <w:bCs/>
        </w:rPr>
        <w:t>UE5引擎：</w:t>
      </w:r>
      <w:r>
        <w:rPr>
          <w:rFonts w:hint="eastAsia"/>
        </w:rPr>
        <w:t>即虚幻引擎5（UnrealEngine5），是由EpicGames开发的第五代跨平台游戏引擎。</w:t>
      </w:r>
    </w:p>
    <w:p w14:paraId="5388F2F4">
      <w:pPr>
        <w:ind w:firstLine="640"/>
      </w:pPr>
      <w:r>
        <w:rPr>
          <w:rFonts w:hint="eastAsia"/>
        </w:rPr>
        <w:t>49.</w:t>
      </w:r>
      <w:r>
        <w:rPr>
          <w:rFonts w:hint="eastAsia"/>
          <w:b/>
          <w:bCs/>
        </w:rPr>
        <w:t>大学生创业“七个一”行动：</w:t>
      </w:r>
      <w:r>
        <w:rPr>
          <w:rFonts w:hint="eastAsia"/>
        </w:rPr>
        <w:t>是湖南省委、省政府为支持大学生创新创业推出的政策举措，即“出台一批扶持政策、设立一支投资基金、建设一批孵化载体、成立一个企业家导师团、开设一系列创业课程、选树一批创业典型、推出一档创业节目”的综合性支持政策。</w:t>
      </w:r>
    </w:p>
    <w:p w14:paraId="47DD694F">
      <w:pPr>
        <w:ind w:firstLine="640"/>
      </w:pPr>
      <w:r>
        <w:rPr>
          <w:rFonts w:hint="eastAsia"/>
        </w:rPr>
        <w:t>50.</w:t>
      </w:r>
      <w:r>
        <w:rPr>
          <w:rFonts w:hint="eastAsia"/>
          <w:b/>
          <w:bCs/>
        </w:rPr>
        <w:t>“永就业365”：</w:t>
      </w:r>
      <w:r>
        <w:rPr>
          <w:rFonts w:hint="eastAsia"/>
        </w:rPr>
        <w:t>指湖南省永州市构建的高质量充分就业服务体系品牌，旨在通过全年无休、全方位、精准化的就业服务，促进劳动者充分就业和高质量就业。</w:t>
      </w:r>
    </w:p>
    <w:p w14:paraId="141DE068">
      <w:pPr>
        <w:ind w:firstLine="640"/>
      </w:pPr>
      <w:r>
        <w:rPr>
          <w:rFonts w:hint="eastAsia"/>
        </w:rPr>
        <w:t>51.</w:t>
      </w:r>
      <w:r>
        <w:rPr>
          <w:rFonts w:hint="eastAsia"/>
          <w:b/>
          <w:bCs/>
        </w:rPr>
        <w:t>“五抓五强”：</w:t>
      </w:r>
      <w:r>
        <w:rPr>
          <w:rFonts w:hint="eastAsia"/>
        </w:rPr>
        <w:t>“五抓”即“抓党建、抓制度、抓教学、抓师资、抓师资”，“五强”即“强队伍、强管理、强质量、强素质、抓安全、强保障”。</w:t>
      </w:r>
    </w:p>
    <w:p w14:paraId="5936AE0D">
      <w:pPr>
        <w:ind w:firstLine="640"/>
      </w:pPr>
      <w:r>
        <w:rPr>
          <w:rFonts w:hint="eastAsia"/>
        </w:rPr>
        <w:t>52.</w:t>
      </w:r>
      <w:r>
        <w:rPr>
          <w:rFonts w:hint="eastAsia"/>
          <w:b/>
          <w:bCs/>
        </w:rPr>
        <w:t>“教联体”：</w:t>
      </w:r>
      <w:r>
        <w:rPr>
          <w:rFonts w:hint="eastAsia"/>
        </w:rPr>
        <w:t>是以中小学生健康快乐成长为目标、以学校为圆心、以区域为主体、以资源为纽带，促进家校社有效协同的一种工作方式。</w:t>
      </w:r>
    </w:p>
    <w:p w14:paraId="21C01260">
      <w:pPr>
        <w:ind w:firstLine="640"/>
      </w:pPr>
      <w:r>
        <w:rPr>
          <w:rFonts w:hint="eastAsia"/>
        </w:rPr>
        <w:t>53.</w:t>
      </w:r>
      <w:r>
        <w:rPr>
          <w:rFonts w:hint="eastAsia"/>
          <w:b/>
          <w:bCs/>
        </w:rPr>
        <w:t>“两优”：</w:t>
      </w:r>
      <w:r>
        <w:rPr>
          <w:rFonts w:hint="eastAsia"/>
        </w:rPr>
        <w:t>指优化院校布局、优化学科专业结构。</w:t>
      </w:r>
    </w:p>
    <w:p w14:paraId="608DA4B2">
      <w:pPr>
        <w:ind w:firstLine="640"/>
      </w:pPr>
      <w:r>
        <w:rPr>
          <w:rFonts w:hint="eastAsia"/>
        </w:rPr>
        <w:t>54.</w:t>
      </w:r>
      <w:r>
        <w:rPr>
          <w:rFonts w:hint="eastAsia"/>
          <w:b/>
          <w:bCs/>
        </w:rPr>
        <w:t>教师县管校聘“三个跟着走”改革：</w:t>
      </w:r>
      <w:r>
        <w:rPr>
          <w:rFonts w:hint="eastAsia"/>
        </w:rPr>
        <w:t>指“教师跟着学生走，编制跟着教师走，职称岗位跟着编制走”，通过统筹调配“人、编、岗”来促进县域内师资均衡配置的一项具体化改革举措。</w:t>
      </w:r>
    </w:p>
    <w:p w14:paraId="34F426DE">
      <w:pPr>
        <w:ind w:firstLine="640"/>
      </w:pPr>
      <w:r>
        <w:rPr>
          <w:rFonts w:hint="eastAsia"/>
        </w:rPr>
        <w:t>55.</w:t>
      </w:r>
      <w:r>
        <w:rPr>
          <w:rFonts w:hint="eastAsia"/>
          <w:b/>
          <w:bCs/>
        </w:rPr>
        <w:t>“两主两副+”：</w:t>
      </w:r>
      <w:r>
        <w:rPr>
          <w:rFonts w:hint="eastAsia"/>
        </w:rPr>
        <w:t>指以两个主要医疗中心（具备较强综合实力、专科优势明显的三级甲等医院或国家区域医疗中心）、两个副医疗中心（区域医疗次中心或特色专科医院）为核心，并辐射带动周边基层医疗机构协同发展，从而构建起的高水平、立体化区域医疗服务体系。</w:t>
      </w:r>
    </w:p>
    <w:p w14:paraId="1583E333">
      <w:pPr>
        <w:ind w:firstLine="640"/>
      </w:pPr>
      <w:r>
        <w:rPr>
          <w:rFonts w:hint="eastAsia"/>
        </w:rPr>
        <w:t>56.</w:t>
      </w:r>
      <w:r>
        <w:rPr>
          <w:rFonts w:hint="eastAsia"/>
          <w:b/>
          <w:bCs/>
        </w:rPr>
        <w:t>县级医院“5321”能力提升工程：</w:t>
      </w:r>
      <w:r>
        <w:rPr>
          <w:rFonts w:hint="eastAsia"/>
        </w:rPr>
        <w:t>指将50%的县级综合性医院建设成为三级医院，并每年推广引进3项适宜技术，培养2名学科带头人和骨干，建设1个重点专科，持续做强县级医院服务能力。</w:t>
      </w:r>
    </w:p>
    <w:p w14:paraId="7FAFD91D">
      <w:pPr>
        <w:ind w:firstLine="640"/>
      </w:pPr>
      <w:r>
        <w:rPr>
          <w:rFonts w:hint="eastAsia"/>
        </w:rPr>
        <w:t>57.</w:t>
      </w:r>
      <w:r>
        <w:rPr>
          <w:rFonts w:hint="eastAsia"/>
          <w:b/>
          <w:bCs/>
        </w:rPr>
        <w:t>县域医共体：</w:t>
      </w:r>
      <w:r>
        <w:rPr>
          <w:rFonts w:hint="eastAsia"/>
        </w:rPr>
        <w:t>县域医疗卫生共同体的简称，指以县级医院为龙头、乡镇卫生院为枢纽、村卫生室为基础的一体化管理组织。</w:t>
      </w:r>
    </w:p>
    <w:p w14:paraId="18293994">
      <w:pPr>
        <w:ind w:firstLine="640"/>
      </w:pPr>
      <w:r>
        <w:rPr>
          <w:rFonts w:hint="eastAsia"/>
        </w:rPr>
        <w:t>58.</w:t>
      </w:r>
      <w:r>
        <w:rPr>
          <w:rFonts w:hint="eastAsia"/>
          <w:b/>
          <w:bCs/>
        </w:rPr>
        <w:t>“三减三健”行动：</w:t>
      </w:r>
      <w:r>
        <w:rPr>
          <w:rFonts w:hint="eastAsia"/>
        </w:rPr>
        <w:t>指以“减盐、减油、减糖”和“健康口腔、健康体重、健康骨骼”为核心内容的全民健康生活方式专项干预行动。</w:t>
      </w:r>
    </w:p>
    <w:p w14:paraId="0092A8FA">
      <w:pPr>
        <w:ind w:firstLine="640"/>
      </w:pPr>
      <w:r>
        <w:rPr>
          <w:rFonts w:hint="eastAsia"/>
        </w:rPr>
        <w:t>59.</w:t>
      </w:r>
      <w:r>
        <w:rPr>
          <w:rFonts w:hint="eastAsia"/>
          <w:b/>
          <w:bCs/>
        </w:rPr>
        <w:t>“银龄行动”：</w:t>
      </w:r>
      <w:r>
        <w:rPr>
          <w:rFonts w:hint="eastAsia"/>
        </w:rPr>
        <w:t>以老年人为主体，坚持自觉自愿、量力而行的原则，以开展智力援助和参与基层治理、社会服务等为内容，服务经济社会发展的志愿服务活动。</w:t>
      </w:r>
    </w:p>
    <w:p w14:paraId="43FF77B7">
      <w:pPr>
        <w:ind w:firstLine="640"/>
      </w:pPr>
      <w:r>
        <w:rPr>
          <w:rFonts w:hint="eastAsia"/>
        </w:rPr>
        <w:t>60.</w:t>
      </w:r>
      <w:r>
        <w:rPr>
          <w:rFonts w:hint="eastAsia"/>
          <w:b/>
          <w:bCs/>
        </w:rPr>
        <w:t>“一废一库一重”：</w:t>
      </w:r>
      <w:r>
        <w:rPr>
          <w:rFonts w:hint="eastAsia"/>
        </w:rPr>
        <w:t>“一废”即危险废物，“一库”即尾矿库，“一重”即重金属。</w:t>
      </w:r>
    </w:p>
    <w:p w14:paraId="3AA074BB">
      <w:pPr>
        <w:ind w:firstLine="640"/>
      </w:pPr>
      <w:r>
        <w:rPr>
          <w:rFonts w:hint="eastAsia"/>
        </w:rPr>
        <w:t>61.</w:t>
      </w:r>
      <w:r>
        <w:rPr>
          <w:rFonts w:hint="eastAsia"/>
          <w:b/>
          <w:bCs/>
        </w:rPr>
        <w:t>“双随机、一公开”环境监管：</w:t>
      </w:r>
      <w:r>
        <w:rPr>
          <w:rFonts w:hint="eastAsia"/>
        </w:rPr>
        <w:t>生态环境部门在对市场监管领域中的监管对象依法实施监管检查时，随机抽取检查对象，随机选派执法检查人员，并及时向社会公开检查情况及查处结果的行政行为。</w:t>
      </w:r>
    </w:p>
    <w:p w14:paraId="38AB0E30">
      <w:pPr>
        <w:ind w:firstLine="640"/>
      </w:pPr>
      <w:r>
        <w:rPr>
          <w:rFonts w:hint="eastAsia"/>
        </w:rPr>
        <w:t>62.</w:t>
      </w:r>
      <w:r>
        <w:rPr>
          <w:rFonts w:hint="eastAsia"/>
          <w:b/>
          <w:bCs/>
        </w:rPr>
        <w:t>“千年鸟道”：</w:t>
      </w:r>
      <w:r>
        <w:rPr>
          <w:rFonts w:hint="eastAsia"/>
        </w:rPr>
        <w:t>候鸟在常年迁徙中集中经过的山坳、停歇地、栖息地，是候鸟迁徙相对稳定的飞经之地，通过划定区域来确定需优先保护的千年鸟道范围。</w:t>
      </w:r>
    </w:p>
    <w:p w14:paraId="154C22A1">
      <w:pPr>
        <w:ind w:firstLine="640"/>
      </w:pPr>
      <w:r>
        <w:rPr>
          <w:rFonts w:hint="eastAsia"/>
        </w:rPr>
        <w:t>63.</w:t>
      </w:r>
      <w:r>
        <w:rPr>
          <w:rFonts w:hint="eastAsia"/>
          <w:b/>
          <w:bCs/>
        </w:rPr>
        <w:t>碳排放双控制度：</w:t>
      </w:r>
      <w:r>
        <w:rPr>
          <w:rFonts w:hint="eastAsia"/>
        </w:rPr>
        <w:t>全称为碳排放总量和强度双控制度，指对碳排放总量和单位GDP碳排放强度实施双重管控的制度体系，旨在通过总量限制和单位GDP碳排放量控制推动绿色低碳转型。</w:t>
      </w:r>
    </w:p>
    <w:p w14:paraId="3B188AA7">
      <w:pPr>
        <w:ind w:firstLine="640"/>
      </w:pPr>
      <w:r>
        <w:rPr>
          <w:rFonts w:hint="eastAsia"/>
        </w:rPr>
        <w:t>64.</w:t>
      </w:r>
      <w:r>
        <w:rPr>
          <w:rFonts w:hint="eastAsia"/>
          <w:b/>
          <w:bCs/>
        </w:rPr>
        <w:t>“三大审判”：</w:t>
      </w:r>
      <w:r>
        <w:rPr>
          <w:rFonts w:hint="eastAsia"/>
        </w:rPr>
        <w:t>指人民法院受理的三大主要案件类型，即刑事、民事、行政。</w:t>
      </w:r>
    </w:p>
    <w:p w14:paraId="378BFDA3">
      <w:pPr>
        <w:ind w:firstLine="640"/>
      </w:pPr>
      <w:r>
        <w:rPr>
          <w:rFonts w:hint="eastAsia"/>
        </w:rPr>
        <w:t>65.</w:t>
      </w:r>
      <w:r>
        <w:rPr>
          <w:rFonts w:hint="eastAsia"/>
          <w:b/>
          <w:bCs/>
        </w:rPr>
        <w:t>“三大环节”：</w:t>
      </w:r>
      <w:r>
        <w:rPr>
          <w:rFonts w:hint="eastAsia"/>
        </w:rPr>
        <w:t>指案件从受理到最终结案的三个阶段，即立案、审判、执行。</w:t>
      </w:r>
    </w:p>
    <w:p w14:paraId="108E2F4F">
      <w:pPr>
        <w:ind w:firstLine="640"/>
      </w:pPr>
      <w:r>
        <w:rPr>
          <w:rFonts w:hint="eastAsia"/>
        </w:rPr>
        <w:t>66.</w:t>
      </w:r>
      <w:r>
        <w:rPr>
          <w:rFonts w:hint="eastAsia"/>
          <w:b/>
          <w:bCs/>
        </w:rPr>
        <w:t>“三大程序”：</w:t>
      </w:r>
      <w:r>
        <w:rPr>
          <w:rFonts w:hint="eastAsia"/>
        </w:rPr>
        <w:t>指案件审理过程中遵循的三大诉讼级别，即一审、二审、再审。</w:t>
      </w:r>
    </w:p>
    <w:p w14:paraId="39B99C0D">
      <w:pPr>
        <w:ind w:firstLine="640"/>
      </w:pPr>
      <w:r>
        <w:rPr>
          <w:rFonts w:hint="eastAsia"/>
        </w:rPr>
        <w:t>67.</w:t>
      </w:r>
      <w:r>
        <w:rPr>
          <w:rFonts w:hint="eastAsia"/>
          <w:b/>
          <w:bCs/>
        </w:rPr>
        <w:t>“三后”：</w:t>
      </w:r>
      <w:r>
        <w:rPr>
          <w:rFonts w:hint="eastAsia"/>
        </w:rPr>
        <w:t>指军人及军属的“后路”（退役军人安置就业）、“后院”（随军家属就业安置）和“后代”（军人子女入学入托）。</w:t>
      </w:r>
    </w:p>
    <w:p w14:paraId="20A47AF6">
      <w:pPr>
        <w:ind w:firstLine="640"/>
      </w:pPr>
      <w:r>
        <w:rPr>
          <w:rFonts w:hint="eastAsia"/>
        </w:rPr>
        <w:t>68.</w:t>
      </w:r>
      <w:r>
        <w:rPr>
          <w:rFonts w:hint="eastAsia"/>
          <w:b/>
          <w:bCs/>
        </w:rPr>
        <w:t>“三抓三查三严”：</w:t>
      </w:r>
      <w:r>
        <w:rPr>
          <w:rFonts w:hint="eastAsia"/>
        </w:rPr>
        <w:t>指永州市在安全生产百日攻坚专项行动中的工作机制，即抓重点、抓关键、抓薄弱环节，查思想、查制度、查隐患，严执法、严整治、严问责。</w:t>
      </w:r>
    </w:p>
    <w:p w14:paraId="610DF9D8">
      <w:pPr>
        <w:ind w:firstLine="640"/>
      </w:pPr>
      <w:r>
        <w:rPr>
          <w:rFonts w:hint="eastAsia"/>
        </w:rPr>
        <w:t>69.</w:t>
      </w:r>
      <w:r>
        <w:rPr>
          <w:rFonts w:hint="eastAsia"/>
          <w:b/>
          <w:bCs/>
        </w:rPr>
        <w:t>“雪亮工程”：</w:t>
      </w:r>
      <w:r>
        <w:rPr>
          <w:rFonts w:hint="eastAsia"/>
        </w:rPr>
        <w:t>指以县、乡、村三级综治中心为指挥平台，以综治信息化为支撑、以网格化管理为基础，以公共安全视频监控联网应用为重点的群众性治安防控工程。</w:t>
      </w:r>
    </w:p>
    <w:p w14:paraId="27650137">
      <w:pPr>
        <w:ind w:firstLine="640"/>
      </w:pPr>
      <w:r>
        <w:rPr>
          <w:rFonts w:hint="eastAsia"/>
        </w:rPr>
        <w:t>70.</w:t>
      </w:r>
      <w:r>
        <w:rPr>
          <w:rFonts w:hint="eastAsia"/>
          <w:b/>
          <w:bCs/>
        </w:rPr>
        <w:t>“一树两严”：</w:t>
      </w:r>
      <w:r>
        <w:rPr>
          <w:rFonts w:hint="eastAsia"/>
        </w:rPr>
        <w:t>“一树”指树立和践行正确政绩观，“两严”指严禁统计造假、严控地方政府债务风险。</w:t>
      </w:r>
    </w:p>
    <w:sectPr>
      <w:footerReference r:id="rId20" w:type="default"/>
      <w:footerReference r:id="rId21" w:type="even"/>
      <w:pgSz w:w="11906" w:h="16838"/>
      <w:pgMar w:top="2098" w:right="1474" w:bottom="1985" w:left="1588" w:header="851" w:footer="1361" w:gutter="0"/>
      <w:pgNumType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7FEDE99-B26F-44D3-ADCA-700E9A6283CC}"/>
  </w:font>
  <w:font w:name="Arial">
    <w:panose1 w:val="020B0604020202020204"/>
    <w:charset w:val="01"/>
    <w:family w:val="swiss"/>
    <w:pitch w:val="default"/>
    <w:sig w:usb0="E0002EFF" w:usb1="C000785B" w:usb2="00000009" w:usb3="00000000" w:csb0="400001FF" w:csb1="FFFF0000"/>
    <w:embedRegular r:id="rId2" w:fontKey="{C506951B-890C-4587-8A84-8C1C760C8218}"/>
  </w:font>
  <w:font w:name="黑体">
    <w:panose1 w:val="02010609060101010101"/>
    <w:charset w:val="86"/>
    <w:family w:val="auto"/>
    <w:pitch w:val="default"/>
    <w:sig w:usb0="800002BF" w:usb1="38CF7CFA" w:usb2="00000016" w:usb3="00000000" w:csb0="00040001" w:csb1="00000000"/>
    <w:embedRegular r:id="rId3" w:fontKey="{C40A6114-2D08-4A09-8349-487CFCF050EF}"/>
  </w:font>
  <w:font w:name="Courier New">
    <w:panose1 w:val="02070309020205020404"/>
    <w:charset w:val="01"/>
    <w:family w:val="modern"/>
    <w:pitch w:val="default"/>
    <w:sig w:usb0="E0002EFF" w:usb1="C0007843" w:usb2="00000009" w:usb3="00000000" w:csb0="400001FF" w:csb1="FFFF0000"/>
    <w:embedRegular r:id="rId4" w:fontKey="{199CF85A-D679-4334-A299-B519FB42EDB4}"/>
  </w:font>
  <w:font w:name="Symbol">
    <w:panose1 w:val="05050102010706020507"/>
    <w:charset w:val="02"/>
    <w:family w:val="roman"/>
    <w:pitch w:val="default"/>
    <w:sig w:usb0="00000000" w:usb1="00000000" w:usb2="00000000" w:usb3="00000000" w:csb0="80000000" w:csb1="00000000"/>
    <w:embedRegular r:id="rId5" w:fontKey="{61352060-1A7E-4997-B906-394392E40BED}"/>
  </w:font>
  <w:font w:name="Calibri">
    <w:panose1 w:val="020F0502020204030204"/>
    <w:charset w:val="00"/>
    <w:family w:val="swiss"/>
    <w:pitch w:val="default"/>
    <w:sig w:usb0="E4002EFF" w:usb1="C000247B" w:usb2="00000009" w:usb3="00000000" w:csb0="200001FF" w:csb1="00000000"/>
    <w:embedRegular r:id="rId6" w:fontKey="{94E50DF9-9437-4CEA-8AA4-26399BAE3A0A}"/>
  </w:font>
  <w:font w:name="仿宋_GB2312">
    <w:panose1 w:val="02010609030101010101"/>
    <w:charset w:val="86"/>
    <w:family w:val="modern"/>
    <w:pitch w:val="default"/>
    <w:sig w:usb0="00000001" w:usb1="080E0000" w:usb2="00000000" w:usb3="00000000" w:csb0="00040000" w:csb1="00000000"/>
    <w:embedRegular r:id="rId7" w:fontKey="{AC6758D5-C6F0-46B9-BD37-1BB0A8D4B080}"/>
  </w:font>
  <w:font w:name="方正小标宋简体">
    <w:panose1 w:val="03000509000000000000"/>
    <w:charset w:val="86"/>
    <w:family w:val="auto"/>
    <w:pitch w:val="default"/>
    <w:sig w:usb0="00000001" w:usb1="080E0000" w:usb2="00000000" w:usb3="00000000" w:csb0="00040000" w:csb1="00000000"/>
    <w:embedRegular r:id="rId8" w:fontKey="{692F064A-3728-4E97-A063-1F8AE233ACD1}"/>
  </w:font>
  <w:font w:name="楷体_GB2312">
    <w:panose1 w:val="02010609030101010101"/>
    <w:charset w:val="86"/>
    <w:family w:val="modern"/>
    <w:pitch w:val="default"/>
    <w:sig w:usb0="00000001" w:usb1="080E0000" w:usb2="00000000" w:usb3="00000000" w:csb0="00040000" w:csb1="00000000"/>
    <w:embedRegular r:id="rId9" w:fontKey="{1B2BA15F-5C98-47FB-949F-C41E781E62B4}"/>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embedRegular r:id="rId10" w:fontKey="{BB1F5755-4FA1-4927-AEE8-CFFA0E664E3F}"/>
  </w:font>
  <w:font w:name="等线">
    <w:panose1 w:val="02010600030101010101"/>
    <w:charset w:val="86"/>
    <w:family w:val="auto"/>
    <w:pitch w:val="default"/>
    <w:sig w:usb0="A00002BF" w:usb1="38CF7CFA" w:usb2="00000016" w:usb3="00000000" w:csb0="0004000F" w:csb1="00000000"/>
    <w:embedRegular r:id="rId11" w:fontKey="{C3A31308-B9D3-4026-816F-C5360CA55B22}"/>
  </w:font>
  <w:font w:name="Calibri Light">
    <w:panose1 w:val="020F0302020204030204"/>
    <w:charset w:val="00"/>
    <w:family w:val="swiss"/>
    <w:pitch w:val="default"/>
    <w:sig w:usb0="E4002EFF" w:usb1="C000247B" w:usb2="00000009" w:usb3="00000000" w:csb0="200001FF" w:csb1="00000000"/>
    <w:embedRegular r:id="rId12" w:fontKey="{FF35F921-1CE0-4492-A35A-A47D0D19A942}"/>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3" w:fontKey="{ED07BEC0-33B7-453D-A782-F0F6F33F28E2}"/>
  </w:font>
  <w:font w:name="华文仿宋">
    <w:altName w:val="仿宋"/>
    <w:panose1 w:val="02010600040101010101"/>
    <w:charset w:val="86"/>
    <w:family w:val="auto"/>
    <w:pitch w:val="default"/>
    <w:sig w:usb0="00000000" w:usb1="00000000" w:usb2="00000010" w:usb3="00000000" w:csb0="0004009F" w:csb1="00000000"/>
    <w:embedRegular r:id="rId14" w:fontKey="{F7214C21-84C6-485F-BBED-98E105254B08}"/>
  </w:font>
  <w:font w:name="方正仿宋_GB2312">
    <w:altName w:val="微软雅黑"/>
    <w:panose1 w:val="00000000000000000000"/>
    <w:charset w:val="86"/>
    <w:family w:val="auto"/>
    <w:pitch w:val="default"/>
    <w:sig w:usb0="00000000" w:usb1="00000000" w:usb2="00000012" w:usb3="00000000" w:csb0="00040001" w:csb1="00000000"/>
    <w:embedRegular r:id="rId15" w:fontKey="{6D50264F-30CA-4147-B8BA-BFD3C1EC1D21}"/>
  </w:font>
  <w:font w:name="微软雅黑">
    <w:panose1 w:val="020B0503020204020204"/>
    <w:charset w:val="86"/>
    <w:family w:val="swiss"/>
    <w:pitch w:val="default"/>
    <w:sig w:usb0="80000287" w:usb1="2ACF3C50" w:usb2="00000016" w:usb3="00000000" w:csb0="0004001F" w:csb1="00000000"/>
    <w:embedRegular r:id="rId16" w:fontKey="{B98107FC-1FFF-40A8-8830-33231ACE4CE3}"/>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CF1E3">
    <w:pPr>
      <w:pStyle w:val="2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Fonts w:hint="eastAsia"/>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17612">
    <w:pPr>
      <w:pStyle w:val="20"/>
      <w:spacing w:line="240" w:lineRule="auto"/>
      <w:ind w:right="336" w:rightChars="105" w:firstLine="0" w:firstLineChars="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139</w:t>
    </w:r>
    <w:r>
      <w:rPr>
        <w:sz w:val="28"/>
        <w:szCs w:val="28"/>
      </w:rPr>
      <w:fldChar w:fldCharType="end"/>
    </w:r>
    <w:r>
      <w:rPr>
        <w:rFonts w:hint="eastAsia"/>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394E">
    <w:pPr>
      <w:tabs>
        <w:tab w:val="center" w:pos="4153"/>
        <w:tab w:val="right" w:pos="8306"/>
      </w:tabs>
      <w:snapToGrid w:val="0"/>
      <w:spacing w:line="240" w:lineRule="auto"/>
      <w:ind w:firstLine="282" w:firstLineChars="101"/>
      <w:jc w:val="left"/>
      <w:rPr>
        <w:rFonts w:cs="Times New Roman"/>
        <w:sz w:val="28"/>
        <w:szCs w:val="28"/>
        <w14:ligatures w14:val="none"/>
      </w:rPr>
    </w:pPr>
    <w:r>
      <w:rPr>
        <w:rFonts w:hint="eastAsia" w:cs="Times New Roman"/>
        <w:sz w:val="28"/>
        <w:szCs w:val="28"/>
        <w14:ligatures w14:val="none"/>
      </w:rPr>
      <w:t>—</w:t>
    </w:r>
    <w:r>
      <w:rPr>
        <w:rFonts w:cs="Times New Roman"/>
        <w:sz w:val="28"/>
        <w:szCs w:val="28"/>
        <w14:ligatures w14:val="none"/>
      </w:rPr>
      <w:fldChar w:fldCharType="begin"/>
    </w:r>
    <w:r>
      <w:rPr>
        <w:rFonts w:cs="Times New Roman"/>
        <w:sz w:val="28"/>
        <w:szCs w:val="28"/>
        <w14:ligatures w14:val="none"/>
      </w:rPr>
      <w:instrText xml:space="preserve">PAGE   \* MERGEFORMAT</w:instrText>
    </w:r>
    <w:r>
      <w:rPr>
        <w:rFonts w:cs="Times New Roman"/>
        <w:sz w:val="28"/>
        <w:szCs w:val="28"/>
        <w14:ligatures w14:val="none"/>
      </w:rPr>
      <w:fldChar w:fldCharType="separate"/>
    </w:r>
    <w:r>
      <w:rPr>
        <w:rFonts w:cs="Times New Roman"/>
        <w:sz w:val="28"/>
        <w:szCs w:val="28"/>
        <w14:ligatures w14:val="none"/>
      </w:rPr>
      <w:t>142</w:t>
    </w:r>
    <w:r>
      <w:rPr>
        <w:rFonts w:cs="Times New Roman"/>
        <w:sz w:val="28"/>
        <w:szCs w:val="28"/>
        <w14:ligatures w14:val="none"/>
      </w:rPr>
      <w:fldChar w:fldCharType="end"/>
    </w:r>
    <w:r>
      <w:rPr>
        <w:rFonts w:hint="eastAsia" w:cs="Times New Roman"/>
        <w:sz w:val="28"/>
        <w:szCs w:val="28"/>
        <w14:ligatures w14:val="non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9D2D8">
    <w:pPr>
      <w:tabs>
        <w:tab w:val="center" w:pos="4153"/>
        <w:tab w:val="right" w:pos="8306"/>
      </w:tabs>
      <w:snapToGrid w:val="0"/>
      <w:spacing w:line="240" w:lineRule="auto"/>
      <w:ind w:firstLine="282" w:firstLineChars="101"/>
      <w:jc w:val="left"/>
      <w:rPr>
        <w:rFonts w:cs="Times New Roman"/>
        <w:sz w:val="28"/>
        <w:szCs w:val="28"/>
        <w14:ligatures w14:val="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B3F5F">
    <w:pPr>
      <w:tabs>
        <w:tab w:val="center" w:pos="4153"/>
        <w:tab w:val="right" w:pos="8306"/>
      </w:tabs>
      <w:snapToGrid w:val="0"/>
      <w:ind w:right="336" w:rightChars="105" w:firstLine="560"/>
      <w:jc w:val="right"/>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63F3">
    <w:pPr>
      <w:pStyle w:val="2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Fonts w:hint="eastAsia"/>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870DD">
    <w:pPr>
      <w:tabs>
        <w:tab w:val="center" w:pos="4153"/>
        <w:tab w:val="right" w:pos="8306"/>
      </w:tabs>
      <w:snapToGrid w:val="0"/>
      <w:spacing w:line="240" w:lineRule="auto"/>
      <w:ind w:firstLine="282" w:firstLineChars="101"/>
      <w:jc w:val="left"/>
      <w:rPr>
        <w:rFonts w:cs="Times New Roman"/>
        <w:sz w:val="28"/>
        <w:szCs w:val="28"/>
        <w14:ligatures w14:val="no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C09BF">
    <w:pPr>
      <w:tabs>
        <w:tab w:val="center" w:pos="4153"/>
        <w:tab w:val="right" w:pos="8306"/>
      </w:tabs>
      <w:snapToGrid w:val="0"/>
      <w:ind w:right="336" w:rightChars="105" w:firstLine="560"/>
      <w:jc w:val="right"/>
      <w:rPr>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8A1C">
    <w:pPr>
      <w:pStyle w:val="20"/>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5B39">
    <w:pPr>
      <w:tabs>
        <w:tab w:val="center" w:pos="4153"/>
        <w:tab w:val="right" w:pos="8306"/>
      </w:tabs>
      <w:snapToGrid w:val="0"/>
      <w:spacing w:line="240" w:lineRule="auto"/>
      <w:ind w:firstLine="282" w:firstLineChars="101"/>
      <w:jc w:val="left"/>
      <w:rPr>
        <w:rFonts w:cs="Times New Roman"/>
        <w:sz w:val="28"/>
        <w:szCs w:val="28"/>
        <w14:ligatures w14:val="none"/>
      </w:rPr>
    </w:pPr>
    <w:r>
      <w:rPr>
        <w:rFonts w:hint="eastAsia" w:cs="Times New Roman"/>
        <w:sz w:val="28"/>
        <w:szCs w:val="28"/>
        <w14:ligatures w14:val="none"/>
      </w:rPr>
      <w:t>—</w:t>
    </w:r>
    <w:r>
      <w:rPr>
        <w:rFonts w:cs="Times New Roman"/>
        <w:sz w:val="28"/>
        <w:szCs w:val="28"/>
        <w14:ligatures w14:val="none"/>
      </w:rPr>
      <w:fldChar w:fldCharType="begin"/>
    </w:r>
    <w:r>
      <w:rPr>
        <w:rFonts w:cs="Times New Roman"/>
        <w:sz w:val="28"/>
        <w:szCs w:val="28"/>
        <w14:ligatures w14:val="none"/>
      </w:rPr>
      <w:instrText xml:space="preserve">PAGE   \* MERGEFORMAT</w:instrText>
    </w:r>
    <w:r>
      <w:rPr>
        <w:rFonts w:cs="Times New Roman"/>
        <w:sz w:val="28"/>
        <w:szCs w:val="28"/>
        <w14:ligatures w14:val="none"/>
      </w:rPr>
      <w:fldChar w:fldCharType="separate"/>
    </w:r>
    <w:r>
      <w:rPr>
        <w:rFonts w:cs="Times New Roman"/>
        <w:sz w:val="28"/>
        <w:szCs w:val="28"/>
        <w14:ligatures w14:val="none"/>
      </w:rPr>
      <w:t>IV</w:t>
    </w:r>
    <w:r>
      <w:rPr>
        <w:rFonts w:cs="Times New Roman"/>
        <w:sz w:val="28"/>
        <w:szCs w:val="28"/>
        <w14:ligatures w14:val="none"/>
      </w:rPr>
      <w:fldChar w:fldCharType="end"/>
    </w:r>
    <w:r>
      <w:rPr>
        <w:rFonts w:hint="eastAsia" w:cs="Times New Roman"/>
        <w:sz w:val="28"/>
        <w:szCs w:val="28"/>
        <w14:ligatures w14:val="none"/>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CA7C4">
    <w:pPr>
      <w:tabs>
        <w:tab w:val="center" w:pos="4153"/>
        <w:tab w:val="right" w:pos="8306"/>
      </w:tabs>
      <w:snapToGrid w:val="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I</w:t>
    </w:r>
    <w:r>
      <w:rPr>
        <w:sz w:val="28"/>
        <w:szCs w:val="28"/>
      </w:rPr>
      <w:fldChar w:fldCharType="end"/>
    </w:r>
    <w:r>
      <w:rPr>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3EE75">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CE892">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6E6D0">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2AEB5">
    <w:pPr>
      <w:pStyle w:val="2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38CDB">
    <w:pPr>
      <w:pStyle w:val="2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442B">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46727"/>
    <w:multiLevelType w:val="multilevel"/>
    <w:tmpl w:val="1C546727"/>
    <w:lvl w:ilvl="0" w:tentative="0">
      <w:start w:val="1"/>
      <w:numFmt w:val="chineseCountingThousand"/>
      <w:pStyle w:val="5"/>
      <w:suff w:val="nothing"/>
      <w:lvlText w:val="第%1篇  "/>
      <w:lvlJc w:val="left"/>
      <w:pPr>
        <w:ind w:left="6095" w:firstLine="0"/>
      </w:pPr>
      <w:rPr>
        <w:rFonts w:hint="eastAsia" w:ascii="方正小标宋简体" w:eastAsia="方正小标宋简体"/>
      </w:rPr>
    </w:lvl>
    <w:lvl w:ilvl="1" w:tentative="0">
      <w:start w:val="1"/>
      <w:numFmt w:val="chineseCountingThousand"/>
      <w:lvlRestart w:val="0"/>
      <w:pStyle w:val="6"/>
      <w:suff w:val="nothing"/>
      <w:lvlText w:val="第%2章  "/>
      <w:lvlJc w:val="left"/>
      <w:pPr>
        <w:ind w:left="0" w:firstLine="0"/>
      </w:p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C863412"/>
    <w:multiLevelType w:val="multilevel"/>
    <w:tmpl w:val="3C863412"/>
    <w:lvl w:ilvl="0" w:tentative="0">
      <w:start w:val="1"/>
      <w:numFmt w:val="decimal"/>
      <w:pStyle w:val="113"/>
      <w:lvlText w:val="图 %1"/>
      <w:lvlJc w:val="left"/>
      <w:pPr>
        <w:ind w:left="440" w:hanging="440"/>
      </w:pPr>
      <w:rPr>
        <w:rFonts w:hint="default" w:ascii="Times New Roman" w:hAnsi="Times New Roman" w:eastAsia="仿宋_GB2312"/>
        <w:b/>
        <w:i w:val="0"/>
        <w:sz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hZWE2OTRmYTZkZDgxODFhNzRkNjZkYWM0MjRlNzYifQ=="/>
  </w:docVars>
  <w:rsids>
    <w:rsidRoot w:val="009A4DDC"/>
    <w:rsid w:val="000003C2"/>
    <w:rsid w:val="0000079E"/>
    <w:rsid w:val="0000088B"/>
    <w:rsid w:val="00000FB2"/>
    <w:rsid w:val="0000150A"/>
    <w:rsid w:val="000016A7"/>
    <w:rsid w:val="000017CC"/>
    <w:rsid w:val="00002021"/>
    <w:rsid w:val="0000305A"/>
    <w:rsid w:val="00003B1C"/>
    <w:rsid w:val="00003D75"/>
    <w:rsid w:val="000041FD"/>
    <w:rsid w:val="00004B27"/>
    <w:rsid w:val="000054F8"/>
    <w:rsid w:val="00005E45"/>
    <w:rsid w:val="00005EB3"/>
    <w:rsid w:val="00006483"/>
    <w:rsid w:val="00007980"/>
    <w:rsid w:val="00007FAA"/>
    <w:rsid w:val="0001024A"/>
    <w:rsid w:val="000102F5"/>
    <w:rsid w:val="0001040B"/>
    <w:rsid w:val="000105D2"/>
    <w:rsid w:val="00011049"/>
    <w:rsid w:val="00011819"/>
    <w:rsid w:val="00011960"/>
    <w:rsid w:val="0001199F"/>
    <w:rsid w:val="00011F82"/>
    <w:rsid w:val="00012375"/>
    <w:rsid w:val="000128F3"/>
    <w:rsid w:val="00012D66"/>
    <w:rsid w:val="00012DEB"/>
    <w:rsid w:val="000138B8"/>
    <w:rsid w:val="00013BCF"/>
    <w:rsid w:val="00013D41"/>
    <w:rsid w:val="00014040"/>
    <w:rsid w:val="00014498"/>
    <w:rsid w:val="00014E24"/>
    <w:rsid w:val="00015357"/>
    <w:rsid w:val="00015DA3"/>
    <w:rsid w:val="000161CB"/>
    <w:rsid w:val="000166B5"/>
    <w:rsid w:val="00017717"/>
    <w:rsid w:val="00020A38"/>
    <w:rsid w:val="00020E8A"/>
    <w:rsid w:val="00021175"/>
    <w:rsid w:val="000216C9"/>
    <w:rsid w:val="0002174F"/>
    <w:rsid w:val="0002207C"/>
    <w:rsid w:val="00022278"/>
    <w:rsid w:val="000229C4"/>
    <w:rsid w:val="00023276"/>
    <w:rsid w:val="000232A8"/>
    <w:rsid w:val="00023372"/>
    <w:rsid w:val="00023765"/>
    <w:rsid w:val="00023F68"/>
    <w:rsid w:val="0002409D"/>
    <w:rsid w:val="000244AB"/>
    <w:rsid w:val="00024905"/>
    <w:rsid w:val="00024CDF"/>
    <w:rsid w:val="00024F29"/>
    <w:rsid w:val="0002536D"/>
    <w:rsid w:val="00025BFE"/>
    <w:rsid w:val="00025D4F"/>
    <w:rsid w:val="00025E20"/>
    <w:rsid w:val="000261F4"/>
    <w:rsid w:val="00026745"/>
    <w:rsid w:val="00026991"/>
    <w:rsid w:val="00026CBD"/>
    <w:rsid w:val="0002733A"/>
    <w:rsid w:val="0002773B"/>
    <w:rsid w:val="000278B6"/>
    <w:rsid w:val="00027ADB"/>
    <w:rsid w:val="00027CAB"/>
    <w:rsid w:val="00027DE5"/>
    <w:rsid w:val="00027E85"/>
    <w:rsid w:val="0003051D"/>
    <w:rsid w:val="000309C7"/>
    <w:rsid w:val="000312ED"/>
    <w:rsid w:val="0003131B"/>
    <w:rsid w:val="00031733"/>
    <w:rsid w:val="00032BBB"/>
    <w:rsid w:val="00033397"/>
    <w:rsid w:val="000337DD"/>
    <w:rsid w:val="00033C2E"/>
    <w:rsid w:val="00033F6E"/>
    <w:rsid w:val="00034134"/>
    <w:rsid w:val="000341E5"/>
    <w:rsid w:val="00034AAD"/>
    <w:rsid w:val="00034C53"/>
    <w:rsid w:val="00034DE4"/>
    <w:rsid w:val="00034EF6"/>
    <w:rsid w:val="000351E8"/>
    <w:rsid w:val="00035D7E"/>
    <w:rsid w:val="0003694E"/>
    <w:rsid w:val="00036A83"/>
    <w:rsid w:val="00037C01"/>
    <w:rsid w:val="0004051E"/>
    <w:rsid w:val="000408AE"/>
    <w:rsid w:val="000412A5"/>
    <w:rsid w:val="00041316"/>
    <w:rsid w:val="000419CF"/>
    <w:rsid w:val="00042929"/>
    <w:rsid w:val="0004320C"/>
    <w:rsid w:val="0004331A"/>
    <w:rsid w:val="0004339B"/>
    <w:rsid w:val="00045681"/>
    <w:rsid w:val="000456AF"/>
    <w:rsid w:val="000460F1"/>
    <w:rsid w:val="0004611C"/>
    <w:rsid w:val="00046383"/>
    <w:rsid w:val="000466B3"/>
    <w:rsid w:val="00046DF7"/>
    <w:rsid w:val="0004709C"/>
    <w:rsid w:val="0004730A"/>
    <w:rsid w:val="00047BA7"/>
    <w:rsid w:val="00047CFE"/>
    <w:rsid w:val="0005076C"/>
    <w:rsid w:val="0005077C"/>
    <w:rsid w:val="00050E4C"/>
    <w:rsid w:val="00050FF9"/>
    <w:rsid w:val="0005151A"/>
    <w:rsid w:val="000518D8"/>
    <w:rsid w:val="00051AF6"/>
    <w:rsid w:val="00052A7F"/>
    <w:rsid w:val="00052FEA"/>
    <w:rsid w:val="0005302B"/>
    <w:rsid w:val="00053ED8"/>
    <w:rsid w:val="00053F79"/>
    <w:rsid w:val="00053FC5"/>
    <w:rsid w:val="00055C8D"/>
    <w:rsid w:val="00055D1E"/>
    <w:rsid w:val="00057058"/>
    <w:rsid w:val="0005716F"/>
    <w:rsid w:val="00057661"/>
    <w:rsid w:val="000577BE"/>
    <w:rsid w:val="00057B20"/>
    <w:rsid w:val="00057B96"/>
    <w:rsid w:val="00060AF3"/>
    <w:rsid w:val="0006220B"/>
    <w:rsid w:val="0006229D"/>
    <w:rsid w:val="00062708"/>
    <w:rsid w:val="00062AEF"/>
    <w:rsid w:val="000638CA"/>
    <w:rsid w:val="00064021"/>
    <w:rsid w:val="0006487F"/>
    <w:rsid w:val="000649A8"/>
    <w:rsid w:val="00064CE0"/>
    <w:rsid w:val="00064D3F"/>
    <w:rsid w:val="00064DA0"/>
    <w:rsid w:val="00065428"/>
    <w:rsid w:val="00065976"/>
    <w:rsid w:val="00065AA9"/>
    <w:rsid w:val="00066213"/>
    <w:rsid w:val="0006654E"/>
    <w:rsid w:val="00066AD0"/>
    <w:rsid w:val="00066B7B"/>
    <w:rsid w:val="00067C00"/>
    <w:rsid w:val="00067EBC"/>
    <w:rsid w:val="0007007C"/>
    <w:rsid w:val="000700E6"/>
    <w:rsid w:val="000701CB"/>
    <w:rsid w:val="00072149"/>
    <w:rsid w:val="000721CB"/>
    <w:rsid w:val="00072309"/>
    <w:rsid w:val="000723A6"/>
    <w:rsid w:val="00072628"/>
    <w:rsid w:val="00072789"/>
    <w:rsid w:val="000728B5"/>
    <w:rsid w:val="00073379"/>
    <w:rsid w:val="000744EA"/>
    <w:rsid w:val="00074B9C"/>
    <w:rsid w:val="00074DCD"/>
    <w:rsid w:val="00075F3A"/>
    <w:rsid w:val="000762AD"/>
    <w:rsid w:val="00077173"/>
    <w:rsid w:val="00077AD4"/>
    <w:rsid w:val="00077F67"/>
    <w:rsid w:val="000809B8"/>
    <w:rsid w:val="00080C5F"/>
    <w:rsid w:val="0008159A"/>
    <w:rsid w:val="00081A7F"/>
    <w:rsid w:val="00081C6B"/>
    <w:rsid w:val="00082F6C"/>
    <w:rsid w:val="0008332F"/>
    <w:rsid w:val="00083BA5"/>
    <w:rsid w:val="00083D94"/>
    <w:rsid w:val="00083FE8"/>
    <w:rsid w:val="000841C4"/>
    <w:rsid w:val="000845CC"/>
    <w:rsid w:val="00084F89"/>
    <w:rsid w:val="00085993"/>
    <w:rsid w:val="00085A95"/>
    <w:rsid w:val="00085FFE"/>
    <w:rsid w:val="000879F3"/>
    <w:rsid w:val="00090621"/>
    <w:rsid w:val="00090882"/>
    <w:rsid w:val="00090CC1"/>
    <w:rsid w:val="00091015"/>
    <w:rsid w:val="00091B1F"/>
    <w:rsid w:val="00091C76"/>
    <w:rsid w:val="0009224D"/>
    <w:rsid w:val="00092480"/>
    <w:rsid w:val="00093D24"/>
    <w:rsid w:val="00093FDE"/>
    <w:rsid w:val="000940B8"/>
    <w:rsid w:val="0009432F"/>
    <w:rsid w:val="000948AE"/>
    <w:rsid w:val="00094FE9"/>
    <w:rsid w:val="000959B4"/>
    <w:rsid w:val="00095CE3"/>
    <w:rsid w:val="00095F7C"/>
    <w:rsid w:val="000962B9"/>
    <w:rsid w:val="00096CF3"/>
    <w:rsid w:val="000978B9"/>
    <w:rsid w:val="00097BD6"/>
    <w:rsid w:val="000A0549"/>
    <w:rsid w:val="000A07D4"/>
    <w:rsid w:val="000A08EC"/>
    <w:rsid w:val="000A0A19"/>
    <w:rsid w:val="000A0ACF"/>
    <w:rsid w:val="000A189A"/>
    <w:rsid w:val="000A1EE9"/>
    <w:rsid w:val="000A1FC4"/>
    <w:rsid w:val="000A209F"/>
    <w:rsid w:val="000A27A1"/>
    <w:rsid w:val="000A2AAC"/>
    <w:rsid w:val="000A2AF3"/>
    <w:rsid w:val="000A4009"/>
    <w:rsid w:val="000A4264"/>
    <w:rsid w:val="000A4E6E"/>
    <w:rsid w:val="000A5938"/>
    <w:rsid w:val="000A5D37"/>
    <w:rsid w:val="000A6FD7"/>
    <w:rsid w:val="000A71DC"/>
    <w:rsid w:val="000A7924"/>
    <w:rsid w:val="000A7FC9"/>
    <w:rsid w:val="000B0A11"/>
    <w:rsid w:val="000B13AE"/>
    <w:rsid w:val="000B2DE1"/>
    <w:rsid w:val="000B311E"/>
    <w:rsid w:val="000B40C4"/>
    <w:rsid w:val="000B4324"/>
    <w:rsid w:val="000B54EA"/>
    <w:rsid w:val="000B5A13"/>
    <w:rsid w:val="000B5DBA"/>
    <w:rsid w:val="000B73C3"/>
    <w:rsid w:val="000B7733"/>
    <w:rsid w:val="000B79B3"/>
    <w:rsid w:val="000B79F6"/>
    <w:rsid w:val="000C0185"/>
    <w:rsid w:val="000C1732"/>
    <w:rsid w:val="000C1BAE"/>
    <w:rsid w:val="000C2ACC"/>
    <w:rsid w:val="000C2B1D"/>
    <w:rsid w:val="000C2D42"/>
    <w:rsid w:val="000C3024"/>
    <w:rsid w:val="000C35A6"/>
    <w:rsid w:val="000C387E"/>
    <w:rsid w:val="000C3A74"/>
    <w:rsid w:val="000C425A"/>
    <w:rsid w:val="000C49E1"/>
    <w:rsid w:val="000C55E7"/>
    <w:rsid w:val="000C5667"/>
    <w:rsid w:val="000C6501"/>
    <w:rsid w:val="000C7224"/>
    <w:rsid w:val="000C7AE9"/>
    <w:rsid w:val="000D05FA"/>
    <w:rsid w:val="000D0E46"/>
    <w:rsid w:val="000D1AD5"/>
    <w:rsid w:val="000D2368"/>
    <w:rsid w:val="000D26A0"/>
    <w:rsid w:val="000D27D7"/>
    <w:rsid w:val="000D36AB"/>
    <w:rsid w:val="000D3A5D"/>
    <w:rsid w:val="000D3B3E"/>
    <w:rsid w:val="000D42DF"/>
    <w:rsid w:val="000D4455"/>
    <w:rsid w:val="000D4638"/>
    <w:rsid w:val="000D48D0"/>
    <w:rsid w:val="000D4AB8"/>
    <w:rsid w:val="000D5205"/>
    <w:rsid w:val="000D536E"/>
    <w:rsid w:val="000D5863"/>
    <w:rsid w:val="000D5E1F"/>
    <w:rsid w:val="000D6002"/>
    <w:rsid w:val="000D68AF"/>
    <w:rsid w:val="000D79EE"/>
    <w:rsid w:val="000E147D"/>
    <w:rsid w:val="000E277F"/>
    <w:rsid w:val="000E2DFD"/>
    <w:rsid w:val="000E2F43"/>
    <w:rsid w:val="000E331F"/>
    <w:rsid w:val="000E35BD"/>
    <w:rsid w:val="000E395E"/>
    <w:rsid w:val="000E4A9C"/>
    <w:rsid w:val="000E4B38"/>
    <w:rsid w:val="000E504A"/>
    <w:rsid w:val="000E5483"/>
    <w:rsid w:val="000E5D02"/>
    <w:rsid w:val="000E5D34"/>
    <w:rsid w:val="000E5F41"/>
    <w:rsid w:val="000E624A"/>
    <w:rsid w:val="000E694C"/>
    <w:rsid w:val="000E6CE2"/>
    <w:rsid w:val="000E79C7"/>
    <w:rsid w:val="000E7B80"/>
    <w:rsid w:val="000F0368"/>
    <w:rsid w:val="000F2676"/>
    <w:rsid w:val="000F2D55"/>
    <w:rsid w:val="000F31FC"/>
    <w:rsid w:val="000F32CC"/>
    <w:rsid w:val="000F5000"/>
    <w:rsid w:val="000F583F"/>
    <w:rsid w:val="000F5FE2"/>
    <w:rsid w:val="000F64D6"/>
    <w:rsid w:val="000F6CFE"/>
    <w:rsid w:val="000F7047"/>
    <w:rsid w:val="000F7CE8"/>
    <w:rsid w:val="00101C69"/>
    <w:rsid w:val="00101E53"/>
    <w:rsid w:val="00102258"/>
    <w:rsid w:val="001022DA"/>
    <w:rsid w:val="00102680"/>
    <w:rsid w:val="00102A3D"/>
    <w:rsid w:val="00102A5F"/>
    <w:rsid w:val="00102E11"/>
    <w:rsid w:val="00103169"/>
    <w:rsid w:val="001034E3"/>
    <w:rsid w:val="00103B1C"/>
    <w:rsid w:val="00103D94"/>
    <w:rsid w:val="00103DC0"/>
    <w:rsid w:val="00104C95"/>
    <w:rsid w:val="00105B45"/>
    <w:rsid w:val="00107FE9"/>
    <w:rsid w:val="001100EB"/>
    <w:rsid w:val="001100F9"/>
    <w:rsid w:val="00110402"/>
    <w:rsid w:val="00112D71"/>
    <w:rsid w:val="00113504"/>
    <w:rsid w:val="0011370F"/>
    <w:rsid w:val="001139C8"/>
    <w:rsid w:val="00113DBC"/>
    <w:rsid w:val="00114423"/>
    <w:rsid w:val="00114730"/>
    <w:rsid w:val="00114844"/>
    <w:rsid w:val="00114B07"/>
    <w:rsid w:val="00114CD6"/>
    <w:rsid w:val="00114D64"/>
    <w:rsid w:val="00114F09"/>
    <w:rsid w:val="0011553F"/>
    <w:rsid w:val="00115C25"/>
    <w:rsid w:val="00115E97"/>
    <w:rsid w:val="001166DE"/>
    <w:rsid w:val="00116AA5"/>
    <w:rsid w:val="00116C56"/>
    <w:rsid w:val="00116C60"/>
    <w:rsid w:val="00116FD6"/>
    <w:rsid w:val="00117214"/>
    <w:rsid w:val="001176DB"/>
    <w:rsid w:val="001206A5"/>
    <w:rsid w:val="001206E0"/>
    <w:rsid w:val="00120F91"/>
    <w:rsid w:val="00121149"/>
    <w:rsid w:val="00122517"/>
    <w:rsid w:val="00122951"/>
    <w:rsid w:val="001232C8"/>
    <w:rsid w:val="0012368F"/>
    <w:rsid w:val="00123BC0"/>
    <w:rsid w:val="00124E82"/>
    <w:rsid w:val="00125010"/>
    <w:rsid w:val="00125266"/>
    <w:rsid w:val="001253DB"/>
    <w:rsid w:val="00125575"/>
    <w:rsid w:val="001262EF"/>
    <w:rsid w:val="00126368"/>
    <w:rsid w:val="001263AC"/>
    <w:rsid w:val="00126A64"/>
    <w:rsid w:val="00126C95"/>
    <w:rsid w:val="00127324"/>
    <w:rsid w:val="0012757C"/>
    <w:rsid w:val="00127F39"/>
    <w:rsid w:val="00130217"/>
    <w:rsid w:val="0013046F"/>
    <w:rsid w:val="00130F57"/>
    <w:rsid w:val="001310E3"/>
    <w:rsid w:val="001313A6"/>
    <w:rsid w:val="00131B51"/>
    <w:rsid w:val="001327E7"/>
    <w:rsid w:val="00132F41"/>
    <w:rsid w:val="00133088"/>
    <w:rsid w:val="00133749"/>
    <w:rsid w:val="00133CE7"/>
    <w:rsid w:val="00133D3C"/>
    <w:rsid w:val="00134AB3"/>
    <w:rsid w:val="00134BF8"/>
    <w:rsid w:val="001350DB"/>
    <w:rsid w:val="00135C33"/>
    <w:rsid w:val="0013642C"/>
    <w:rsid w:val="00136CA7"/>
    <w:rsid w:val="0013738E"/>
    <w:rsid w:val="00137804"/>
    <w:rsid w:val="00137824"/>
    <w:rsid w:val="00137A1D"/>
    <w:rsid w:val="00137C65"/>
    <w:rsid w:val="00140079"/>
    <w:rsid w:val="001402D7"/>
    <w:rsid w:val="001404F2"/>
    <w:rsid w:val="00140961"/>
    <w:rsid w:val="00141486"/>
    <w:rsid w:val="001414DD"/>
    <w:rsid w:val="00141573"/>
    <w:rsid w:val="0014164C"/>
    <w:rsid w:val="00141CD3"/>
    <w:rsid w:val="001420BB"/>
    <w:rsid w:val="00142EE5"/>
    <w:rsid w:val="001430EE"/>
    <w:rsid w:val="001438B7"/>
    <w:rsid w:val="00143E0B"/>
    <w:rsid w:val="0014538A"/>
    <w:rsid w:val="001477D4"/>
    <w:rsid w:val="001509C2"/>
    <w:rsid w:val="00150A51"/>
    <w:rsid w:val="00151435"/>
    <w:rsid w:val="00151769"/>
    <w:rsid w:val="00151B21"/>
    <w:rsid w:val="00151F47"/>
    <w:rsid w:val="00151FAC"/>
    <w:rsid w:val="001520BF"/>
    <w:rsid w:val="00152180"/>
    <w:rsid w:val="001527D6"/>
    <w:rsid w:val="001529CE"/>
    <w:rsid w:val="0015344E"/>
    <w:rsid w:val="00154645"/>
    <w:rsid w:val="00154829"/>
    <w:rsid w:val="00154B5E"/>
    <w:rsid w:val="00154D02"/>
    <w:rsid w:val="00154D59"/>
    <w:rsid w:val="001560BA"/>
    <w:rsid w:val="00156323"/>
    <w:rsid w:val="001564BB"/>
    <w:rsid w:val="00156730"/>
    <w:rsid w:val="001567A8"/>
    <w:rsid w:val="00157227"/>
    <w:rsid w:val="001572CA"/>
    <w:rsid w:val="00157DED"/>
    <w:rsid w:val="00157E26"/>
    <w:rsid w:val="0016060E"/>
    <w:rsid w:val="00161389"/>
    <w:rsid w:val="001614A5"/>
    <w:rsid w:val="0016166E"/>
    <w:rsid w:val="00161845"/>
    <w:rsid w:val="0016195B"/>
    <w:rsid w:val="001624AF"/>
    <w:rsid w:val="001629FD"/>
    <w:rsid w:val="00163B13"/>
    <w:rsid w:val="00163C4B"/>
    <w:rsid w:val="00164374"/>
    <w:rsid w:val="0016439D"/>
    <w:rsid w:val="0016516B"/>
    <w:rsid w:val="0016537E"/>
    <w:rsid w:val="0016605E"/>
    <w:rsid w:val="001702FC"/>
    <w:rsid w:val="001706E7"/>
    <w:rsid w:val="0017081F"/>
    <w:rsid w:val="00170A09"/>
    <w:rsid w:val="00170BAD"/>
    <w:rsid w:val="00170E47"/>
    <w:rsid w:val="001718C0"/>
    <w:rsid w:val="00171E5A"/>
    <w:rsid w:val="0017254A"/>
    <w:rsid w:val="001734C9"/>
    <w:rsid w:val="00173C27"/>
    <w:rsid w:val="00173D30"/>
    <w:rsid w:val="0017433B"/>
    <w:rsid w:val="00174AF3"/>
    <w:rsid w:val="001759EE"/>
    <w:rsid w:val="00175C77"/>
    <w:rsid w:val="00176409"/>
    <w:rsid w:val="00176C30"/>
    <w:rsid w:val="0017732D"/>
    <w:rsid w:val="0018065F"/>
    <w:rsid w:val="00180781"/>
    <w:rsid w:val="001808E7"/>
    <w:rsid w:val="00180A6F"/>
    <w:rsid w:val="00181514"/>
    <w:rsid w:val="00181A13"/>
    <w:rsid w:val="00181B36"/>
    <w:rsid w:val="00182797"/>
    <w:rsid w:val="001829EC"/>
    <w:rsid w:val="00182AB1"/>
    <w:rsid w:val="00184A43"/>
    <w:rsid w:val="0018611D"/>
    <w:rsid w:val="0018646D"/>
    <w:rsid w:val="001864DD"/>
    <w:rsid w:val="00187037"/>
    <w:rsid w:val="001908FA"/>
    <w:rsid w:val="00190F42"/>
    <w:rsid w:val="00191D16"/>
    <w:rsid w:val="001924CA"/>
    <w:rsid w:val="001937C1"/>
    <w:rsid w:val="0019409E"/>
    <w:rsid w:val="001945AB"/>
    <w:rsid w:val="00195361"/>
    <w:rsid w:val="00195DE6"/>
    <w:rsid w:val="00196F7D"/>
    <w:rsid w:val="0019710E"/>
    <w:rsid w:val="00197A7A"/>
    <w:rsid w:val="00197BCB"/>
    <w:rsid w:val="00197C78"/>
    <w:rsid w:val="00197DF2"/>
    <w:rsid w:val="001A1B14"/>
    <w:rsid w:val="001A1E1E"/>
    <w:rsid w:val="001A234F"/>
    <w:rsid w:val="001A245D"/>
    <w:rsid w:val="001A325D"/>
    <w:rsid w:val="001A36EA"/>
    <w:rsid w:val="001A3EDE"/>
    <w:rsid w:val="001A4FF9"/>
    <w:rsid w:val="001A5963"/>
    <w:rsid w:val="001A5977"/>
    <w:rsid w:val="001A646A"/>
    <w:rsid w:val="001A68EB"/>
    <w:rsid w:val="001A6CC3"/>
    <w:rsid w:val="001B0F78"/>
    <w:rsid w:val="001B10EA"/>
    <w:rsid w:val="001B11DC"/>
    <w:rsid w:val="001B123C"/>
    <w:rsid w:val="001B1C7D"/>
    <w:rsid w:val="001B237A"/>
    <w:rsid w:val="001B25AF"/>
    <w:rsid w:val="001B35A7"/>
    <w:rsid w:val="001B35CA"/>
    <w:rsid w:val="001B3867"/>
    <w:rsid w:val="001B4644"/>
    <w:rsid w:val="001B4663"/>
    <w:rsid w:val="001B4A44"/>
    <w:rsid w:val="001B4CFD"/>
    <w:rsid w:val="001B4E82"/>
    <w:rsid w:val="001B4F0E"/>
    <w:rsid w:val="001B4F10"/>
    <w:rsid w:val="001B5433"/>
    <w:rsid w:val="001B626E"/>
    <w:rsid w:val="001B6488"/>
    <w:rsid w:val="001B649C"/>
    <w:rsid w:val="001B706E"/>
    <w:rsid w:val="001B7F29"/>
    <w:rsid w:val="001C002C"/>
    <w:rsid w:val="001C0291"/>
    <w:rsid w:val="001C0525"/>
    <w:rsid w:val="001C0EEC"/>
    <w:rsid w:val="001C1863"/>
    <w:rsid w:val="001C1A24"/>
    <w:rsid w:val="001C31EC"/>
    <w:rsid w:val="001C4E92"/>
    <w:rsid w:val="001C4F49"/>
    <w:rsid w:val="001C58C5"/>
    <w:rsid w:val="001C5F7D"/>
    <w:rsid w:val="001C6803"/>
    <w:rsid w:val="001C6CF0"/>
    <w:rsid w:val="001C70DA"/>
    <w:rsid w:val="001D060E"/>
    <w:rsid w:val="001D0B9A"/>
    <w:rsid w:val="001D180B"/>
    <w:rsid w:val="001D1F1D"/>
    <w:rsid w:val="001D20A9"/>
    <w:rsid w:val="001D395A"/>
    <w:rsid w:val="001D43C9"/>
    <w:rsid w:val="001D54AD"/>
    <w:rsid w:val="001D5AAC"/>
    <w:rsid w:val="001D5F0B"/>
    <w:rsid w:val="001D7634"/>
    <w:rsid w:val="001D7BCF"/>
    <w:rsid w:val="001E00EE"/>
    <w:rsid w:val="001E0418"/>
    <w:rsid w:val="001E171B"/>
    <w:rsid w:val="001E39F0"/>
    <w:rsid w:val="001E4AA5"/>
    <w:rsid w:val="001E6629"/>
    <w:rsid w:val="001E688E"/>
    <w:rsid w:val="001E6893"/>
    <w:rsid w:val="001E7546"/>
    <w:rsid w:val="001F02E3"/>
    <w:rsid w:val="001F0A82"/>
    <w:rsid w:val="001F200C"/>
    <w:rsid w:val="001F27D3"/>
    <w:rsid w:val="001F29EC"/>
    <w:rsid w:val="001F3102"/>
    <w:rsid w:val="001F3946"/>
    <w:rsid w:val="001F4566"/>
    <w:rsid w:val="001F49D6"/>
    <w:rsid w:val="001F563A"/>
    <w:rsid w:val="001F5809"/>
    <w:rsid w:val="001F5A06"/>
    <w:rsid w:val="001F5B49"/>
    <w:rsid w:val="001F661F"/>
    <w:rsid w:val="001F6B0C"/>
    <w:rsid w:val="002002B6"/>
    <w:rsid w:val="00200C45"/>
    <w:rsid w:val="00200F61"/>
    <w:rsid w:val="00200F8C"/>
    <w:rsid w:val="0020205E"/>
    <w:rsid w:val="0020276C"/>
    <w:rsid w:val="002034A3"/>
    <w:rsid w:val="00203651"/>
    <w:rsid w:val="00203A2D"/>
    <w:rsid w:val="00203E73"/>
    <w:rsid w:val="00204F1B"/>
    <w:rsid w:val="00205D6B"/>
    <w:rsid w:val="002060D2"/>
    <w:rsid w:val="002069B1"/>
    <w:rsid w:val="00206DF1"/>
    <w:rsid w:val="002079B5"/>
    <w:rsid w:val="00211806"/>
    <w:rsid w:val="00211A34"/>
    <w:rsid w:val="00211E92"/>
    <w:rsid w:val="0021221E"/>
    <w:rsid w:val="00212A90"/>
    <w:rsid w:val="0021300F"/>
    <w:rsid w:val="00213406"/>
    <w:rsid w:val="002146EF"/>
    <w:rsid w:val="0021611D"/>
    <w:rsid w:val="00217A43"/>
    <w:rsid w:val="00220092"/>
    <w:rsid w:val="00220E07"/>
    <w:rsid w:val="00222352"/>
    <w:rsid w:val="002223E1"/>
    <w:rsid w:val="002226BD"/>
    <w:rsid w:val="00222AAA"/>
    <w:rsid w:val="0022355D"/>
    <w:rsid w:val="002241AE"/>
    <w:rsid w:val="002267B8"/>
    <w:rsid w:val="002277B8"/>
    <w:rsid w:val="00231546"/>
    <w:rsid w:val="00231AE7"/>
    <w:rsid w:val="00231BEF"/>
    <w:rsid w:val="002334FB"/>
    <w:rsid w:val="00233B30"/>
    <w:rsid w:val="00234967"/>
    <w:rsid w:val="00234D3B"/>
    <w:rsid w:val="0023501A"/>
    <w:rsid w:val="002354AD"/>
    <w:rsid w:val="0023559D"/>
    <w:rsid w:val="00235A37"/>
    <w:rsid w:val="00235EAF"/>
    <w:rsid w:val="00236A2C"/>
    <w:rsid w:val="00236F5B"/>
    <w:rsid w:val="00236FFC"/>
    <w:rsid w:val="002370D0"/>
    <w:rsid w:val="002373EF"/>
    <w:rsid w:val="00237499"/>
    <w:rsid w:val="0023763F"/>
    <w:rsid w:val="002378CE"/>
    <w:rsid w:val="00237BA6"/>
    <w:rsid w:val="00237CC1"/>
    <w:rsid w:val="002402BC"/>
    <w:rsid w:val="00240574"/>
    <w:rsid w:val="002412BD"/>
    <w:rsid w:val="00243522"/>
    <w:rsid w:val="00243996"/>
    <w:rsid w:val="00243D90"/>
    <w:rsid w:val="002444CB"/>
    <w:rsid w:val="002449CC"/>
    <w:rsid w:val="0024530D"/>
    <w:rsid w:val="002457F3"/>
    <w:rsid w:val="00247B08"/>
    <w:rsid w:val="00247C95"/>
    <w:rsid w:val="002502F2"/>
    <w:rsid w:val="00250FFC"/>
    <w:rsid w:val="002519B9"/>
    <w:rsid w:val="00251CB5"/>
    <w:rsid w:val="00251CF7"/>
    <w:rsid w:val="00251DBA"/>
    <w:rsid w:val="0025283B"/>
    <w:rsid w:val="00253507"/>
    <w:rsid w:val="0025376D"/>
    <w:rsid w:val="00253AC9"/>
    <w:rsid w:val="00253D9A"/>
    <w:rsid w:val="00255484"/>
    <w:rsid w:val="002557BF"/>
    <w:rsid w:val="00255CC6"/>
    <w:rsid w:val="00255E2F"/>
    <w:rsid w:val="002563AA"/>
    <w:rsid w:val="00256F3A"/>
    <w:rsid w:val="002578BA"/>
    <w:rsid w:val="002606E8"/>
    <w:rsid w:val="00260BD6"/>
    <w:rsid w:val="0026185C"/>
    <w:rsid w:val="00262F57"/>
    <w:rsid w:val="00263097"/>
    <w:rsid w:val="0026339E"/>
    <w:rsid w:val="0026341E"/>
    <w:rsid w:val="00263564"/>
    <w:rsid w:val="002638DA"/>
    <w:rsid w:val="00263D35"/>
    <w:rsid w:val="00263DFF"/>
    <w:rsid w:val="002641B2"/>
    <w:rsid w:val="002648CF"/>
    <w:rsid w:val="00264EF5"/>
    <w:rsid w:val="00265310"/>
    <w:rsid w:val="00266045"/>
    <w:rsid w:val="0026664E"/>
    <w:rsid w:val="0026690A"/>
    <w:rsid w:val="00266AE9"/>
    <w:rsid w:val="00266CA7"/>
    <w:rsid w:val="00266CCA"/>
    <w:rsid w:val="00266D77"/>
    <w:rsid w:val="002672EA"/>
    <w:rsid w:val="00270007"/>
    <w:rsid w:val="00270245"/>
    <w:rsid w:val="00270258"/>
    <w:rsid w:val="002706E3"/>
    <w:rsid w:val="0027160C"/>
    <w:rsid w:val="00271F73"/>
    <w:rsid w:val="00272518"/>
    <w:rsid w:val="002726E9"/>
    <w:rsid w:val="00273629"/>
    <w:rsid w:val="002736CA"/>
    <w:rsid w:val="00273842"/>
    <w:rsid w:val="00275281"/>
    <w:rsid w:val="002766C8"/>
    <w:rsid w:val="0027676D"/>
    <w:rsid w:val="00277813"/>
    <w:rsid w:val="00280410"/>
    <w:rsid w:val="0028130D"/>
    <w:rsid w:val="00281EB5"/>
    <w:rsid w:val="002824AD"/>
    <w:rsid w:val="00282623"/>
    <w:rsid w:val="002828F7"/>
    <w:rsid w:val="00283470"/>
    <w:rsid w:val="0028362A"/>
    <w:rsid w:val="00283BD4"/>
    <w:rsid w:val="002848FD"/>
    <w:rsid w:val="00284EA6"/>
    <w:rsid w:val="00285556"/>
    <w:rsid w:val="0028585D"/>
    <w:rsid w:val="002858AE"/>
    <w:rsid w:val="00285B3C"/>
    <w:rsid w:val="00285DD0"/>
    <w:rsid w:val="00286236"/>
    <w:rsid w:val="002868E9"/>
    <w:rsid w:val="002871DD"/>
    <w:rsid w:val="002910C9"/>
    <w:rsid w:val="00291227"/>
    <w:rsid w:val="002928FA"/>
    <w:rsid w:val="00293CD5"/>
    <w:rsid w:val="0029415D"/>
    <w:rsid w:val="00294C72"/>
    <w:rsid w:val="00294CEC"/>
    <w:rsid w:val="002951F0"/>
    <w:rsid w:val="002959B8"/>
    <w:rsid w:val="0029698D"/>
    <w:rsid w:val="00296B22"/>
    <w:rsid w:val="00296D2A"/>
    <w:rsid w:val="00297006"/>
    <w:rsid w:val="00297176"/>
    <w:rsid w:val="002973AD"/>
    <w:rsid w:val="002974E2"/>
    <w:rsid w:val="002979F2"/>
    <w:rsid w:val="00297E5F"/>
    <w:rsid w:val="002A0122"/>
    <w:rsid w:val="002A0B3B"/>
    <w:rsid w:val="002A0E1E"/>
    <w:rsid w:val="002A16E0"/>
    <w:rsid w:val="002A1D6F"/>
    <w:rsid w:val="002A27BA"/>
    <w:rsid w:val="002A38A2"/>
    <w:rsid w:val="002A4A69"/>
    <w:rsid w:val="002A5EA4"/>
    <w:rsid w:val="002A60DC"/>
    <w:rsid w:val="002A6389"/>
    <w:rsid w:val="002A6518"/>
    <w:rsid w:val="002A6553"/>
    <w:rsid w:val="002A6F84"/>
    <w:rsid w:val="002A7171"/>
    <w:rsid w:val="002A72B2"/>
    <w:rsid w:val="002A73CB"/>
    <w:rsid w:val="002A7DFB"/>
    <w:rsid w:val="002B0390"/>
    <w:rsid w:val="002B0BFE"/>
    <w:rsid w:val="002B0CB1"/>
    <w:rsid w:val="002B0DA7"/>
    <w:rsid w:val="002B1075"/>
    <w:rsid w:val="002B1224"/>
    <w:rsid w:val="002B16C2"/>
    <w:rsid w:val="002B1C3D"/>
    <w:rsid w:val="002B285E"/>
    <w:rsid w:val="002B3410"/>
    <w:rsid w:val="002B461B"/>
    <w:rsid w:val="002B4725"/>
    <w:rsid w:val="002B4F2D"/>
    <w:rsid w:val="002B4F92"/>
    <w:rsid w:val="002B5603"/>
    <w:rsid w:val="002B59DA"/>
    <w:rsid w:val="002B64BA"/>
    <w:rsid w:val="002B6C80"/>
    <w:rsid w:val="002C0783"/>
    <w:rsid w:val="002C1709"/>
    <w:rsid w:val="002C2306"/>
    <w:rsid w:val="002C2CB7"/>
    <w:rsid w:val="002C30E2"/>
    <w:rsid w:val="002C3890"/>
    <w:rsid w:val="002C5D79"/>
    <w:rsid w:val="002C6784"/>
    <w:rsid w:val="002C73FE"/>
    <w:rsid w:val="002C74FF"/>
    <w:rsid w:val="002C769B"/>
    <w:rsid w:val="002C7E77"/>
    <w:rsid w:val="002D0476"/>
    <w:rsid w:val="002D0D4F"/>
    <w:rsid w:val="002D1389"/>
    <w:rsid w:val="002D222F"/>
    <w:rsid w:val="002D2FC4"/>
    <w:rsid w:val="002D3349"/>
    <w:rsid w:val="002D411A"/>
    <w:rsid w:val="002D42D3"/>
    <w:rsid w:val="002D490E"/>
    <w:rsid w:val="002D5046"/>
    <w:rsid w:val="002D5339"/>
    <w:rsid w:val="002D5AB7"/>
    <w:rsid w:val="002D6630"/>
    <w:rsid w:val="002D6845"/>
    <w:rsid w:val="002D6E1B"/>
    <w:rsid w:val="002D7C67"/>
    <w:rsid w:val="002D7CF5"/>
    <w:rsid w:val="002D7ED0"/>
    <w:rsid w:val="002E08AC"/>
    <w:rsid w:val="002E0F55"/>
    <w:rsid w:val="002E19CE"/>
    <w:rsid w:val="002E23AF"/>
    <w:rsid w:val="002E23E4"/>
    <w:rsid w:val="002E252C"/>
    <w:rsid w:val="002E2B5B"/>
    <w:rsid w:val="002E3060"/>
    <w:rsid w:val="002E30C5"/>
    <w:rsid w:val="002E33A0"/>
    <w:rsid w:val="002E3912"/>
    <w:rsid w:val="002E5311"/>
    <w:rsid w:val="002E5A79"/>
    <w:rsid w:val="002E6113"/>
    <w:rsid w:val="002E6346"/>
    <w:rsid w:val="002E6A9A"/>
    <w:rsid w:val="002E6B06"/>
    <w:rsid w:val="002E6C66"/>
    <w:rsid w:val="002F0227"/>
    <w:rsid w:val="002F043C"/>
    <w:rsid w:val="002F10F4"/>
    <w:rsid w:val="002F1B61"/>
    <w:rsid w:val="002F36E2"/>
    <w:rsid w:val="002F370F"/>
    <w:rsid w:val="002F3795"/>
    <w:rsid w:val="002F38A4"/>
    <w:rsid w:val="002F4C05"/>
    <w:rsid w:val="002F590D"/>
    <w:rsid w:val="002F5B6B"/>
    <w:rsid w:val="002F5B7E"/>
    <w:rsid w:val="002F6641"/>
    <w:rsid w:val="002F6FD8"/>
    <w:rsid w:val="002F6FFE"/>
    <w:rsid w:val="002F700E"/>
    <w:rsid w:val="002F70F7"/>
    <w:rsid w:val="002F789D"/>
    <w:rsid w:val="002F7E4D"/>
    <w:rsid w:val="0030041E"/>
    <w:rsid w:val="0030113C"/>
    <w:rsid w:val="0030136B"/>
    <w:rsid w:val="003013B1"/>
    <w:rsid w:val="00301CD9"/>
    <w:rsid w:val="0030295C"/>
    <w:rsid w:val="00303223"/>
    <w:rsid w:val="003035A6"/>
    <w:rsid w:val="00303A4B"/>
    <w:rsid w:val="00303A99"/>
    <w:rsid w:val="00304491"/>
    <w:rsid w:val="00304BFA"/>
    <w:rsid w:val="0030520F"/>
    <w:rsid w:val="00305B4F"/>
    <w:rsid w:val="00305DEB"/>
    <w:rsid w:val="0030632B"/>
    <w:rsid w:val="003064CE"/>
    <w:rsid w:val="003065D3"/>
    <w:rsid w:val="00307159"/>
    <w:rsid w:val="00307280"/>
    <w:rsid w:val="003076EB"/>
    <w:rsid w:val="003077C2"/>
    <w:rsid w:val="00307D4F"/>
    <w:rsid w:val="00310375"/>
    <w:rsid w:val="00310A8D"/>
    <w:rsid w:val="00310F36"/>
    <w:rsid w:val="00311167"/>
    <w:rsid w:val="00311A50"/>
    <w:rsid w:val="003123DF"/>
    <w:rsid w:val="003127EB"/>
    <w:rsid w:val="00312A81"/>
    <w:rsid w:val="00313257"/>
    <w:rsid w:val="003135B3"/>
    <w:rsid w:val="003145DA"/>
    <w:rsid w:val="00314A18"/>
    <w:rsid w:val="00314B7D"/>
    <w:rsid w:val="00314D2F"/>
    <w:rsid w:val="00315028"/>
    <w:rsid w:val="00315453"/>
    <w:rsid w:val="00315A7A"/>
    <w:rsid w:val="00315B44"/>
    <w:rsid w:val="00315C36"/>
    <w:rsid w:val="00316261"/>
    <w:rsid w:val="003166FF"/>
    <w:rsid w:val="00316A8E"/>
    <w:rsid w:val="0031712A"/>
    <w:rsid w:val="00317163"/>
    <w:rsid w:val="00317BCA"/>
    <w:rsid w:val="00317C14"/>
    <w:rsid w:val="003205AE"/>
    <w:rsid w:val="0032074F"/>
    <w:rsid w:val="00320C43"/>
    <w:rsid w:val="00320C7D"/>
    <w:rsid w:val="00321025"/>
    <w:rsid w:val="0032118B"/>
    <w:rsid w:val="00321315"/>
    <w:rsid w:val="003214AA"/>
    <w:rsid w:val="0032226B"/>
    <w:rsid w:val="00322577"/>
    <w:rsid w:val="00322C78"/>
    <w:rsid w:val="00322D41"/>
    <w:rsid w:val="0032343D"/>
    <w:rsid w:val="00323ACB"/>
    <w:rsid w:val="00324282"/>
    <w:rsid w:val="00324592"/>
    <w:rsid w:val="003245D0"/>
    <w:rsid w:val="00324F9D"/>
    <w:rsid w:val="003255F0"/>
    <w:rsid w:val="00325658"/>
    <w:rsid w:val="00325E3D"/>
    <w:rsid w:val="003265A8"/>
    <w:rsid w:val="00326AAB"/>
    <w:rsid w:val="00327B45"/>
    <w:rsid w:val="00327BA5"/>
    <w:rsid w:val="00330539"/>
    <w:rsid w:val="00331D51"/>
    <w:rsid w:val="003320F2"/>
    <w:rsid w:val="0033210F"/>
    <w:rsid w:val="0033228E"/>
    <w:rsid w:val="003329A8"/>
    <w:rsid w:val="00332A29"/>
    <w:rsid w:val="00332CDB"/>
    <w:rsid w:val="003332CF"/>
    <w:rsid w:val="00333A09"/>
    <w:rsid w:val="00334621"/>
    <w:rsid w:val="00334FD8"/>
    <w:rsid w:val="00335D97"/>
    <w:rsid w:val="00337C0D"/>
    <w:rsid w:val="00340099"/>
    <w:rsid w:val="00340786"/>
    <w:rsid w:val="00340931"/>
    <w:rsid w:val="00341632"/>
    <w:rsid w:val="00341A79"/>
    <w:rsid w:val="00341C20"/>
    <w:rsid w:val="003421CC"/>
    <w:rsid w:val="003424FC"/>
    <w:rsid w:val="00342CB3"/>
    <w:rsid w:val="003437E3"/>
    <w:rsid w:val="0034539F"/>
    <w:rsid w:val="003500A8"/>
    <w:rsid w:val="003504A7"/>
    <w:rsid w:val="0035092E"/>
    <w:rsid w:val="00350BB6"/>
    <w:rsid w:val="003516BA"/>
    <w:rsid w:val="00352570"/>
    <w:rsid w:val="0035292F"/>
    <w:rsid w:val="003534CC"/>
    <w:rsid w:val="003540EE"/>
    <w:rsid w:val="00354BE5"/>
    <w:rsid w:val="00354BF2"/>
    <w:rsid w:val="00354C7B"/>
    <w:rsid w:val="00355B54"/>
    <w:rsid w:val="003560A2"/>
    <w:rsid w:val="00356730"/>
    <w:rsid w:val="00356873"/>
    <w:rsid w:val="00356A63"/>
    <w:rsid w:val="00356FED"/>
    <w:rsid w:val="00357007"/>
    <w:rsid w:val="0035717C"/>
    <w:rsid w:val="0035766D"/>
    <w:rsid w:val="003579E8"/>
    <w:rsid w:val="00357B4D"/>
    <w:rsid w:val="00357EDD"/>
    <w:rsid w:val="00360A6C"/>
    <w:rsid w:val="00360B9E"/>
    <w:rsid w:val="00360CE9"/>
    <w:rsid w:val="00361F74"/>
    <w:rsid w:val="00361F79"/>
    <w:rsid w:val="00362A09"/>
    <w:rsid w:val="00362AF8"/>
    <w:rsid w:val="00362BCC"/>
    <w:rsid w:val="00362F2D"/>
    <w:rsid w:val="00363985"/>
    <w:rsid w:val="00363A5C"/>
    <w:rsid w:val="00364120"/>
    <w:rsid w:val="003641F0"/>
    <w:rsid w:val="003643BC"/>
    <w:rsid w:val="003665D0"/>
    <w:rsid w:val="00367109"/>
    <w:rsid w:val="00367814"/>
    <w:rsid w:val="00367B70"/>
    <w:rsid w:val="00367E83"/>
    <w:rsid w:val="0037014D"/>
    <w:rsid w:val="00370522"/>
    <w:rsid w:val="003709C4"/>
    <w:rsid w:val="0037156F"/>
    <w:rsid w:val="003719D6"/>
    <w:rsid w:val="00372337"/>
    <w:rsid w:val="00372388"/>
    <w:rsid w:val="00372C70"/>
    <w:rsid w:val="00372FB3"/>
    <w:rsid w:val="00373021"/>
    <w:rsid w:val="00373DAD"/>
    <w:rsid w:val="00374D63"/>
    <w:rsid w:val="003754B8"/>
    <w:rsid w:val="00375597"/>
    <w:rsid w:val="00375F6B"/>
    <w:rsid w:val="00376443"/>
    <w:rsid w:val="0037669D"/>
    <w:rsid w:val="00376D0D"/>
    <w:rsid w:val="00376D99"/>
    <w:rsid w:val="00377020"/>
    <w:rsid w:val="0037795D"/>
    <w:rsid w:val="00377D11"/>
    <w:rsid w:val="00380A0B"/>
    <w:rsid w:val="00380DB7"/>
    <w:rsid w:val="003812F1"/>
    <w:rsid w:val="00381614"/>
    <w:rsid w:val="00382A25"/>
    <w:rsid w:val="00383ED6"/>
    <w:rsid w:val="003846EE"/>
    <w:rsid w:val="00384891"/>
    <w:rsid w:val="00384B65"/>
    <w:rsid w:val="00385231"/>
    <w:rsid w:val="00385361"/>
    <w:rsid w:val="00385DA7"/>
    <w:rsid w:val="00385EEE"/>
    <w:rsid w:val="00386269"/>
    <w:rsid w:val="00386C05"/>
    <w:rsid w:val="00387931"/>
    <w:rsid w:val="00387CE7"/>
    <w:rsid w:val="0039007B"/>
    <w:rsid w:val="00390474"/>
    <w:rsid w:val="00391153"/>
    <w:rsid w:val="00391657"/>
    <w:rsid w:val="00392038"/>
    <w:rsid w:val="00392665"/>
    <w:rsid w:val="00392DCA"/>
    <w:rsid w:val="00394DFF"/>
    <w:rsid w:val="0039516B"/>
    <w:rsid w:val="003953F2"/>
    <w:rsid w:val="00396091"/>
    <w:rsid w:val="00396535"/>
    <w:rsid w:val="00396921"/>
    <w:rsid w:val="00396DFE"/>
    <w:rsid w:val="00396EBC"/>
    <w:rsid w:val="0039772C"/>
    <w:rsid w:val="003A1A58"/>
    <w:rsid w:val="003A1C01"/>
    <w:rsid w:val="003A2146"/>
    <w:rsid w:val="003A2424"/>
    <w:rsid w:val="003A2924"/>
    <w:rsid w:val="003A3A24"/>
    <w:rsid w:val="003A4151"/>
    <w:rsid w:val="003A41E9"/>
    <w:rsid w:val="003A49B9"/>
    <w:rsid w:val="003A4C4D"/>
    <w:rsid w:val="003A4D96"/>
    <w:rsid w:val="003A538D"/>
    <w:rsid w:val="003A571B"/>
    <w:rsid w:val="003A574C"/>
    <w:rsid w:val="003A6931"/>
    <w:rsid w:val="003A6B42"/>
    <w:rsid w:val="003A6BCF"/>
    <w:rsid w:val="003A75BB"/>
    <w:rsid w:val="003A760E"/>
    <w:rsid w:val="003B05C8"/>
    <w:rsid w:val="003B0E1F"/>
    <w:rsid w:val="003B116A"/>
    <w:rsid w:val="003B1B4F"/>
    <w:rsid w:val="003B2A7E"/>
    <w:rsid w:val="003B3488"/>
    <w:rsid w:val="003B4798"/>
    <w:rsid w:val="003B49E7"/>
    <w:rsid w:val="003B4B88"/>
    <w:rsid w:val="003B58F5"/>
    <w:rsid w:val="003B60A9"/>
    <w:rsid w:val="003B6D11"/>
    <w:rsid w:val="003B6E97"/>
    <w:rsid w:val="003B71C7"/>
    <w:rsid w:val="003B74B1"/>
    <w:rsid w:val="003B751F"/>
    <w:rsid w:val="003B7B07"/>
    <w:rsid w:val="003B7F27"/>
    <w:rsid w:val="003C1A69"/>
    <w:rsid w:val="003C1B06"/>
    <w:rsid w:val="003C1D98"/>
    <w:rsid w:val="003C27C4"/>
    <w:rsid w:val="003C33AF"/>
    <w:rsid w:val="003C33CB"/>
    <w:rsid w:val="003C3CA3"/>
    <w:rsid w:val="003C3E70"/>
    <w:rsid w:val="003C3FDA"/>
    <w:rsid w:val="003C404A"/>
    <w:rsid w:val="003C41F8"/>
    <w:rsid w:val="003C4638"/>
    <w:rsid w:val="003C46B4"/>
    <w:rsid w:val="003C489D"/>
    <w:rsid w:val="003C4B17"/>
    <w:rsid w:val="003C504E"/>
    <w:rsid w:val="003C5376"/>
    <w:rsid w:val="003C580B"/>
    <w:rsid w:val="003C5D75"/>
    <w:rsid w:val="003C62B8"/>
    <w:rsid w:val="003C6579"/>
    <w:rsid w:val="003C6601"/>
    <w:rsid w:val="003C7366"/>
    <w:rsid w:val="003D03D9"/>
    <w:rsid w:val="003D06ED"/>
    <w:rsid w:val="003D0BB4"/>
    <w:rsid w:val="003D102B"/>
    <w:rsid w:val="003D12CF"/>
    <w:rsid w:val="003D18C7"/>
    <w:rsid w:val="003D20DF"/>
    <w:rsid w:val="003D2226"/>
    <w:rsid w:val="003D245E"/>
    <w:rsid w:val="003D2883"/>
    <w:rsid w:val="003D4923"/>
    <w:rsid w:val="003D4A95"/>
    <w:rsid w:val="003D509F"/>
    <w:rsid w:val="003D55C1"/>
    <w:rsid w:val="003D5883"/>
    <w:rsid w:val="003D6DB3"/>
    <w:rsid w:val="003D6E4D"/>
    <w:rsid w:val="003D6F61"/>
    <w:rsid w:val="003D765C"/>
    <w:rsid w:val="003D7C77"/>
    <w:rsid w:val="003E0934"/>
    <w:rsid w:val="003E09C0"/>
    <w:rsid w:val="003E09CA"/>
    <w:rsid w:val="003E0E98"/>
    <w:rsid w:val="003E12BD"/>
    <w:rsid w:val="003E1704"/>
    <w:rsid w:val="003E2807"/>
    <w:rsid w:val="003E2887"/>
    <w:rsid w:val="003E312C"/>
    <w:rsid w:val="003E3754"/>
    <w:rsid w:val="003E3A66"/>
    <w:rsid w:val="003E3ACE"/>
    <w:rsid w:val="003E3CAE"/>
    <w:rsid w:val="003E4B05"/>
    <w:rsid w:val="003E52FF"/>
    <w:rsid w:val="003E596F"/>
    <w:rsid w:val="003E6610"/>
    <w:rsid w:val="003E70E0"/>
    <w:rsid w:val="003E7CD3"/>
    <w:rsid w:val="003E7F0B"/>
    <w:rsid w:val="003F090E"/>
    <w:rsid w:val="003F0B57"/>
    <w:rsid w:val="003F0E22"/>
    <w:rsid w:val="003F1E1B"/>
    <w:rsid w:val="003F24EB"/>
    <w:rsid w:val="003F2821"/>
    <w:rsid w:val="003F2981"/>
    <w:rsid w:val="003F2BE3"/>
    <w:rsid w:val="003F450A"/>
    <w:rsid w:val="003F4640"/>
    <w:rsid w:val="003F4EEE"/>
    <w:rsid w:val="003F5392"/>
    <w:rsid w:val="003F5818"/>
    <w:rsid w:val="003F5B93"/>
    <w:rsid w:val="003F61BC"/>
    <w:rsid w:val="003F62E9"/>
    <w:rsid w:val="003F6308"/>
    <w:rsid w:val="003F6683"/>
    <w:rsid w:val="003F6DD2"/>
    <w:rsid w:val="003F70B4"/>
    <w:rsid w:val="003F75DD"/>
    <w:rsid w:val="003F7663"/>
    <w:rsid w:val="00400352"/>
    <w:rsid w:val="00401249"/>
    <w:rsid w:val="00401BED"/>
    <w:rsid w:val="0040252A"/>
    <w:rsid w:val="00402961"/>
    <w:rsid w:val="00402E57"/>
    <w:rsid w:val="004035EC"/>
    <w:rsid w:val="00404388"/>
    <w:rsid w:val="004056F3"/>
    <w:rsid w:val="0040579C"/>
    <w:rsid w:val="004064E9"/>
    <w:rsid w:val="00406E80"/>
    <w:rsid w:val="00407485"/>
    <w:rsid w:val="00410FCA"/>
    <w:rsid w:val="00411A48"/>
    <w:rsid w:val="0041311E"/>
    <w:rsid w:val="00413644"/>
    <w:rsid w:val="00414860"/>
    <w:rsid w:val="004150C3"/>
    <w:rsid w:val="004159E9"/>
    <w:rsid w:val="00415B0E"/>
    <w:rsid w:val="0041678C"/>
    <w:rsid w:val="00416E2C"/>
    <w:rsid w:val="00420F59"/>
    <w:rsid w:val="00422165"/>
    <w:rsid w:val="00422328"/>
    <w:rsid w:val="0042232A"/>
    <w:rsid w:val="00422516"/>
    <w:rsid w:val="0042258B"/>
    <w:rsid w:val="0042316E"/>
    <w:rsid w:val="00423DF9"/>
    <w:rsid w:val="00424DA2"/>
    <w:rsid w:val="004254CA"/>
    <w:rsid w:val="00425989"/>
    <w:rsid w:val="004262AD"/>
    <w:rsid w:val="004265BA"/>
    <w:rsid w:val="004270D6"/>
    <w:rsid w:val="0042720F"/>
    <w:rsid w:val="004274CA"/>
    <w:rsid w:val="00427A9F"/>
    <w:rsid w:val="00427AD4"/>
    <w:rsid w:val="0043113A"/>
    <w:rsid w:val="0043125C"/>
    <w:rsid w:val="00432593"/>
    <w:rsid w:val="00432F4C"/>
    <w:rsid w:val="00433D22"/>
    <w:rsid w:val="00433F8D"/>
    <w:rsid w:val="00434492"/>
    <w:rsid w:val="004345F7"/>
    <w:rsid w:val="00434921"/>
    <w:rsid w:val="00434C1B"/>
    <w:rsid w:val="00435610"/>
    <w:rsid w:val="00435E11"/>
    <w:rsid w:val="00436212"/>
    <w:rsid w:val="0043640B"/>
    <w:rsid w:val="00437413"/>
    <w:rsid w:val="00437D7A"/>
    <w:rsid w:val="00437FF6"/>
    <w:rsid w:val="0044013F"/>
    <w:rsid w:val="00440375"/>
    <w:rsid w:val="0044047F"/>
    <w:rsid w:val="00440A75"/>
    <w:rsid w:val="00440DB5"/>
    <w:rsid w:val="00440E89"/>
    <w:rsid w:val="0044169B"/>
    <w:rsid w:val="0044274A"/>
    <w:rsid w:val="004427EA"/>
    <w:rsid w:val="00444EE8"/>
    <w:rsid w:val="0044505D"/>
    <w:rsid w:val="00445103"/>
    <w:rsid w:val="00446CB1"/>
    <w:rsid w:val="0044721D"/>
    <w:rsid w:val="00447649"/>
    <w:rsid w:val="00447C86"/>
    <w:rsid w:val="00447DFA"/>
    <w:rsid w:val="00450716"/>
    <w:rsid w:val="00451681"/>
    <w:rsid w:val="0045201C"/>
    <w:rsid w:val="0045201D"/>
    <w:rsid w:val="004520FC"/>
    <w:rsid w:val="00452429"/>
    <w:rsid w:val="0045299A"/>
    <w:rsid w:val="00452A81"/>
    <w:rsid w:val="00453315"/>
    <w:rsid w:val="00453551"/>
    <w:rsid w:val="004535E1"/>
    <w:rsid w:val="0045383A"/>
    <w:rsid w:val="0045487F"/>
    <w:rsid w:val="00454C3D"/>
    <w:rsid w:val="004550D3"/>
    <w:rsid w:val="004550E5"/>
    <w:rsid w:val="00455457"/>
    <w:rsid w:val="00455CD4"/>
    <w:rsid w:val="00455D27"/>
    <w:rsid w:val="00456377"/>
    <w:rsid w:val="0045655E"/>
    <w:rsid w:val="004575BB"/>
    <w:rsid w:val="00457BFC"/>
    <w:rsid w:val="004602C3"/>
    <w:rsid w:val="0046049E"/>
    <w:rsid w:val="004604AF"/>
    <w:rsid w:val="004607CA"/>
    <w:rsid w:val="004607E0"/>
    <w:rsid w:val="00460A21"/>
    <w:rsid w:val="00460DFF"/>
    <w:rsid w:val="00460E73"/>
    <w:rsid w:val="0046132F"/>
    <w:rsid w:val="004615FC"/>
    <w:rsid w:val="004622EE"/>
    <w:rsid w:val="00462C7A"/>
    <w:rsid w:val="0046318E"/>
    <w:rsid w:val="00463538"/>
    <w:rsid w:val="0046389C"/>
    <w:rsid w:val="00464057"/>
    <w:rsid w:val="0046409E"/>
    <w:rsid w:val="00464560"/>
    <w:rsid w:val="00465C7C"/>
    <w:rsid w:val="00465E5E"/>
    <w:rsid w:val="00466100"/>
    <w:rsid w:val="00466286"/>
    <w:rsid w:val="004663A2"/>
    <w:rsid w:val="0046646A"/>
    <w:rsid w:val="00466AAF"/>
    <w:rsid w:val="00467065"/>
    <w:rsid w:val="004710FB"/>
    <w:rsid w:val="00471D3A"/>
    <w:rsid w:val="004724D3"/>
    <w:rsid w:val="004744DC"/>
    <w:rsid w:val="00474D4D"/>
    <w:rsid w:val="00474DDE"/>
    <w:rsid w:val="0047660A"/>
    <w:rsid w:val="0047667E"/>
    <w:rsid w:val="00480554"/>
    <w:rsid w:val="00480D63"/>
    <w:rsid w:val="0048152C"/>
    <w:rsid w:val="00481537"/>
    <w:rsid w:val="004817AF"/>
    <w:rsid w:val="00482905"/>
    <w:rsid w:val="00482AA4"/>
    <w:rsid w:val="00482EBB"/>
    <w:rsid w:val="004845FE"/>
    <w:rsid w:val="004848A8"/>
    <w:rsid w:val="00484DAA"/>
    <w:rsid w:val="004861C5"/>
    <w:rsid w:val="00486705"/>
    <w:rsid w:val="00486A49"/>
    <w:rsid w:val="00486F29"/>
    <w:rsid w:val="00487001"/>
    <w:rsid w:val="0048700B"/>
    <w:rsid w:val="004873A9"/>
    <w:rsid w:val="004874C9"/>
    <w:rsid w:val="004874E7"/>
    <w:rsid w:val="004876D1"/>
    <w:rsid w:val="00487700"/>
    <w:rsid w:val="00487804"/>
    <w:rsid w:val="00487AAB"/>
    <w:rsid w:val="00490364"/>
    <w:rsid w:val="00490A57"/>
    <w:rsid w:val="00490C9F"/>
    <w:rsid w:val="0049126D"/>
    <w:rsid w:val="004914B5"/>
    <w:rsid w:val="00491C82"/>
    <w:rsid w:val="0049205A"/>
    <w:rsid w:val="004930F3"/>
    <w:rsid w:val="004938A7"/>
    <w:rsid w:val="00493BA3"/>
    <w:rsid w:val="00493C24"/>
    <w:rsid w:val="00494818"/>
    <w:rsid w:val="00494CF2"/>
    <w:rsid w:val="0049580E"/>
    <w:rsid w:val="00495BD0"/>
    <w:rsid w:val="00496064"/>
    <w:rsid w:val="004969EB"/>
    <w:rsid w:val="004A02CF"/>
    <w:rsid w:val="004A1B25"/>
    <w:rsid w:val="004A26F9"/>
    <w:rsid w:val="004A2D3C"/>
    <w:rsid w:val="004A3A3F"/>
    <w:rsid w:val="004A3F8E"/>
    <w:rsid w:val="004A4294"/>
    <w:rsid w:val="004A434F"/>
    <w:rsid w:val="004A4474"/>
    <w:rsid w:val="004A44FD"/>
    <w:rsid w:val="004A4C52"/>
    <w:rsid w:val="004A6455"/>
    <w:rsid w:val="004A6761"/>
    <w:rsid w:val="004A6B83"/>
    <w:rsid w:val="004A73CB"/>
    <w:rsid w:val="004A78E2"/>
    <w:rsid w:val="004A7CFB"/>
    <w:rsid w:val="004B014E"/>
    <w:rsid w:val="004B02C2"/>
    <w:rsid w:val="004B076C"/>
    <w:rsid w:val="004B178A"/>
    <w:rsid w:val="004B1F57"/>
    <w:rsid w:val="004B2AA8"/>
    <w:rsid w:val="004B2E89"/>
    <w:rsid w:val="004B45CC"/>
    <w:rsid w:val="004B45F9"/>
    <w:rsid w:val="004B4671"/>
    <w:rsid w:val="004B4B20"/>
    <w:rsid w:val="004B6152"/>
    <w:rsid w:val="004B6871"/>
    <w:rsid w:val="004B7776"/>
    <w:rsid w:val="004B7EFE"/>
    <w:rsid w:val="004C0405"/>
    <w:rsid w:val="004C05D9"/>
    <w:rsid w:val="004C064B"/>
    <w:rsid w:val="004C08F5"/>
    <w:rsid w:val="004C0C8A"/>
    <w:rsid w:val="004C1325"/>
    <w:rsid w:val="004C19C9"/>
    <w:rsid w:val="004C2608"/>
    <w:rsid w:val="004C2868"/>
    <w:rsid w:val="004C2B17"/>
    <w:rsid w:val="004C2B54"/>
    <w:rsid w:val="004C32DF"/>
    <w:rsid w:val="004C36A4"/>
    <w:rsid w:val="004C37D4"/>
    <w:rsid w:val="004C4432"/>
    <w:rsid w:val="004C50D7"/>
    <w:rsid w:val="004C65AC"/>
    <w:rsid w:val="004C65DB"/>
    <w:rsid w:val="004C73B3"/>
    <w:rsid w:val="004C7E33"/>
    <w:rsid w:val="004D0473"/>
    <w:rsid w:val="004D1167"/>
    <w:rsid w:val="004D14A9"/>
    <w:rsid w:val="004D1F49"/>
    <w:rsid w:val="004D2671"/>
    <w:rsid w:val="004D26CF"/>
    <w:rsid w:val="004D2899"/>
    <w:rsid w:val="004D3597"/>
    <w:rsid w:val="004D38E8"/>
    <w:rsid w:val="004D3A44"/>
    <w:rsid w:val="004D3A56"/>
    <w:rsid w:val="004D49A8"/>
    <w:rsid w:val="004D53A6"/>
    <w:rsid w:val="004D554A"/>
    <w:rsid w:val="004D56AA"/>
    <w:rsid w:val="004D5958"/>
    <w:rsid w:val="004D5BB0"/>
    <w:rsid w:val="004D6437"/>
    <w:rsid w:val="004D74DD"/>
    <w:rsid w:val="004E0B20"/>
    <w:rsid w:val="004E1138"/>
    <w:rsid w:val="004E1814"/>
    <w:rsid w:val="004E1F44"/>
    <w:rsid w:val="004E221E"/>
    <w:rsid w:val="004E26E9"/>
    <w:rsid w:val="004E366D"/>
    <w:rsid w:val="004E384A"/>
    <w:rsid w:val="004E3CEC"/>
    <w:rsid w:val="004E3FE6"/>
    <w:rsid w:val="004E4102"/>
    <w:rsid w:val="004E43BD"/>
    <w:rsid w:val="004E494F"/>
    <w:rsid w:val="004E52C1"/>
    <w:rsid w:val="004E53C8"/>
    <w:rsid w:val="004E5D9D"/>
    <w:rsid w:val="004E64CA"/>
    <w:rsid w:val="004E6CC9"/>
    <w:rsid w:val="004E70E6"/>
    <w:rsid w:val="004E796F"/>
    <w:rsid w:val="004E7BB9"/>
    <w:rsid w:val="004F0E2B"/>
    <w:rsid w:val="004F0F22"/>
    <w:rsid w:val="004F110B"/>
    <w:rsid w:val="004F1BB5"/>
    <w:rsid w:val="004F249A"/>
    <w:rsid w:val="004F26FF"/>
    <w:rsid w:val="004F3724"/>
    <w:rsid w:val="004F37C8"/>
    <w:rsid w:val="004F3997"/>
    <w:rsid w:val="004F4686"/>
    <w:rsid w:val="004F473B"/>
    <w:rsid w:val="004F4C58"/>
    <w:rsid w:val="004F5535"/>
    <w:rsid w:val="004F5940"/>
    <w:rsid w:val="004F6118"/>
    <w:rsid w:val="004F7435"/>
    <w:rsid w:val="004F7815"/>
    <w:rsid w:val="005006DF"/>
    <w:rsid w:val="00500A3A"/>
    <w:rsid w:val="00500B81"/>
    <w:rsid w:val="0050100E"/>
    <w:rsid w:val="005014C4"/>
    <w:rsid w:val="00502263"/>
    <w:rsid w:val="005023CE"/>
    <w:rsid w:val="005025EC"/>
    <w:rsid w:val="00502BF0"/>
    <w:rsid w:val="005033C6"/>
    <w:rsid w:val="00503D9E"/>
    <w:rsid w:val="00504410"/>
    <w:rsid w:val="0050538C"/>
    <w:rsid w:val="00505400"/>
    <w:rsid w:val="005057C3"/>
    <w:rsid w:val="00505893"/>
    <w:rsid w:val="00506058"/>
    <w:rsid w:val="00507342"/>
    <w:rsid w:val="0051076F"/>
    <w:rsid w:val="0051090B"/>
    <w:rsid w:val="00511549"/>
    <w:rsid w:val="00511901"/>
    <w:rsid w:val="00511B58"/>
    <w:rsid w:val="00512951"/>
    <w:rsid w:val="00512B14"/>
    <w:rsid w:val="00513206"/>
    <w:rsid w:val="00513F3D"/>
    <w:rsid w:val="00514340"/>
    <w:rsid w:val="00514D18"/>
    <w:rsid w:val="00515461"/>
    <w:rsid w:val="00515481"/>
    <w:rsid w:val="00515F14"/>
    <w:rsid w:val="00516406"/>
    <w:rsid w:val="00516977"/>
    <w:rsid w:val="00517065"/>
    <w:rsid w:val="00517074"/>
    <w:rsid w:val="00517B1A"/>
    <w:rsid w:val="00520060"/>
    <w:rsid w:val="00520A7D"/>
    <w:rsid w:val="0052159D"/>
    <w:rsid w:val="0052179D"/>
    <w:rsid w:val="005218A2"/>
    <w:rsid w:val="0052199E"/>
    <w:rsid w:val="00521B3C"/>
    <w:rsid w:val="00521DD5"/>
    <w:rsid w:val="00522F0C"/>
    <w:rsid w:val="00523AE9"/>
    <w:rsid w:val="00523D4E"/>
    <w:rsid w:val="005240ED"/>
    <w:rsid w:val="00524677"/>
    <w:rsid w:val="00525011"/>
    <w:rsid w:val="005253CA"/>
    <w:rsid w:val="00525828"/>
    <w:rsid w:val="00526DD4"/>
    <w:rsid w:val="00526EFF"/>
    <w:rsid w:val="00527794"/>
    <w:rsid w:val="00530F97"/>
    <w:rsid w:val="00531EEF"/>
    <w:rsid w:val="00532CBD"/>
    <w:rsid w:val="0053386B"/>
    <w:rsid w:val="00534802"/>
    <w:rsid w:val="00534DC2"/>
    <w:rsid w:val="0053698C"/>
    <w:rsid w:val="0053755E"/>
    <w:rsid w:val="00537686"/>
    <w:rsid w:val="00537AF3"/>
    <w:rsid w:val="00537BE1"/>
    <w:rsid w:val="00537D34"/>
    <w:rsid w:val="00537F4D"/>
    <w:rsid w:val="005413B3"/>
    <w:rsid w:val="00541C9D"/>
    <w:rsid w:val="0054288D"/>
    <w:rsid w:val="00542CBB"/>
    <w:rsid w:val="00542E67"/>
    <w:rsid w:val="005435E6"/>
    <w:rsid w:val="00543DE7"/>
    <w:rsid w:val="0054470B"/>
    <w:rsid w:val="00545067"/>
    <w:rsid w:val="00545436"/>
    <w:rsid w:val="00545469"/>
    <w:rsid w:val="00545E81"/>
    <w:rsid w:val="005477BE"/>
    <w:rsid w:val="00547BA9"/>
    <w:rsid w:val="00547E4C"/>
    <w:rsid w:val="0055025E"/>
    <w:rsid w:val="00550652"/>
    <w:rsid w:val="00550778"/>
    <w:rsid w:val="00550E63"/>
    <w:rsid w:val="00551458"/>
    <w:rsid w:val="005520BB"/>
    <w:rsid w:val="00552C09"/>
    <w:rsid w:val="00552D34"/>
    <w:rsid w:val="005549C4"/>
    <w:rsid w:val="00556A95"/>
    <w:rsid w:val="00556BE7"/>
    <w:rsid w:val="00557101"/>
    <w:rsid w:val="005577F0"/>
    <w:rsid w:val="00557A0B"/>
    <w:rsid w:val="0056001D"/>
    <w:rsid w:val="00560634"/>
    <w:rsid w:val="00560679"/>
    <w:rsid w:val="00560FCE"/>
    <w:rsid w:val="005610EA"/>
    <w:rsid w:val="005616AD"/>
    <w:rsid w:val="00562660"/>
    <w:rsid w:val="00562849"/>
    <w:rsid w:val="0056366B"/>
    <w:rsid w:val="00563D84"/>
    <w:rsid w:val="00563DD0"/>
    <w:rsid w:val="00563FF1"/>
    <w:rsid w:val="00564232"/>
    <w:rsid w:val="0056434E"/>
    <w:rsid w:val="0056521C"/>
    <w:rsid w:val="00565395"/>
    <w:rsid w:val="0056582F"/>
    <w:rsid w:val="00567485"/>
    <w:rsid w:val="00567737"/>
    <w:rsid w:val="005678E2"/>
    <w:rsid w:val="005703AD"/>
    <w:rsid w:val="00570707"/>
    <w:rsid w:val="0057140B"/>
    <w:rsid w:val="00571506"/>
    <w:rsid w:val="00571567"/>
    <w:rsid w:val="00572333"/>
    <w:rsid w:val="0057261A"/>
    <w:rsid w:val="0057274A"/>
    <w:rsid w:val="00573985"/>
    <w:rsid w:val="00573A48"/>
    <w:rsid w:val="00573B69"/>
    <w:rsid w:val="00573F86"/>
    <w:rsid w:val="00574203"/>
    <w:rsid w:val="005743FE"/>
    <w:rsid w:val="0057514C"/>
    <w:rsid w:val="00575AF9"/>
    <w:rsid w:val="00575C7C"/>
    <w:rsid w:val="00577572"/>
    <w:rsid w:val="005776D1"/>
    <w:rsid w:val="00577794"/>
    <w:rsid w:val="005801FD"/>
    <w:rsid w:val="005807F5"/>
    <w:rsid w:val="00580D73"/>
    <w:rsid w:val="005821ED"/>
    <w:rsid w:val="00582E5B"/>
    <w:rsid w:val="00583494"/>
    <w:rsid w:val="005846FD"/>
    <w:rsid w:val="00585D1F"/>
    <w:rsid w:val="0058648F"/>
    <w:rsid w:val="005868EA"/>
    <w:rsid w:val="00587700"/>
    <w:rsid w:val="00587F3D"/>
    <w:rsid w:val="00587F7B"/>
    <w:rsid w:val="00590399"/>
    <w:rsid w:val="0059185E"/>
    <w:rsid w:val="0059259C"/>
    <w:rsid w:val="005925F2"/>
    <w:rsid w:val="00592640"/>
    <w:rsid w:val="005926D2"/>
    <w:rsid w:val="00592A0A"/>
    <w:rsid w:val="0059359B"/>
    <w:rsid w:val="005935D8"/>
    <w:rsid w:val="005940B7"/>
    <w:rsid w:val="005944C9"/>
    <w:rsid w:val="00594BC1"/>
    <w:rsid w:val="00594C7E"/>
    <w:rsid w:val="00594D37"/>
    <w:rsid w:val="00594E6E"/>
    <w:rsid w:val="0059580F"/>
    <w:rsid w:val="00595A62"/>
    <w:rsid w:val="00596E59"/>
    <w:rsid w:val="00597376"/>
    <w:rsid w:val="005A0781"/>
    <w:rsid w:val="005A206E"/>
    <w:rsid w:val="005A29F9"/>
    <w:rsid w:val="005A3661"/>
    <w:rsid w:val="005A517D"/>
    <w:rsid w:val="005A59F7"/>
    <w:rsid w:val="005A5A35"/>
    <w:rsid w:val="005A620D"/>
    <w:rsid w:val="005A6C1C"/>
    <w:rsid w:val="005A7767"/>
    <w:rsid w:val="005B018D"/>
    <w:rsid w:val="005B020B"/>
    <w:rsid w:val="005B0693"/>
    <w:rsid w:val="005B0763"/>
    <w:rsid w:val="005B0D68"/>
    <w:rsid w:val="005B1453"/>
    <w:rsid w:val="005B14D9"/>
    <w:rsid w:val="005B17F2"/>
    <w:rsid w:val="005B184A"/>
    <w:rsid w:val="005B1886"/>
    <w:rsid w:val="005B25B0"/>
    <w:rsid w:val="005B29D7"/>
    <w:rsid w:val="005B33C5"/>
    <w:rsid w:val="005B35CC"/>
    <w:rsid w:val="005B38FC"/>
    <w:rsid w:val="005B4228"/>
    <w:rsid w:val="005B50E4"/>
    <w:rsid w:val="005B62F8"/>
    <w:rsid w:val="005C0130"/>
    <w:rsid w:val="005C027F"/>
    <w:rsid w:val="005C05C1"/>
    <w:rsid w:val="005C0764"/>
    <w:rsid w:val="005C0A06"/>
    <w:rsid w:val="005C12C6"/>
    <w:rsid w:val="005C13EE"/>
    <w:rsid w:val="005C15E4"/>
    <w:rsid w:val="005C24C5"/>
    <w:rsid w:val="005C267F"/>
    <w:rsid w:val="005C2837"/>
    <w:rsid w:val="005C2CD7"/>
    <w:rsid w:val="005C2CFF"/>
    <w:rsid w:val="005C32D0"/>
    <w:rsid w:val="005C361C"/>
    <w:rsid w:val="005C38A3"/>
    <w:rsid w:val="005C3941"/>
    <w:rsid w:val="005C3D4C"/>
    <w:rsid w:val="005C4138"/>
    <w:rsid w:val="005C4D54"/>
    <w:rsid w:val="005C5A26"/>
    <w:rsid w:val="005C64AA"/>
    <w:rsid w:val="005C6841"/>
    <w:rsid w:val="005C6F60"/>
    <w:rsid w:val="005C70F7"/>
    <w:rsid w:val="005C7913"/>
    <w:rsid w:val="005C796F"/>
    <w:rsid w:val="005D08A8"/>
    <w:rsid w:val="005D1132"/>
    <w:rsid w:val="005D11F9"/>
    <w:rsid w:val="005D1BB0"/>
    <w:rsid w:val="005D2098"/>
    <w:rsid w:val="005D2328"/>
    <w:rsid w:val="005D239E"/>
    <w:rsid w:val="005D349A"/>
    <w:rsid w:val="005D3682"/>
    <w:rsid w:val="005D45BC"/>
    <w:rsid w:val="005D493C"/>
    <w:rsid w:val="005D50BC"/>
    <w:rsid w:val="005D579D"/>
    <w:rsid w:val="005D5D21"/>
    <w:rsid w:val="005D6191"/>
    <w:rsid w:val="005D6468"/>
    <w:rsid w:val="005E0834"/>
    <w:rsid w:val="005E0E0F"/>
    <w:rsid w:val="005E17E1"/>
    <w:rsid w:val="005E1C01"/>
    <w:rsid w:val="005E1FDF"/>
    <w:rsid w:val="005E2980"/>
    <w:rsid w:val="005E3101"/>
    <w:rsid w:val="005E3248"/>
    <w:rsid w:val="005E3356"/>
    <w:rsid w:val="005E35E8"/>
    <w:rsid w:val="005E3AF3"/>
    <w:rsid w:val="005E3C28"/>
    <w:rsid w:val="005E4344"/>
    <w:rsid w:val="005E45A4"/>
    <w:rsid w:val="005E46E5"/>
    <w:rsid w:val="005E485A"/>
    <w:rsid w:val="005E5B31"/>
    <w:rsid w:val="005E616E"/>
    <w:rsid w:val="005E61A0"/>
    <w:rsid w:val="005E6E8F"/>
    <w:rsid w:val="005E7399"/>
    <w:rsid w:val="005E75CD"/>
    <w:rsid w:val="005E7934"/>
    <w:rsid w:val="005E79E5"/>
    <w:rsid w:val="005F000E"/>
    <w:rsid w:val="005F1A19"/>
    <w:rsid w:val="005F223C"/>
    <w:rsid w:val="005F22C4"/>
    <w:rsid w:val="005F2640"/>
    <w:rsid w:val="005F2900"/>
    <w:rsid w:val="005F2A90"/>
    <w:rsid w:val="005F2F80"/>
    <w:rsid w:val="005F2F88"/>
    <w:rsid w:val="005F3432"/>
    <w:rsid w:val="005F3B1C"/>
    <w:rsid w:val="005F3C59"/>
    <w:rsid w:val="005F435B"/>
    <w:rsid w:val="005F4B04"/>
    <w:rsid w:val="005F4E93"/>
    <w:rsid w:val="005F553B"/>
    <w:rsid w:val="005F5873"/>
    <w:rsid w:val="005F5B5A"/>
    <w:rsid w:val="005F63C4"/>
    <w:rsid w:val="005F646A"/>
    <w:rsid w:val="005F6A15"/>
    <w:rsid w:val="005F6DF2"/>
    <w:rsid w:val="006006E5"/>
    <w:rsid w:val="00600A9D"/>
    <w:rsid w:val="0060129F"/>
    <w:rsid w:val="00601389"/>
    <w:rsid w:val="00601667"/>
    <w:rsid w:val="006016CE"/>
    <w:rsid w:val="00601860"/>
    <w:rsid w:val="006018D9"/>
    <w:rsid w:val="0060193E"/>
    <w:rsid w:val="00601D60"/>
    <w:rsid w:val="00601F40"/>
    <w:rsid w:val="006026DA"/>
    <w:rsid w:val="00602D77"/>
    <w:rsid w:val="00602EFD"/>
    <w:rsid w:val="006032A3"/>
    <w:rsid w:val="00603F63"/>
    <w:rsid w:val="00604880"/>
    <w:rsid w:val="006049EB"/>
    <w:rsid w:val="00604E6C"/>
    <w:rsid w:val="00605416"/>
    <w:rsid w:val="00605C2D"/>
    <w:rsid w:val="00605EC2"/>
    <w:rsid w:val="00606CBC"/>
    <w:rsid w:val="00606D75"/>
    <w:rsid w:val="00607134"/>
    <w:rsid w:val="006071DA"/>
    <w:rsid w:val="006074D1"/>
    <w:rsid w:val="00607F80"/>
    <w:rsid w:val="00610486"/>
    <w:rsid w:val="0061058D"/>
    <w:rsid w:val="006116DA"/>
    <w:rsid w:val="00611A45"/>
    <w:rsid w:val="00613A7B"/>
    <w:rsid w:val="00613CC4"/>
    <w:rsid w:val="006143F4"/>
    <w:rsid w:val="006148C0"/>
    <w:rsid w:val="006155BC"/>
    <w:rsid w:val="006156DC"/>
    <w:rsid w:val="00615BC5"/>
    <w:rsid w:val="00616605"/>
    <w:rsid w:val="006168CC"/>
    <w:rsid w:val="00616F43"/>
    <w:rsid w:val="006173BF"/>
    <w:rsid w:val="00617EC4"/>
    <w:rsid w:val="00620353"/>
    <w:rsid w:val="00620C4A"/>
    <w:rsid w:val="00620FF8"/>
    <w:rsid w:val="00621017"/>
    <w:rsid w:val="00622B21"/>
    <w:rsid w:val="00622C2D"/>
    <w:rsid w:val="00624579"/>
    <w:rsid w:val="006247F5"/>
    <w:rsid w:val="00625FC3"/>
    <w:rsid w:val="0062609A"/>
    <w:rsid w:val="0062625A"/>
    <w:rsid w:val="00626369"/>
    <w:rsid w:val="0062673E"/>
    <w:rsid w:val="00626DD7"/>
    <w:rsid w:val="006271CD"/>
    <w:rsid w:val="00627260"/>
    <w:rsid w:val="00630442"/>
    <w:rsid w:val="00630A3C"/>
    <w:rsid w:val="00630D19"/>
    <w:rsid w:val="006319F2"/>
    <w:rsid w:val="00631DD5"/>
    <w:rsid w:val="00632034"/>
    <w:rsid w:val="00632F70"/>
    <w:rsid w:val="00634CF0"/>
    <w:rsid w:val="00635400"/>
    <w:rsid w:val="00635699"/>
    <w:rsid w:val="0063572D"/>
    <w:rsid w:val="00635B42"/>
    <w:rsid w:val="00635C18"/>
    <w:rsid w:val="00636353"/>
    <w:rsid w:val="006367A9"/>
    <w:rsid w:val="006367BB"/>
    <w:rsid w:val="0063695A"/>
    <w:rsid w:val="00637076"/>
    <w:rsid w:val="006372D7"/>
    <w:rsid w:val="00637DD6"/>
    <w:rsid w:val="00640387"/>
    <w:rsid w:val="00641005"/>
    <w:rsid w:val="00641617"/>
    <w:rsid w:val="00641A22"/>
    <w:rsid w:val="00641A3D"/>
    <w:rsid w:val="00641FCC"/>
    <w:rsid w:val="00641FDE"/>
    <w:rsid w:val="006422DF"/>
    <w:rsid w:val="00642FF7"/>
    <w:rsid w:val="0064372B"/>
    <w:rsid w:val="006438E9"/>
    <w:rsid w:val="006440DC"/>
    <w:rsid w:val="00644314"/>
    <w:rsid w:val="006452A5"/>
    <w:rsid w:val="0064575B"/>
    <w:rsid w:val="00646041"/>
    <w:rsid w:val="006468EE"/>
    <w:rsid w:val="006472E6"/>
    <w:rsid w:val="00647470"/>
    <w:rsid w:val="006477A5"/>
    <w:rsid w:val="00647A6A"/>
    <w:rsid w:val="006500D0"/>
    <w:rsid w:val="00650320"/>
    <w:rsid w:val="00650751"/>
    <w:rsid w:val="00651533"/>
    <w:rsid w:val="00651A32"/>
    <w:rsid w:val="00651DEF"/>
    <w:rsid w:val="00652070"/>
    <w:rsid w:val="00652263"/>
    <w:rsid w:val="006526DD"/>
    <w:rsid w:val="00652CD3"/>
    <w:rsid w:val="006535A8"/>
    <w:rsid w:val="00653D86"/>
    <w:rsid w:val="00654B62"/>
    <w:rsid w:val="00655054"/>
    <w:rsid w:val="006556A8"/>
    <w:rsid w:val="00655A19"/>
    <w:rsid w:val="00656315"/>
    <w:rsid w:val="0065764A"/>
    <w:rsid w:val="0066046F"/>
    <w:rsid w:val="00660856"/>
    <w:rsid w:val="00660ACF"/>
    <w:rsid w:val="00660EC5"/>
    <w:rsid w:val="00661022"/>
    <w:rsid w:val="00661A7F"/>
    <w:rsid w:val="00662467"/>
    <w:rsid w:val="00662817"/>
    <w:rsid w:val="00662AF4"/>
    <w:rsid w:val="006630C1"/>
    <w:rsid w:val="00663F18"/>
    <w:rsid w:val="006641B7"/>
    <w:rsid w:val="0066645E"/>
    <w:rsid w:val="0066660B"/>
    <w:rsid w:val="0066736F"/>
    <w:rsid w:val="00667F24"/>
    <w:rsid w:val="00670C6E"/>
    <w:rsid w:val="0067115D"/>
    <w:rsid w:val="00672227"/>
    <w:rsid w:val="00672BAC"/>
    <w:rsid w:val="00672E23"/>
    <w:rsid w:val="00673BEA"/>
    <w:rsid w:val="00673C9A"/>
    <w:rsid w:val="00675A9D"/>
    <w:rsid w:val="00676111"/>
    <w:rsid w:val="00676F5B"/>
    <w:rsid w:val="0067722E"/>
    <w:rsid w:val="006772AE"/>
    <w:rsid w:val="00677568"/>
    <w:rsid w:val="00677A2C"/>
    <w:rsid w:val="0068003B"/>
    <w:rsid w:val="0068085B"/>
    <w:rsid w:val="006808ED"/>
    <w:rsid w:val="006819A7"/>
    <w:rsid w:val="00681BFE"/>
    <w:rsid w:val="00681C21"/>
    <w:rsid w:val="00681EC6"/>
    <w:rsid w:val="00682B00"/>
    <w:rsid w:val="00683B4A"/>
    <w:rsid w:val="00684492"/>
    <w:rsid w:val="00684D0E"/>
    <w:rsid w:val="00686120"/>
    <w:rsid w:val="0068712F"/>
    <w:rsid w:val="00687752"/>
    <w:rsid w:val="00687E72"/>
    <w:rsid w:val="00687F63"/>
    <w:rsid w:val="00691515"/>
    <w:rsid w:val="00691A26"/>
    <w:rsid w:val="006927EC"/>
    <w:rsid w:val="00692A7A"/>
    <w:rsid w:val="00692B2E"/>
    <w:rsid w:val="00693A22"/>
    <w:rsid w:val="00693B92"/>
    <w:rsid w:val="00693FC4"/>
    <w:rsid w:val="00694250"/>
    <w:rsid w:val="0069480C"/>
    <w:rsid w:val="00694F13"/>
    <w:rsid w:val="006954A3"/>
    <w:rsid w:val="00695522"/>
    <w:rsid w:val="00695748"/>
    <w:rsid w:val="00695C45"/>
    <w:rsid w:val="006965CD"/>
    <w:rsid w:val="00696674"/>
    <w:rsid w:val="0069735F"/>
    <w:rsid w:val="00697582"/>
    <w:rsid w:val="00697B61"/>
    <w:rsid w:val="00697CC6"/>
    <w:rsid w:val="006A0470"/>
    <w:rsid w:val="006A0667"/>
    <w:rsid w:val="006A0FED"/>
    <w:rsid w:val="006A185D"/>
    <w:rsid w:val="006A1A4D"/>
    <w:rsid w:val="006A28A7"/>
    <w:rsid w:val="006A2FD9"/>
    <w:rsid w:val="006A3C97"/>
    <w:rsid w:val="006A3CA8"/>
    <w:rsid w:val="006A3D2B"/>
    <w:rsid w:val="006A4A1B"/>
    <w:rsid w:val="006A4E1E"/>
    <w:rsid w:val="006A5FBD"/>
    <w:rsid w:val="006A6E59"/>
    <w:rsid w:val="006A72E5"/>
    <w:rsid w:val="006A7456"/>
    <w:rsid w:val="006A7656"/>
    <w:rsid w:val="006B0D21"/>
    <w:rsid w:val="006B0FB2"/>
    <w:rsid w:val="006B14EC"/>
    <w:rsid w:val="006B21EC"/>
    <w:rsid w:val="006B2B5B"/>
    <w:rsid w:val="006B3021"/>
    <w:rsid w:val="006B3212"/>
    <w:rsid w:val="006B32AC"/>
    <w:rsid w:val="006B54C4"/>
    <w:rsid w:val="006B5A20"/>
    <w:rsid w:val="006B6B7B"/>
    <w:rsid w:val="006B6D4D"/>
    <w:rsid w:val="006B79A1"/>
    <w:rsid w:val="006B7E1C"/>
    <w:rsid w:val="006C04AD"/>
    <w:rsid w:val="006C0542"/>
    <w:rsid w:val="006C0F6F"/>
    <w:rsid w:val="006C0F9A"/>
    <w:rsid w:val="006C1134"/>
    <w:rsid w:val="006C1361"/>
    <w:rsid w:val="006C1B7B"/>
    <w:rsid w:val="006C1BDA"/>
    <w:rsid w:val="006C1E9E"/>
    <w:rsid w:val="006C1ECF"/>
    <w:rsid w:val="006C20A9"/>
    <w:rsid w:val="006C28A4"/>
    <w:rsid w:val="006C34F5"/>
    <w:rsid w:val="006C4C99"/>
    <w:rsid w:val="006C5A09"/>
    <w:rsid w:val="006C5DAB"/>
    <w:rsid w:val="006C6D02"/>
    <w:rsid w:val="006C72D9"/>
    <w:rsid w:val="006D0144"/>
    <w:rsid w:val="006D0374"/>
    <w:rsid w:val="006D06DA"/>
    <w:rsid w:val="006D07E7"/>
    <w:rsid w:val="006D0A0C"/>
    <w:rsid w:val="006D0DD9"/>
    <w:rsid w:val="006D1168"/>
    <w:rsid w:val="006D1C2C"/>
    <w:rsid w:val="006D1FBF"/>
    <w:rsid w:val="006D2A07"/>
    <w:rsid w:val="006D2A96"/>
    <w:rsid w:val="006D3B10"/>
    <w:rsid w:val="006D4932"/>
    <w:rsid w:val="006D526E"/>
    <w:rsid w:val="006D5ACA"/>
    <w:rsid w:val="006D5E08"/>
    <w:rsid w:val="006D60BF"/>
    <w:rsid w:val="006D6577"/>
    <w:rsid w:val="006D71D1"/>
    <w:rsid w:val="006D7C06"/>
    <w:rsid w:val="006E1864"/>
    <w:rsid w:val="006E2A67"/>
    <w:rsid w:val="006E3146"/>
    <w:rsid w:val="006E31E2"/>
    <w:rsid w:val="006E355F"/>
    <w:rsid w:val="006E4791"/>
    <w:rsid w:val="006E55D0"/>
    <w:rsid w:val="006E5612"/>
    <w:rsid w:val="006E5CC1"/>
    <w:rsid w:val="006E5FFD"/>
    <w:rsid w:val="006E6B0B"/>
    <w:rsid w:val="006E7489"/>
    <w:rsid w:val="006E7E8B"/>
    <w:rsid w:val="006F00F9"/>
    <w:rsid w:val="006F04E1"/>
    <w:rsid w:val="006F0562"/>
    <w:rsid w:val="006F114C"/>
    <w:rsid w:val="006F15E2"/>
    <w:rsid w:val="006F1E4C"/>
    <w:rsid w:val="006F3AD1"/>
    <w:rsid w:val="006F3F87"/>
    <w:rsid w:val="006F55BB"/>
    <w:rsid w:val="006F56A8"/>
    <w:rsid w:val="006F584F"/>
    <w:rsid w:val="006F5CB5"/>
    <w:rsid w:val="006F65B8"/>
    <w:rsid w:val="006F6CE8"/>
    <w:rsid w:val="006F6DA8"/>
    <w:rsid w:val="006F79C0"/>
    <w:rsid w:val="006F7F68"/>
    <w:rsid w:val="007000F6"/>
    <w:rsid w:val="00700354"/>
    <w:rsid w:val="00700694"/>
    <w:rsid w:val="00700740"/>
    <w:rsid w:val="00700749"/>
    <w:rsid w:val="00700773"/>
    <w:rsid w:val="00701386"/>
    <w:rsid w:val="007013B8"/>
    <w:rsid w:val="007023D5"/>
    <w:rsid w:val="0070316C"/>
    <w:rsid w:val="0070371B"/>
    <w:rsid w:val="00703CDF"/>
    <w:rsid w:val="00703DD2"/>
    <w:rsid w:val="0070443A"/>
    <w:rsid w:val="00704A2D"/>
    <w:rsid w:val="00704DDC"/>
    <w:rsid w:val="00705194"/>
    <w:rsid w:val="00705B2F"/>
    <w:rsid w:val="007060BC"/>
    <w:rsid w:val="00706920"/>
    <w:rsid w:val="00706A2C"/>
    <w:rsid w:val="00706A8A"/>
    <w:rsid w:val="00706E4D"/>
    <w:rsid w:val="00707F13"/>
    <w:rsid w:val="0071010F"/>
    <w:rsid w:val="00710817"/>
    <w:rsid w:val="00710CCA"/>
    <w:rsid w:val="007114C7"/>
    <w:rsid w:val="007116EE"/>
    <w:rsid w:val="0071288C"/>
    <w:rsid w:val="00712F88"/>
    <w:rsid w:val="00713129"/>
    <w:rsid w:val="007133DB"/>
    <w:rsid w:val="00713671"/>
    <w:rsid w:val="0071496A"/>
    <w:rsid w:val="007149C4"/>
    <w:rsid w:val="007151E2"/>
    <w:rsid w:val="007159AC"/>
    <w:rsid w:val="00715BE0"/>
    <w:rsid w:val="00715D2B"/>
    <w:rsid w:val="00716AF3"/>
    <w:rsid w:val="007176AB"/>
    <w:rsid w:val="00717C81"/>
    <w:rsid w:val="00720786"/>
    <w:rsid w:val="00720A1B"/>
    <w:rsid w:val="00721064"/>
    <w:rsid w:val="007212C3"/>
    <w:rsid w:val="007213DE"/>
    <w:rsid w:val="00721836"/>
    <w:rsid w:val="00721C28"/>
    <w:rsid w:val="00722451"/>
    <w:rsid w:val="007237D9"/>
    <w:rsid w:val="0072425B"/>
    <w:rsid w:val="00724936"/>
    <w:rsid w:val="007249B3"/>
    <w:rsid w:val="00724A81"/>
    <w:rsid w:val="00724DF8"/>
    <w:rsid w:val="0072538F"/>
    <w:rsid w:val="00725D22"/>
    <w:rsid w:val="00725DCC"/>
    <w:rsid w:val="00726867"/>
    <w:rsid w:val="0072724F"/>
    <w:rsid w:val="00727489"/>
    <w:rsid w:val="00727BA6"/>
    <w:rsid w:val="00727FDE"/>
    <w:rsid w:val="007302AF"/>
    <w:rsid w:val="00730B13"/>
    <w:rsid w:val="00730EDB"/>
    <w:rsid w:val="007318A7"/>
    <w:rsid w:val="00731CDC"/>
    <w:rsid w:val="00731D1B"/>
    <w:rsid w:val="00731F49"/>
    <w:rsid w:val="007329C6"/>
    <w:rsid w:val="00732A61"/>
    <w:rsid w:val="00732ECD"/>
    <w:rsid w:val="007330BF"/>
    <w:rsid w:val="00733138"/>
    <w:rsid w:val="00733E8B"/>
    <w:rsid w:val="00734B10"/>
    <w:rsid w:val="00734BC5"/>
    <w:rsid w:val="00735E80"/>
    <w:rsid w:val="0073614A"/>
    <w:rsid w:val="0073624E"/>
    <w:rsid w:val="00736768"/>
    <w:rsid w:val="00736DA1"/>
    <w:rsid w:val="00740702"/>
    <w:rsid w:val="007409E2"/>
    <w:rsid w:val="0074192A"/>
    <w:rsid w:val="007419FD"/>
    <w:rsid w:val="00741A95"/>
    <w:rsid w:val="0074263B"/>
    <w:rsid w:val="00742D03"/>
    <w:rsid w:val="00742FAF"/>
    <w:rsid w:val="007442AB"/>
    <w:rsid w:val="00745350"/>
    <w:rsid w:val="00745CFF"/>
    <w:rsid w:val="00746307"/>
    <w:rsid w:val="007463E4"/>
    <w:rsid w:val="00746788"/>
    <w:rsid w:val="00746B6E"/>
    <w:rsid w:val="0074778C"/>
    <w:rsid w:val="007478D3"/>
    <w:rsid w:val="00747B59"/>
    <w:rsid w:val="00747BA8"/>
    <w:rsid w:val="00747F82"/>
    <w:rsid w:val="007501BA"/>
    <w:rsid w:val="0075140A"/>
    <w:rsid w:val="00751688"/>
    <w:rsid w:val="007522F6"/>
    <w:rsid w:val="007527B5"/>
    <w:rsid w:val="00752E7E"/>
    <w:rsid w:val="007534A6"/>
    <w:rsid w:val="00753C84"/>
    <w:rsid w:val="00754537"/>
    <w:rsid w:val="007549EB"/>
    <w:rsid w:val="00754B6B"/>
    <w:rsid w:val="00755F23"/>
    <w:rsid w:val="007565D6"/>
    <w:rsid w:val="007567B2"/>
    <w:rsid w:val="0075680C"/>
    <w:rsid w:val="00756BD9"/>
    <w:rsid w:val="00756C10"/>
    <w:rsid w:val="00756F01"/>
    <w:rsid w:val="00757EB8"/>
    <w:rsid w:val="0076087A"/>
    <w:rsid w:val="00760D3A"/>
    <w:rsid w:val="00761028"/>
    <w:rsid w:val="007619F7"/>
    <w:rsid w:val="00761ADA"/>
    <w:rsid w:val="00761F23"/>
    <w:rsid w:val="0076270C"/>
    <w:rsid w:val="00762E84"/>
    <w:rsid w:val="007634B5"/>
    <w:rsid w:val="00765008"/>
    <w:rsid w:val="0076534C"/>
    <w:rsid w:val="007653A1"/>
    <w:rsid w:val="007662C7"/>
    <w:rsid w:val="00766763"/>
    <w:rsid w:val="0076697D"/>
    <w:rsid w:val="00766EEF"/>
    <w:rsid w:val="00767844"/>
    <w:rsid w:val="00767ACE"/>
    <w:rsid w:val="007700C2"/>
    <w:rsid w:val="00770258"/>
    <w:rsid w:val="00770940"/>
    <w:rsid w:val="00770F83"/>
    <w:rsid w:val="0077250D"/>
    <w:rsid w:val="00772DB2"/>
    <w:rsid w:val="00773626"/>
    <w:rsid w:val="00773820"/>
    <w:rsid w:val="0077389A"/>
    <w:rsid w:val="0077395F"/>
    <w:rsid w:val="0077469B"/>
    <w:rsid w:val="00774B02"/>
    <w:rsid w:val="007754BD"/>
    <w:rsid w:val="0077552A"/>
    <w:rsid w:val="00775680"/>
    <w:rsid w:val="0077641B"/>
    <w:rsid w:val="00776778"/>
    <w:rsid w:val="00776AD6"/>
    <w:rsid w:val="00776DFF"/>
    <w:rsid w:val="007774AA"/>
    <w:rsid w:val="00777C3B"/>
    <w:rsid w:val="007812C7"/>
    <w:rsid w:val="00782B0C"/>
    <w:rsid w:val="00782DF2"/>
    <w:rsid w:val="007835BA"/>
    <w:rsid w:val="007835BD"/>
    <w:rsid w:val="00783BC8"/>
    <w:rsid w:val="00783CFD"/>
    <w:rsid w:val="00784171"/>
    <w:rsid w:val="007844E4"/>
    <w:rsid w:val="0078493B"/>
    <w:rsid w:val="0078497D"/>
    <w:rsid w:val="0078557D"/>
    <w:rsid w:val="00785FB2"/>
    <w:rsid w:val="00786403"/>
    <w:rsid w:val="007864C7"/>
    <w:rsid w:val="00786CC5"/>
    <w:rsid w:val="0078702D"/>
    <w:rsid w:val="00787A18"/>
    <w:rsid w:val="00787BCB"/>
    <w:rsid w:val="00787DFD"/>
    <w:rsid w:val="00791AC9"/>
    <w:rsid w:val="00791BFC"/>
    <w:rsid w:val="007931E2"/>
    <w:rsid w:val="00793CC4"/>
    <w:rsid w:val="00793D4C"/>
    <w:rsid w:val="0079472E"/>
    <w:rsid w:val="007949B5"/>
    <w:rsid w:val="00794F91"/>
    <w:rsid w:val="00795160"/>
    <w:rsid w:val="00795AFE"/>
    <w:rsid w:val="00795F74"/>
    <w:rsid w:val="007969A3"/>
    <w:rsid w:val="00796B28"/>
    <w:rsid w:val="00796CD4"/>
    <w:rsid w:val="007A09A9"/>
    <w:rsid w:val="007A1424"/>
    <w:rsid w:val="007A1576"/>
    <w:rsid w:val="007A1D5F"/>
    <w:rsid w:val="007A2093"/>
    <w:rsid w:val="007A2347"/>
    <w:rsid w:val="007A2566"/>
    <w:rsid w:val="007A28E1"/>
    <w:rsid w:val="007A37A8"/>
    <w:rsid w:val="007A37B6"/>
    <w:rsid w:val="007A3FDA"/>
    <w:rsid w:val="007A4819"/>
    <w:rsid w:val="007A4D04"/>
    <w:rsid w:val="007A53AD"/>
    <w:rsid w:val="007A5BBF"/>
    <w:rsid w:val="007A61C1"/>
    <w:rsid w:val="007A689A"/>
    <w:rsid w:val="007A7650"/>
    <w:rsid w:val="007A7E12"/>
    <w:rsid w:val="007B011A"/>
    <w:rsid w:val="007B0586"/>
    <w:rsid w:val="007B1587"/>
    <w:rsid w:val="007B2356"/>
    <w:rsid w:val="007B26E0"/>
    <w:rsid w:val="007B2D91"/>
    <w:rsid w:val="007B343A"/>
    <w:rsid w:val="007B34B8"/>
    <w:rsid w:val="007B3577"/>
    <w:rsid w:val="007B3781"/>
    <w:rsid w:val="007B3A3E"/>
    <w:rsid w:val="007B4BFB"/>
    <w:rsid w:val="007B5C2E"/>
    <w:rsid w:val="007B62EB"/>
    <w:rsid w:val="007B64A7"/>
    <w:rsid w:val="007B698A"/>
    <w:rsid w:val="007B723F"/>
    <w:rsid w:val="007B7465"/>
    <w:rsid w:val="007B7A4B"/>
    <w:rsid w:val="007B7E8B"/>
    <w:rsid w:val="007C019A"/>
    <w:rsid w:val="007C2223"/>
    <w:rsid w:val="007C2439"/>
    <w:rsid w:val="007C2A78"/>
    <w:rsid w:val="007C3A3F"/>
    <w:rsid w:val="007C3E83"/>
    <w:rsid w:val="007C41AC"/>
    <w:rsid w:val="007C4BD1"/>
    <w:rsid w:val="007C4C0E"/>
    <w:rsid w:val="007C5183"/>
    <w:rsid w:val="007C52E3"/>
    <w:rsid w:val="007C64F7"/>
    <w:rsid w:val="007C7895"/>
    <w:rsid w:val="007C7928"/>
    <w:rsid w:val="007C7E58"/>
    <w:rsid w:val="007D01D9"/>
    <w:rsid w:val="007D04D7"/>
    <w:rsid w:val="007D1DF2"/>
    <w:rsid w:val="007D2602"/>
    <w:rsid w:val="007D2730"/>
    <w:rsid w:val="007D28F1"/>
    <w:rsid w:val="007D30ED"/>
    <w:rsid w:val="007D4958"/>
    <w:rsid w:val="007D4F27"/>
    <w:rsid w:val="007D5254"/>
    <w:rsid w:val="007D5700"/>
    <w:rsid w:val="007D5E32"/>
    <w:rsid w:val="007D601B"/>
    <w:rsid w:val="007D6AF1"/>
    <w:rsid w:val="007D726E"/>
    <w:rsid w:val="007D75CA"/>
    <w:rsid w:val="007E03F6"/>
    <w:rsid w:val="007E0D77"/>
    <w:rsid w:val="007E17C4"/>
    <w:rsid w:val="007E1E1D"/>
    <w:rsid w:val="007E2057"/>
    <w:rsid w:val="007E2BE2"/>
    <w:rsid w:val="007E3B5E"/>
    <w:rsid w:val="007E4388"/>
    <w:rsid w:val="007E5482"/>
    <w:rsid w:val="007E5886"/>
    <w:rsid w:val="007E62FB"/>
    <w:rsid w:val="007E6728"/>
    <w:rsid w:val="007E6755"/>
    <w:rsid w:val="007F009E"/>
    <w:rsid w:val="007F0951"/>
    <w:rsid w:val="007F1310"/>
    <w:rsid w:val="007F3573"/>
    <w:rsid w:val="007F3E77"/>
    <w:rsid w:val="007F55B3"/>
    <w:rsid w:val="007F5D50"/>
    <w:rsid w:val="007F6D24"/>
    <w:rsid w:val="007F70AB"/>
    <w:rsid w:val="007F754F"/>
    <w:rsid w:val="00800920"/>
    <w:rsid w:val="00800C79"/>
    <w:rsid w:val="00800FEE"/>
    <w:rsid w:val="00801587"/>
    <w:rsid w:val="00801D5A"/>
    <w:rsid w:val="00802525"/>
    <w:rsid w:val="008037E1"/>
    <w:rsid w:val="00803C68"/>
    <w:rsid w:val="0080420E"/>
    <w:rsid w:val="00804566"/>
    <w:rsid w:val="008045C7"/>
    <w:rsid w:val="00804B73"/>
    <w:rsid w:val="008058A7"/>
    <w:rsid w:val="00805F79"/>
    <w:rsid w:val="0080622B"/>
    <w:rsid w:val="0080650E"/>
    <w:rsid w:val="008067DD"/>
    <w:rsid w:val="00806A1E"/>
    <w:rsid w:val="00810CDF"/>
    <w:rsid w:val="00810E80"/>
    <w:rsid w:val="00810F08"/>
    <w:rsid w:val="00810F9B"/>
    <w:rsid w:val="0081116C"/>
    <w:rsid w:val="008113D4"/>
    <w:rsid w:val="008130A4"/>
    <w:rsid w:val="00814931"/>
    <w:rsid w:val="00814B11"/>
    <w:rsid w:val="00814EB6"/>
    <w:rsid w:val="00815511"/>
    <w:rsid w:val="0081600E"/>
    <w:rsid w:val="00817EE4"/>
    <w:rsid w:val="00820611"/>
    <w:rsid w:val="00820674"/>
    <w:rsid w:val="00820C5B"/>
    <w:rsid w:val="0082152D"/>
    <w:rsid w:val="008224FF"/>
    <w:rsid w:val="00823847"/>
    <w:rsid w:val="00823DED"/>
    <w:rsid w:val="00823F30"/>
    <w:rsid w:val="0082417C"/>
    <w:rsid w:val="0082568B"/>
    <w:rsid w:val="00825DAF"/>
    <w:rsid w:val="0082643D"/>
    <w:rsid w:val="008266F6"/>
    <w:rsid w:val="00826762"/>
    <w:rsid w:val="00826CA5"/>
    <w:rsid w:val="00827580"/>
    <w:rsid w:val="00827A1C"/>
    <w:rsid w:val="00827A94"/>
    <w:rsid w:val="00827B34"/>
    <w:rsid w:val="00827EA2"/>
    <w:rsid w:val="00830E16"/>
    <w:rsid w:val="008316B7"/>
    <w:rsid w:val="00831862"/>
    <w:rsid w:val="00831952"/>
    <w:rsid w:val="00831DC1"/>
    <w:rsid w:val="00832735"/>
    <w:rsid w:val="0083322F"/>
    <w:rsid w:val="00833538"/>
    <w:rsid w:val="008335D0"/>
    <w:rsid w:val="00833B9A"/>
    <w:rsid w:val="00833CC8"/>
    <w:rsid w:val="008342AA"/>
    <w:rsid w:val="00834497"/>
    <w:rsid w:val="00834E16"/>
    <w:rsid w:val="00835D50"/>
    <w:rsid w:val="00835F61"/>
    <w:rsid w:val="0083671B"/>
    <w:rsid w:val="00837296"/>
    <w:rsid w:val="00837A6F"/>
    <w:rsid w:val="0084048F"/>
    <w:rsid w:val="00840734"/>
    <w:rsid w:val="00840DCB"/>
    <w:rsid w:val="00841346"/>
    <w:rsid w:val="008429B9"/>
    <w:rsid w:val="00842CB6"/>
    <w:rsid w:val="00842E39"/>
    <w:rsid w:val="008434C9"/>
    <w:rsid w:val="00843FD7"/>
    <w:rsid w:val="008440AA"/>
    <w:rsid w:val="00844F82"/>
    <w:rsid w:val="008463FB"/>
    <w:rsid w:val="00846569"/>
    <w:rsid w:val="00846628"/>
    <w:rsid w:val="00846939"/>
    <w:rsid w:val="00846955"/>
    <w:rsid w:val="00846E57"/>
    <w:rsid w:val="00846EDF"/>
    <w:rsid w:val="008474CC"/>
    <w:rsid w:val="0085033A"/>
    <w:rsid w:val="00850CF4"/>
    <w:rsid w:val="00850EB9"/>
    <w:rsid w:val="00851883"/>
    <w:rsid w:val="00851FE9"/>
    <w:rsid w:val="008520DE"/>
    <w:rsid w:val="00852221"/>
    <w:rsid w:val="008527FC"/>
    <w:rsid w:val="008528AB"/>
    <w:rsid w:val="0085295E"/>
    <w:rsid w:val="00852A06"/>
    <w:rsid w:val="00853036"/>
    <w:rsid w:val="008530D2"/>
    <w:rsid w:val="0085363E"/>
    <w:rsid w:val="008549F4"/>
    <w:rsid w:val="00855777"/>
    <w:rsid w:val="00856984"/>
    <w:rsid w:val="00857196"/>
    <w:rsid w:val="008611AE"/>
    <w:rsid w:val="00862598"/>
    <w:rsid w:val="00862D84"/>
    <w:rsid w:val="00862F5F"/>
    <w:rsid w:val="0086311F"/>
    <w:rsid w:val="0086347F"/>
    <w:rsid w:val="00863D5B"/>
    <w:rsid w:val="008651BB"/>
    <w:rsid w:val="0086540F"/>
    <w:rsid w:val="00865665"/>
    <w:rsid w:val="00865922"/>
    <w:rsid w:val="00865FD1"/>
    <w:rsid w:val="00866F65"/>
    <w:rsid w:val="00867F61"/>
    <w:rsid w:val="00870434"/>
    <w:rsid w:val="008705CD"/>
    <w:rsid w:val="0087099F"/>
    <w:rsid w:val="00870C7D"/>
    <w:rsid w:val="008710DD"/>
    <w:rsid w:val="00871638"/>
    <w:rsid w:val="008717BA"/>
    <w:rsid w:val="008717EB"/>
    <w:rsid w:val="008725AC"/>
    <w:rsid w:val="008735CF"/>
    <w:rsid w:val="008739AB"/>
    <w:rsid w:val="00873BD8"/>
    <w:rsid w:val="00874269"/>
    <w:rsid w:val="008743A8"/>
    <w:rsid w:val="008747AA"/>
    <w:rsid w:val="00874A62"/>
    <w:rsid w:val="00874AFE"/>
    <w:rsid w:val="00874EBF"/>
    <w:rsid w:val="008762D9"/>
    <w:rsid w:val="00877B1B"/>
    <w:rsid w:val="00877CE6"/>
    <w:rsid w:val="00877DAB"/>
    <w:rsid w:val="008811A7"/>
    <w:rsid w:val="00881B8B"/>
    <w:rsid w:val="00881DA9"/>
    <w:rsid w:val="00882096"/>
    <w:rsid w:val="00882B7E"/>
    <w:rsid w:val="00882B86"/>
    <w:rsid w:val="00883591"/>
    <w:rsid w:val="00884AA2"/>
    <w:rsid w:val="008850E5"/>
    <w:rsid w:val="00885550"/>
    <w:rsid w:val="00885F93"/>
    <w:rsid w:val="008876F9"/>
    <w:rsid w:val="008879E6"/>
    <w:rsid w:val="0089011A"/>
    <w:rsid w:val="0089015D"/>
    <w:rsid w:val="0089057B"/>
    <w:rsid w:val="0089074B"/>
    <w:rsid w:val="00890E0C"/>
    <w:rsid w:val="0089127A"/>
    <w:rsid w:val="00891F6E"/>
    <w:rsid w:val="00892A13"/>
    <w:rsid w:val="00892DE9"/>
    <w:rsid w:val="00892EC3"/>
    <w:rsid w:val="008931B5"/>
    <w:rsid w:val="008934BF"/>
    <w:rsid w:val="008938BA"/>
    <w:rsid w:val="00893924"/>
    <w:rsid w:val="00893B29"/>
    <w:rsid w:val="00895C96"/>
    <w:rsid w:val="00896258"/>
    <w:rsid w:val="0089638D"/>
    <w:rsid w:val="0089639D"/>
    <w:rsid w:val="00896A39"/>
    <w:rsid w:val="008A00C1"/>
    <w:rsid w:val="008A1AEA"/>
    <w:rsid w:val="008A20B1"/>
    <w:rsid w:val="008A29A1"/>
    <w:rsid w:val="008A2B25"/>
    <w:rsid w:val="008A2FA3"/>
    <w:rsid w:val="008A35E8"/>
    <w:rsid w:val="008A3DBB"/>
    <w:rsid w:val="008A4287"/>
    <w:rsid w:val="008A4825"/>
    <w:rsid w:val="008A4C00"/>
    <w:rsid w:val="008A51AD"/>
    <w:rsid w:val="008A5277"/>
    <w:rsid w:val="008A584C"/>
    <w:rsid w:val="008A5E64"/>
    <w:rsid w:val="008A5E9C"/>
    <w:rsid w:val="008A66C0"/>
    <w:rsid w:val="008A6827"/>
    <w:rsid w:val="008A6D09"/>
    <w:rsid w:val="008A701F"/>
    <w:rsid w:val="008A7E2E"/>
    <w:rsid w:val="008A7E48"/>
    <w:rsid w:val="008B1157"/>
    <w:rsid w:val="008B1CA0"/>
    <w:rsid w:val="008B1D2A"/>
    <w:rsid w:val="008B2077"/>
    <w:rsid w:val="008B25A1"/>
    <w:rsid w:val="008B348D"/>
    <w:rsid w:val="008B38FA"/>
    <w:rsid w:val="008B40FF"/>
    <w:rsid w:val="008B4896"/>
    <w:rsid w:val="008B53F4"/>
    <w:rsid w:val="008B5B65"/>
    <w:rsid w:val="008B657D"/>
    <w:rsid w:val="008B66B2"/>
    <w:rsid w:val="008B6B00"/>
    <w:rsid w:val="008B6D53"/>
    <w:rsid w:val="008B771B"/>
    <w:rsid w:val="008C06B9"/>
    <w:rsid w:val="008C0EF7"/>
    <w:rsid w:val="008C13F3"/>
    <w:rsid w:val="008C1D89"/>
    <w:rsid w:val="008C2E31"/>
    <w:rsid w:val="008C49D2"/>
    <w:rsid w:val="008C4A98"/>
    <w:rsid w:val="008C518E"/>
    <w:rsid w:val="008C5409"/>
    <w:rsid w:val="008C55BC"/>
    <w:rsid w:val="008C5E27"/>
    <w:rsid w:val="008C7400"/>
    <w:rsid w:val="008C797D"/>
    <w:rsid w:val="008C7AD2"/>
    <w:rsid w:val="008C7BDB"/>
    <w:rsid w:val="008C7FEF"/>
    <w:rsid w:val="008D04D1"/>
    <w:rsid w:val="008D05E3"/>
    <w:rsid w:val="008D067D"/>
    <w:rsid w:val="008D12C5"/>
    <w:rsid w:val="008D1659"/>
    <w:rsid w:val="008D202D"/>
    <w:rsid w:val="008D2A71"/>
    <w:rsid w:val="008D2A88"/>
    <w:rsid w:val="008D3331"/>
    <w:rsid w:val="008D334E"/>
    <w:rsid w:val="008D390D"/>
    <w:rsid w:val="008D3B48"/>
    <w:rsid w:val="008D3E9A"/>
    <w:rsid w:val="008D5072"/>
    <w:rsid w:val="008D5946"/>
    <w:rsid w:val="008D5DFB"/>
    <w:rsid w:val="008D6007"/>
    <w:rsid w:val="008D630C"/>
    <w:rsid w:val="008D669A"/>
    <w:rsid w:val="008D6A79"/>
    <w:rsid w:val="008D6E51"/>
    <w:rsid w:val="008D730B"/>
    <w:rsid w:val="008D74CA"/>
    <w:rsid w:val="008D7B89"/>
    <w:rsid w:val="008D7D93"/>
    <w:rsid w:val="008E01DE"/>
    <w:rsid w:val="008E0701"/>
    <w:rsid w:val="008E19F4"/>
    <w:rsid w:val="008E2051"/>
    <w:rsid w:val="008E2180"/>
    <w:rsid w:val="008E26DA"/>
    <w:rsid w:val="008E2B25"/>
    <w:rsid w:val="008E30E8"/>
    <w:rsid w:val="008E418B"/>
    <w:rsid w:val="008E4285"/>
    <w:rsid w:val="008E44D2"/>
    <w:rsid w:val="008E5DC9"/>
    <w:rsid w:val="008E5E1C"/>
    <w:rsid w:val="008E5E8D"/>
    <w:rsid w:val="008E6499"/>
    <w:rsid w:val="008E68F1"/>
    <w:rsid w:val="008E69FF"/>
    <w:rsid w:val="008E6CCE"/>
    <w:rsid w:val="008E6F95"/>
    <w:rsid w:val="008E74A4"/>
    <w:rsid w:val="008F0A59"/>
    <w:rsid w:val="008F0AE1"/>
    <w:rsid w:val="008F1804"/>
    <w:rsid w:val="008F2845"/>
    <w:rsid w:val="008F2B43"/>
    <w:rsid w:val="008F2C6F"/>
    <w:rsid w:val="008F34BB"/>
    <w:rsid w:val="008F367B"/>
    <w:rsid w:val="008F4544"/>
    <w:rsid w:val="008F466E"/>
    <w:rsid w:val="008F473B"/>
    <w:rsid w:val="008F486F"/>
    <w:rsid w:val="008F4A39"/>
    <w:rsid w:val="008F4FCD"/>
    <w:rsid w:val="008F5231"/>
    <w:rsid w:val="008F5D71"/>
    <w:rsid w:val="008F6C13"/>
    <w:rsid w:val="008F6C64"/>
    <w:rsid w:val="008F6C98"/>
    <w:rsid w:val="008F6CC6"/>
    <w:rsid w:val="008F726C"/>
    <w:rsid w:val="008F7943"/>
    <w:rsid w:val="008F7A1F"/>
    <w:rsid w:val="008F7D6E"/>
    <w:rsid w:val="0090054F"/>
    <w:rsid w:val="00901812"/>
    <w:rsid w:val="0090193B"/>
    <w:rsid w:val="0090193C"/>
    <w:rsid w:val="00902212"/>
    <w:rsid w:val="009036C1"/>
    <w:rsid w:val="0090384C"/>
    <w:rsid w:val="00904479"/>
    <w:rsid w:val="0090477D"/>
    <w:rsid w:val="00904DB3"/>
    <w:rsid w:val="00905598"/>
    <w:rsid w:val="00905A22"/>
    <w:rsid w:val="00905BB4"/>
    <w:rsid w:val="00905F1B"/>
    <w:rsid w:val="00911618"/>
    <w:rsid w:val="00911DB2"/>
    <w:rsid w:val="00911EB6"/>
    <w:rsid w:val="0091204A"/>
    <w:rsid w:val="0091213F"/>
    <w:rsid w:val="00912286"/>
    <w:rsid w:val="00912C7F"/>
    <w:rsid w:val="0091354D"/>
    <w:rsid w:val="00913D5F"/>
    <w:rsid w:val="00916327"/>
    <w:rsid w:val="00916C4F"/>
    <w:rsid w:val="0091717A"/>
    <w:rsid w:val="0091724B"/>
    <w:rsid w:val="0091732E"/>
    <w:rsid w:val="00917F9E"/>
    <w:rsid w:val="00920490"/>
    <w:rsid w:val="00920A7B"/>
    <w:rsid w:val="00920CA5"/>
    <w:rsid w:val="00921239"/>
    <w:rsid w:val="00921A5F"/>
    <w:rsid w:val="00921AE1"/>
    <w:rsid w:val="0092211F"/>
    <w:rsid w:val="0092278F"/>
    <w:rsid w:val="00922DD9"/>
    <w:rsid w:val="00922DFE"/>
    <w:rsid w:val="00923B7A"/>
    <w:rsid w:val="00923C23"/>
    <w:rsid w:val="00925373"/>
    <w:rsid w:val="00925643"/>
    <w:rsid w:val="009265E6"/>
    <w:rsid w:val="00926749"/>
    <w:rsid w:val="009277D5"/>
    <w:rsid w:val="00927C60"/>
    <w:rsid w:val="00930C05"/>
    <w:rsid w:val="00932556"/>
    <w:rsid w:val="00932674"/>
    <w:rsid w:val="00932BFA"/>
    <w:rsid w:val="00932D43"/>
    <w:rsid w:val="0093334E"/>
    <w:rsid w:val="009339B1"/>
    <w:rsid w:val="00933E2B"/>
    <w:rsid w:val="00933E72"/>
    <w:rsid w:val="00934965"/>
    <w:rsid w:val="009350BE"/>
    <w:rsid w:val="00936762"/>
    <w:rsid w:val="0093699A"/>
    <w:rsid w:val="009374B2"/>
    <w:rsid w:val="00937980"/>
    <w:rsid w:val="009379C4"/>
    <w:rsid w:val="00940628"/>
    <w:rsid w:val="00940FED"/>
    <w:rsid w:val="00941826"/>
    <w:rsid w:val="0094219B"/>
    <w:rsid w:val="009423F6"/>
    <w:rsid w:val="00942AC0"/>
    <w:rsid w:val="0094361E"/>
    <w:rsid w:val="00943C1E"/>
    <w:rsid w:val="00944B61"/>
    <w:rsid w:val="0094600E"/>
    <w:rsid w:val="00946020"/>
    <w:rsid w:val="009468CF"/>
    <w:rsid w:val="0094712B"/>
    <w:rsid w:val="00947559"/>
    <w:rsid w:val="0094759E"/>
    <w:rsid w:val="009475D2"/>
    <w:rsid w:val="00947A05"/>
    <w:rsid w:val="00947DCE"/>
    <w:rsid w:val="00950207"/>
    <w:rsid w:val="00950B0D"/>
    <w:rsid w:val="00950DF3"/>
    <w:rsid w:val="009512D2"/>
    <w:rsid w:val="00951F0D"/>
    <w:rsid w:val="00952E9C"/>
    <w:rsid w:val="00954CD1"/>
    <w:rsid w:val="00955B11"/>
    <w:rsid w:val="00955BD3"/>
    <w:rsid w:val="00955E9D"/>
    <w:rsid w:val="0095678C"/>
    <w:rsid w:val="009568FB"/>
    <w:rsid w:val="00956E56"/>
    <w:rsid w:val="00957BA1"/>
    <w:rsid w:val="00960548"/>
    <w:rsid w:val="00960594"/>
    <w:rsid w:val="009607B8"/>
    <w:rsid w:val="00960ADF"/>
    <w:rsid w:val="00960FFB"/>
    <w:rsid w:val="009613C6"/>
    <w:rsid w:val="009614B4"/>
    <w:rsid w:val="009618B1"/>
    <w:rsid w:val="00961CD6"/>
    <w:rsid w:val="009624F1"/>
    <w:rsid w:val="009626B2"/>
    <w:rsid w:val="0096282F"/>
    <w:rsid w:val="00962916"/>
    <w:rsid w:val="00963272"/>
    <w:rsid w:val="0096357E"/>
    <w:rsid w:val="00963B04"/>
    <w:rsid w:val="00964F90"/>
    <w:rsid w:val="009652E5"/>
    <w:rsid w:val="00965AAC"/>
    <w:rsid w:val="00965B6F"/>
    <w:rsid w:val="0096673F"/>
    <w:rsid w:val="00966966"/>
    <w:rsid w:val="00966E31"/>
    <w:rsid w:val="0096713E"/>
    <w:rsid w:val="00967497"/>
    <w:rsid w:val="009676F7"/>
    <w:rsid w:val="00967734"/>
    <w:rsid w:val="009705E8"/>
    <w:rsid w:val="0097101F"/>
    <w:rsid w:val="0097109B"/>
    <w:rsid w:val="00971C1B"/>
    <w:rsid w:val="00971E53"/>
    <w:rsid w:val="009726F7"/>
    <w:rsid w:val="00972851"/>
    <w:rsid w:val="009734AB"/>
    <w:rsid w:val="00973F80"/>
    <w:rsid w:val="0097439E"/>
    <w:rsid w:val="00975723"/>
    <w:rsid w:val="009768DA"/>
    <w:rsid w:val="00976B58"/>
    <w:rsid w:val="00977D9D"/>
    <w:rsid w:val="0098095F"/>
    <w:rsid w:val="00980C31"/>
    <w:rsid w:val="00981272"/>
    <w:rsid w:val="00981346"/>
    <w:rsid w:val="0098148F"/>
    <w:rsid w:val="00981528"/>
    <w:rsid w:val="00981B40"/>
    <w:rsid w:val="00981DB1"/>
    <w:rsid w:val="0098297C"/>
    <w:rsid w:val="00982A4A"/>
    <w:rsid w:val="009832C9"/>
    <w:rsid w:val="00983577"/>
    <w:rsid w:val="00983638"/>
    <w:rsid w:val="00983A3D"/>
    <w:rsid w:val="009842CC"/>
    <w:rsid w:val="009842D8"/>
    <w:rsid w:val="009845CE"/>
    <w:rsid w:val="00985801"/>
    <w:rsid w:val="00985A2F"/>
    <w:rsid w:val="0098612F"/>
    <w:rsid w:val="00986EE5"/>
    <w:rsid w:val="00986F0C"/>
    <w:rsid w:val="009873C2"/>
    <w:rsid w:val="0099034A"/>
    <w:rsid w:val="0099096A"/>
    <w:rsid w:val="00991847"/>
    <w:rsid w:val="00991D74"/>
    <w:rsid w:val="00992598"/>
    <w:rsid w:val="00992834"/>
    <w:rsid w:val="00992C8C"/>
    <w:rsid w:val="00993D55"/>
    <w:rsid w:val="009941A7"/>
    <w:rsid w:val="00994F85"/>
    <w:rsid w:val="0099550E"/>
    <w:rsid w:val="0099660F"/>
    <w:rsid w:val="00996EA3"/>
    <w:rsid w:val="00997025"/>
    <w:rsid w:val="009979CE"/>
    <w:rsid w:val="009A00DB"/>
    <w:rsid w:val="009A0A16"/>
    <w:rsid w:val="009A0FF6"/>
    <w:rsid w:val="009A17A5"/>
    <w:rsid w:val="009A25E8"/>
    <w:rsid w:val="009A2944"/>
    <w:rsid w:val="009A2A0F"/>
    <w:rsid w:val="009A3884"/>
    <w:rsid w:val="009A3B5A"/>
    <w:rsid w:val="009A409D"/>
    <w:rsid w:val="009A48F2"/>
    <w:rsid w:val="009A4DDC"/>
    <w:rsid w:val="009A4F59"/>
    <w:rsid w:val="009A4F96"/>
    <w:rsid w:val="009A5193"/>
    <w:rsid w:val="009A5E89"/>
    <w:rsid w:val="009A6595"/>
    <w:rsid w:val="009A7232"/>
    <w:rsid w:val="009A73DF"/>
    <w:rsid w:val="009A7508"/>
    <w:rsid w:val="009A7A44"/>
    <w:rsid w:val="009B0522"/>
    <w:rsid w:val="009B1004"/>
    <w:rsid w:val="009B118E"/>
    <w:rsid w:val="009B2189"/>
    <w:rsid w:val="009B21DF"/>
    <w:rsid w:val="009B239E"/>
    <w:rsid w:val="009B23C9"/>
    <w:rsid w:val="009B28E3"/>
    <w:rsid w:val="009B2AA1"/>
    <w:rsid w:val="009B3B4A"/>
    <w:rsid w:val="009B4227"/>
    <w:rsid w:val="009B4626"/>
    <w:rsid w:val="009B4887"/>
    <w:rsid w:val="009B4EEC"/>
    <w:rsid w:val="009B4FB7"/>
    <w:rsid w:val="009B5BB5"/>
    <w:rsid w:val="009B645E"/>
    <w:rsid w:val="009B6B75"/>
    <w:rsid w:val="009B6E66"/>
    <w:rsid w:val="009B75D9"/>
    <w:rsid w:val="009B7D40"/>
    <w:rsid w:val="009C02C7"/>
    <w:rsid w:val="009C0805"/>
    <w:rsid w:val="009C0ACD"/>
    <w:rsid w:val="009C1425"/>
    <w:rsid w:val="009C1737"/>
    <w:rsid w:val="009C1984"/>
    <w:rsid w:val="009C19EF"/>
    <w:rsid w:val="009C42BE"/>
    <w:rsid w:val="009C477A"/>
    <w:rsid w:val="009C47B1"/>
    <w:rsid w:val="009C487F"/>
    <w:rsid w:val="009C48F2"/>
    <w:rsid w:val="009C50AB"/>
    <w:rsid w:val="009C5689"/>
    <w:rsid w:val="009C60B1"/>
    <w:rsid w:val="009C749C"/>
    <w:rsid w:val="009C790D"/>
    <w:rsid w:val="009C7D4E"/>
    <w:rsid w:val="009D0580"/>
    <w:rsid w:val="009D0674"/>
    <w:rsid w:val="009D0910"/>
    <w:rsid w:val="009D0BE7"/>
    <w:rsid w:val="009D1263"/>
    <w:rsid w:val="009D12D7"/>
    <w:rsid w:val="009D1948"/>
    <w:rsid w:val="009D1F1C"/>
    <w:rsid w:val="009D2D4A"/>
    <w:rsid w:val="009D3059"/>
    <w:rsid w:val="009D3214"/>
    <w:rsid w:val="009D3BC0"/>
    <w:rsid w:val="009D3FFC"/>
    <w:rsid w:val="009D443E"/>
    <w:rsid w:val="009D4AB0"/>
    <w:rsid w:val="009D4DAF"/>
    <w:rsid w:val="009D52A6"/>
    <w:rsid w:val="009D52D9"/>
    <w:rsid w:val="009D5487"/>
    <w:rsid w:val="009D5781"/>
    <w:rsid w:val="009D585A"/>
    <w:rsid w:val="009D663C"/>
    <w:rsid w:val="009D6854"/>
    <w:rsid w:val="009D7388"/>
    <w:rsid w:val="009D749F"/>
    <w:rsid w:val="009D76DB"/>
    <w:rsid w:val="009D7908"/>
    <w:rsid w:val="009D798C"/>
    <w:rsid w:val="009D7ACB"/>
    <w:rsid w:val="009D7B3E"/>
    <w:rsid w:val="009E00FA"/>
    <w:rsid w:val="009E0CB9"/>
    <w:rsid w:val="009E0F8A"/>
    <w:rsid w:val="009E1CC4"/>
    <w:rsid w:val="009E1DB2"/>
    <w:rsid w:val="009E26CC"/>
    <w:rsid w:val="009E2880"/>
    <w:rsid w:val="009E31C4"/>
    <w:rsid w:val="009E362C"/>
    <w:rsid w:val="009E365F"/>
    <w:rsid w:val="009E5B30"/>
    <w:rsid w:val="009E6717"/>
    <w:rsid w:val="009E6E86"/>
    <w:rsid w:val="009E70DC"/>
    <w:rsid w:val="009E7312"/>
    <w:rsid w:val="009E7BBC"/>
    <w:rsid w:val="009E7BF6"/>
    <w:rsid w:val="009E7FBF"/>
    <w:rsid w:val="009F0507"/>
    <w:rsid w:val="009F0668"/>
    <w:rsid w:val="009F1527"/>
    <w:rsid w:val="009F199F"/>
    <w:rsid w:val="009F2150"/>
    <w:rsid w:val="009F2A1D"/>
    <w:rsid w:val="009F2D09"/>
    <w:rsid w:val="009F304E"/>
    <w:rsid w:val="009F36ED"/>
    <w:rsid w:val="009F3D45"/>
    <w:rsid w:val="009F40E2"/>
    <w:rsid w:val="009F41D1"/>
    <w:rsid w:val="009F46B8"/>
    <w:rsid w:val="009F4874"/>
    <w:rsid w:val="009F4E1A"/>
    <w:rsid w:val="009F5301"/>
    <w:rsid w:val="009F5799"/>
    <w:rsid w:val="009F68EC"/>
    <w:rsid w:val="009F750A"/>
    <w:rsid w:val="009F769E"/>
    <w:rsid w:val="009F790F"/>
    <w:rsid w:val="009F7AEE"/>
    <w:rsid w:val="00A0043F"/>
    <w:rsid w:val="00A0045F"/>
    <w:rsid w:val="00A00534"/>
    <w:rsid w:val="00A00816"/>
    <w:rsid w:val="00A0129B"/>
    <w:rsid w:val="00A01827"/>
    <w:rsid w:val="00A0192B"/>
    <w:rsid w:val="00A01AD6"/>
    <w:rsid w:val="00A01CF5"/>
    <w:rsid w:val="00A01D2A"/>
    <w:rsid w:val="00A01D76"/>
    <w:rsid w:val="00A01F0E"/>
    <w:rsid w:val="00A02421"/>
    <w:rsid w:val="00A024F2"/>
    <w:rsid w:val="00A02816"/>
    <w:rsid w:val="00A02DD1"/>
    <w:rsid w:val="00A03741"/>
    <w:rsid w:val="00A037CC"/>
    <w:rsid w:val="00A03C1D"/>
    <w:rsid w:val="00A03FD7"/>
    <w:rsid w:val="00A04F58"/>
    <w:rsid w:val="00A05343"/>
    <w:rsid w:val="00A05615"/>
    <w:rsid w:val="00A0562B"/>
    <w:rsid w:val="00A05CA0"/>
    <w:rsid w:val="00A06127"/>
    <w:rsid w:val="00A064B6"/>
    <w:rsid w:val="00A07204"/>
    <w:rsid w:val="00A07341"/>
    <w:rsid w:val="00A102B1"/>
    <w:rsid w:val="00A10A7D"/>
    <w:rsid w:val="00A10FE2"/>
    <w:rsid w:val="00A1147D"/>
    <w:rsid w:val="00A118F1"/>
    <w:rsid w:val="00A11E5D"/>
    <w:rsid w:val="00A12474"/>
    <w:rsid w:val="00A12732"/>
    <w:rsid w:val="00A128EF"/>
    <w:rsid w:val="00A13737"/>
    <w:rsid w:val="00A14324"/>
    <w:rsid w:val="00A153AB"/>
    <w:rsid w:val="00A155E1"/>
    <w:rsid w:val="00A155F9"/>
    <w:rsid w:val="00A15D41"/>
    <w:rsid w:val="00A15E2C"/>
    <w:rsid w:val="00A16788"/>
    <w:rsid w:val="00A16790"/>
    <w:rsid w:val="00A175EA"/>
    <w:rsid w:val="00A20442"/>
    <w:rsid w:val="00A21006"/>
    <w:rsid w:val="00A223BF"/>
    <w:rsid w:val="00A22C0F"/>
    <w:rsid w:val="00A22C9C"/>
    <w:rsid w:val="00A23164"/>
    <w:rsid w:val="00A23975"/>
    <w:rsid w:val="00A23A31"/>
    <w:rsid w:val="00A23E27"/>
    <w:rsid w:val="00A240E5"/>
    <w:rsid w:val="00A25851"/>
    <w:rsid w:val="00A25F7B"/>
    <w:rsid w:val="00A30C17"/>
    <w:rsid w:val="00A3116B"/>
    <w:rsid w:val="00A3176B"/>
    <w:rsid w:val="00A318D3"/>
    <w:rsid w:val="00A32580"/>
    <w:rsid w:val="00A32622"/>
    <w:rsid w:val="00A3405D"/>
    <w:rsid w:val="00A34BD0"/>
    <w:rsid w:val="00A34F9B"/>
    <w:rsid w:val="00A35802"/>
    <w:rsid w:val="00A3664F"/>
    <w:rsid w:val="00A36828"/>
    <w:rsid w:val="00A36B70"/>
    <w:rsid w:val="00A36EC4"/>
    <w:rsid w:val="00A37646"/>
    <w:rsid w:val="00A4048E"/>
    <w:rsid w:val="00A4059C"/>
    <w:rsid w:val="00A40E16"/>
    <w:rsid w:val="00A4133B"/>
    <w:rsid w:val="00A41B8A"/>
    <w:rsid w:val="00A42276"/>
    <w:rsid w:val="00A422C2"/>
    <w:rsid w:val="00A42636"/>
    <w:rsid w:val="00A427B5"/>
    <w:rsid w:val="00A428B2"/>
    <w:rsid w:val="00A42AFC"/>
    <w:rsid w:val="00A42FC5"/>
    <w:rsid w:val="00A436D7"/>
    <w:rsid w:val="00A43C92"/>
    <w:rsid w:val="00A44092"/>
    <w:rsid w:val="00A4451D"/>
    <w:rsid w:val="00A4576B"/>
    <w:rsid w:val="00A462C3"/>
    <w:rsid w:val="00A46595"/>
    <w:rsid w:val="00A46CDE"/>
    <w:rsid w:val="00A46F4C"/>
    <w:rsid w:val="00A5006D"/>
    <w:rsid w:val="00A50391"/>
    <w:rsid w:val="00A50A39"/>
    <w:rsid w:val="00A51897"/>
    <w:rsid w:val="00A525A0"/>
    <w:rsid w:val="00A52A01"/>
    <w:rsid w:val="00A52C79"/>
    <w:rsid w:val="00A53759"/>
    <w:rsid w:val="00A538E4"/>
    <w:rsid w:val="00A53D33"/>
    <w:rsid w:val="00A548C1"/>
    <w:rsid w:val="00A5508E"/>
    <w:rsid w:val="00A558B0"/>
    <w:rsid w:val="00A56529"/>
    <w:rsid w:val="00A56839"/>
    <w:rsid w:val="00A568D9"/>
    <w:rsid w:val="00A5728F"/>
    <w:rsid w:val="00A575E6"/>
    <w:rsid w:val="00A57B87"/>
    <w:rsid w:val="00A57F21"/>
    <w:rsid w:val="00A601A3"/>
    <w:rsid w:val="00A60977"/>
    <w:rsid w:val="00A60B57"/>
    <w:rsid w:val="00A60D9B"/>
    <w:rsid w:val="00A60E23"/>
    <w:rsid w:val="00A61EB7"/>
    <w:rsid w:val="00A642AF"/>
    <w:rsid w:val="00A646EC"/>
    <w:rsid w:val="00A651E9"/>
    <w:rsid w:val="00A656FD"/>
    <w:rsid w:val="00A66438"/>
    <w:rsid w:val="00A66B8C"/>
    <w:rsid w:val="00A66F4A"/>
    <w:rsid w:val="00A6783E"/>
    <w:rsid w:val="00A67987"/>
    <w:rsid w:val="00A7132B"/>
    <w:rsid w:val="00A716F9"/>
    <w:rsid w:val="00A7173E"/>
    <w:rsid w:val="00A725A7"/>
    <w:rsid w:val="00A72FE3"/>
    <w:rsid w:val="00A744A2"/>
    <w:rsid w:val="00A74531"/>
    <w:rsid w:val="00A751C1"/>
    <w:rsid w:val="00A75244"/>
    <w:rsid w:val="00A76521"/>
    <w:rsid w:val="00A76707"/>
    <w:rsid w:val="00A76FE1"/>
    <w:rsid w:val="00A7719D"/>
    <w:rsid w:val="00A80455"/>
    <w:rsid w:val="00A8080B"/>
    <w:rsid w:val="00A810E9"/>
    <w:rsid w:val="00A81B84"/>
    <w:rsid w:val="00A82B51"/>
    <w:rsid w:val="00A843B5"/>
    <w:rsid w:val="00A84F2A"/>
    <w:rsid w:val="00A85085"/>
    <w:rsid w:val="00A85C00"/>
    <w:rsid w:val="00A863F0"/>
    <w:rsid w:val="00A863F7"/>
    <w:rsid w:val="00A87F79"/>
    <w:rsid w:val="00A91978"/>
    <w:rsid w:val="00A92232"/>
    <w:rsid w:val="00A92464"/>
    <w:rsid w:val="00A92871"/>
    <w:rsid w:val="00A92ACD"/>
    <w:rsid w:val="00A92EB3"/>
    <w:rsid w:val="00A93A14"/>
    <w:rsid w:val="00A93B19"/>
    <w:rsid w:val="00A93C8B"/>
    <w:rsid w:val="00A93FBA"/>
    <w:rsid w:val="00A948D6"/>
    <w:rsid w:val="00A954C0"/>
    <w:rsid w:val="00A960A3"/>
    <w:rsid w:val="00A968D2"/>
    <w:rsid w:val="00A973E2"/>
    <w:rsid w:val="00A9741C"/>
    <w:rsid w:val="00A97428"/>
    <w:rsid w:val="00A97591"/>
    <w:rsid w:val="00A9763C"/>
    <w:rsid w:val="00A9775E"/>
    <w:rsid w:val="00A97894"/>
    <w:rsid w:val="00A97C8C"/>
    <w:rsid w:val="00A97DA5"/>
    <w:rsid w:val="00AA00B6"/>
    <w:rsid w:val="00AA059E"/>
    <w:rsid w:val="00AA13E9"/>
    <w:rsid w:val="00AA1B86"/>
    <w:rsid w:val="00AA2192"/>
    <w:rsid w:val="00AA227C"/>
    <w:rsid w:val="00AA249C"/>
    <w:rsid w:val="00AA4149"/>
    <w:rsid w:val="00AA45FD"/>
    <w:rsid w:val="00AA5B37"/>
    <w:rsid w:val="00AA61C6"/>
    <w:rsid w:val="00AA63F2"/>
    <w:rsid w:val="00AA65CD"/>
    <w:rsid w:val="00AA67C8"/>
    <w:rsid w:val="00AA69FB"/>
    <w:rsid w:val="00AA741A"/>
    <w:rsid w:val="00AA7AB1"/>
    <w:rsid w:val="00AA7E48"/>
    <w:rsid w:val="00AB0322"/>
    <w:rsid w:val="00AB046A"/>
    <w:rsid w:val="00AB06F3"/>
    <w:rsid w:val="00AB1678"/>
    <w:rsid w:val="00AB1A49"/>
    <w:rsid w:val="00AB21B1"/>
    <w:rsid w:val="00AB308E"/>
    <w:rsid w:val="00AB3393"/>
    <w:rsid w:val="00AB3C7C"/>
    <w:rsid w:val="00AB421C"/>
    <w:rsid w:val="00AB43DC"/>
    <w:rsid w:val="00AB45B2"/>
    <w:rsid w:val="00AB45EA"/>
    <w:rsid w:val="00AB4AC3"/>
    <w:rsid w:val="00AB4EB0"/>
    <w:rsid w:val="00AB77B4"/>
    <w:rsid w:val="00AB797D"/>
    <w:rsid w:val="00AB7A24"/>
    <w:rsid w:val="00AB7A92"/>
    <w:rsid w:val="00AC0043"/>
    <w:rsid w:val="00AC08A8"/>
    <w:rsid w:val="00AC09A5"/>
    <w:rsid w:val="00AC0B61"/>
    <w:rsid w:val="00AC1320"/>
    <w:rsid w:val="00AC2E7D"/>
    <w:rsid w:val="00AC3118"/>
    <w:rsid w:val="00AC340F"/>
    <w:rsid w:val="00AC3970"/>
    <w:rsid w:val="00AC3999"/>
    <w:rsid w:val="00AC3EE5"/>
    <w:rsid w:val="00AC4187"/>
    <w:rsid w:val="00AC4635"/>
    <w:rsid w:val="00AC5258"/>
    <w:rsid w:val="00AC52A5"/>
    <w:rsid w:val="00AC59C7"/>
    <w:rsid w:val="00AC5AA4"/>
    <w:rsid w:val="00AC5E46"/>
    <w:rsid w:val="00AC6043"/>
    <w:rsid w:val="00AC6044"/>
    <w:rsid w:val="00AC6995"/>
    <w:rsid w:val="00AC6D5D"/>
    <w:rsid w:val="00AC72A7"/>
    <w:rsid w:val="00AC7900"/>
    <w:rsid w:val="00AC79A5"/>
    <w:rsid w:val="00AC7B04"/>
    <w:rsid w:val="00AD0815"/>
    <w:rsid w:val="00AD11DC"/>
    <w:rsid w:val="00AD1281"/>
    <w:rsid w:val="00AD1399"/>
    <w:rsid w:val="00AD1475"/>
    <w:rsid w:val="00AD1587"/>
    <w:rsid w:val="00AD26B9"/>
    <w:rsid w:val="00AD2DCE"/>
    <w:rsid w:val="00AD31B1"/>
    <w:rsid w:val="00AD3470"/>
    <w:rsid w:val="00AD347B"/>
    <w:rsid w:val="00AD5654"/>
    <w:rsid w:val="00AD5E28"/>
    <w:rsid w:val="00AD5F90"/>
    <w:rsid w:val="00AD6001"/>
    <w:rsid w:val="00AD6291"/>
    <w:rsid w:val="00AD64B7"/>
    <w:rsid w:val="00AD70FF"/>
    <w:rsid w:val="00AD73F3"/>
    <w:rsid w:val="00AE023E"/>
    <w:rsid w:val="00AE0878"/>
    <w:rsid w:val="00AE1800"/>
    <w:rsid w:val="00AE3C5C"/>
    <w:rsid w:val="00AE5428"/>
    <w:rsid w:val="00AE5695"/>
    <w:rsid w:val="00AE5AB4"/>
    <w:rsid w:val="00AE61B3"/>
    <w:rsid w:val="00AF0081"/>
    <w:rsid w:val="00AF0160"/>
    <w:rsid w:val="00AF048B"/>
    <w:rsid w:val="00AF0B2B"/>
    <w:rsid w:val="00AF2187"/>
    <w:rsid w:val="00AF2426"/>
    <w:rsid w:val="00AF28E2"/>
    <w:rsid w:val="00AF33D9"/>
    <w:rsid w:val="00AF386F"/>
    <w:rsid w:val="00AF3FDA"/>
    <w:rsid w:val="00AF41FB"/>
    <w:rsid w:val="00AF4599"/>
    <w:rsid w:val="00AF4D55"/>
    <w:rsid w:val="00AF508C"/>
    <w:rsid w:val="00AF50C1"/>
    <w:rsid w:val="00AF5A0B"/>
    <w:rsid w:val="00AF5D45"/>
    <w:rsid w:val="00AF5E96"/>
    <w:rsid w:val="00AF6B3B"/>
    <w:rsid w:val="00AF71E6"/>
    <w:rsid w:val="00AF7DF3"/>
    <w:rsid w:val="00B00355"/>
    <w:rsid w:val="00B013DA"/>
    <w:rsid w:val="00B01B1F"/>
    <w:rsid w:val="00B01DB6"/>
    <w:rsid w:val="00B01E57"/>
    <w:rsid w:val="00B02163"/>
    <w:rsid w:val="00B02E2C"/>
    <w:rsid w:val="00B04974"/>
    <w:rsid w:val="00B05229"/>
    <w:rsid w:val="00B058B7"/>
    <w:rsid w:val="00B071CC"/>
    <w:rsid w:val="00B075FD"/>
    <w:rsid w:val="00B07CA4"/>
    <w:rsid w:val="00B107BD"/>
    <w:rsid w:val="00B1083B"/>
    <w:rsid w:val="00B113BD"/>
    <w:rsid w:val="00B115BE"/>
    <w:rsid w:val="00B11928"/>
    <w:rsid w:val="00B1205C"/>
    <w:rsid w:val="00B12235"/>
    <w:rsid w:val="00B127EF"/>
    <w:rsid w:val="00B1287D"/>
    <w:rsid w:val="00B12A33"/>
    <w:rsid w:val="00B1308E"/>
    <w:rsid w:val="00B1420F"/>
    <w:rsid w:val="00B1590D"/>
    <w:rsid w:val="00B15DB9"/>
    <w:rsid w:val="00B168E7"/>
    <w:rsid w:val="00B16E2E"/>
    <w:rsid w:val="00B1722A"/>
    <w:rsid w:val="00B1779E"/>
    <w:rsid w:val="00B17A20"/>
    <w:rsid w:val="00B17A59"/>
    <w:rsid w:val="00B17C88"/>
    <w:rsid w:val="00B2038E"/>
    <w:rsid w:val="00B20767"/>
    <w:rsid w:val="00B212E1"/>
    <w:rsid w:val="00B21460"/>
    <w:rsid w:val="00B21ADC"/>
    <w:rsid w:val="00B223D6"/>
    <w:rsid w:val="00B22662"/>
    <w:rsid w:val="00B22BC7"/>
    <w:rsid w:val="00B22EF0"/>
    <w:rsid w:val="00B22FC1"/>
    <w:rsid w:val="00B23037"/>
    <w:rsid w:val="00B23948"/>
    <w:rsid w:val="00B23ACA"/>
    <w:rsid w:val="00B248C5"/>
    <w:rsid w:val="00B249EF"/>
    <w:rsid w:val="00B24B6E"/>
    <w:rsid w:val="00B25403"/>
    <w:rsid w:val="00B2551F"/>
    <w:rsid w:val="00B26C44"/>
    <w:rsid w:val="00B30380"/>
    <w:rsid w:val="00B30C04"/>
    <w:rsid w:val="00B312D3"/>
    <w:rsid w:val="00B31C35"/>
    <w:rsid w:val="00B32329"/>
    <w:rsid w:val="00B325EC"/>
    <w:rsid w:val="00B327EB"/>
    <w:rsid w:val="00B327FF"/>
    <w:rsid w:val="00B32931"/>
    <w:rsid w:val="00B33044"/>
    <w:rsid w:val="00B33170"/>
    <w:rsid w:val="00B336A2"/>
    <w:rsid w:val="00B339CC"/>
    <w:rsid w:val="00B33AA5"/>
    <w:rsid w:val="00B34D90"/>
    <w:rsid w:val="00B352CF"/>
    <w:rsid w:val="00B35816"/>
    <w:rsid w:val="00B35CCF"/>
    <w:rsid w:val="00B36951"/>
    <w:rsid w:val="00B3752C"/>
    <w:rsid w:val="00B37B33"/>
    <w:rsid w:val="00B37DCB"/>
    <w:rsid w:val="00B40CD3"/>
    <w:rsid w:val="00B40ED5"/>
    <w:rsid w:val="00B40FF2"/>
    <w:rsid w:val="00B41740"/>
    <w:rsid w:val="00B4247F"/>
    <w:rsid w:val="00B42A81"/>
    <w:rsid w:val="00B432D1"/>
    <w:rsid w:val="00B432F3"/>
    <w:rsid w:val="00B4381D"/>
    <w:rsid w:val="00B43B57"/>
    <w:rsid w:val="00B43BF5"/>
    <w:rsid w:val="00B43E20"/>
    <w:rsid w:val="00B44663"/>
    <w:rsid w:val="00B454D2"/>
    <w:rsid w:val="00B46A44"/>
    <w:rsid w:val="00B47989"/>
    <w:rsid w:val="00B47D98"/>
    <w:rsid w:val="00B50061"/>
    <w:rsid w:val="00B507EA"/>
    <w:rsid w:val="00B50831"/>
    <w:rsid w:val="00B5095C"/>
    <w:rsid w:val="00B50B3C"/>
    <w:rsid w:val="00B50D85"/>
    <w:rsid w:val="00B51FA4"/>
    <w:rsid w:val="00B52CA5"/>
    <w:rsid w:val="00B52D04"/>
    <w:rsid w:val="00B52FDA"/>
    <w:rsid w:val="00B53079"/>
    <w:rsid w:val="00B53092"/>
    <w:rsid w:val="00B53C6B"/>
    <w:rsid w:val="00B54921"/>
    <w:rsid w:val="00B55513"/>
    <w:rsid w:val="00B56030"/>
    <w:rsid w:val="00B56566"/>
    <w:rsid w:val="00B5677A"/>
    <w:rsid w:val="00B5684B"/>
    <w:rsid w:val="00B5712B"/>
    <w:rsid w:val="00B57780"/>
    <w:rsid w:val="00B609A1"/>
    <w:rsid w:val="00B610AD"/>
    <w:rsid w:val="00B61A09"/>
    <w:rsid w:val="00B61E68"/>
    <w:rsid w:val="00B62080"/>
    <w:rsid w:val="00B62308"/>
    <w:rsid w:val="00B626CE"/>
    <w:rsid w:val="00B6303D"/>
    <w:rsid w:val="00B630D3"/>
    <w:rsid w:val="00B633CD"/>
    <w:rsid w:val="00B647E0"/>
    <w:rsid w:val="00B65149"/>
    <w:rsid w:val="00B651F1"/>
    <w:rsid w:val="00B65228"/>
    <w:rsid w:val="00B6590C"/>
    <w:rsid w:val="00B65B80"/>
    <w:rsid w:val="00B65E48"/>
    <w:rsid w:val="00B6643E"/>
    <w:rsid w:val="00B66A52"/>
    <w:rsid w:val="00B66CF7"/>
    <w:rsid w:val="00B67318"/>
    <w:rsid w:val="00B677B9"/>
    <w:rsid w:val="00B6783A"/>
    <w:rsid w:val="00B67B26"/>
    <w:rsid w:val="00B700AC"/>
    <w:rsid w:val="00B70505"/>
    <w:rsid w:val="00B70B36"/>
    <w:rsid w:val="00B712C0"/>
    <w:rsid w:val="00B718CF"/>
    <w:rsid w:val="00B71DD8"/>
    <w:rsid w:val="00B71DEA"/>
    <w:rsid w:val="00B7419E"/>
    <w:rsid w:val="00B741EB"/>
    <w:rsid w:val="00B74382"/>
    <w:rsid w:val="00B75190"/>
    <w:rsid w:val="00B75674"/>
    <w:rsid w:val="00B75779"/>
    <w:rsid w:val="00B76481"/>
    <w:rsid w:val="00B769B6"/>
    <w:rsid w:val="00B76AFD"/>
    <w:rsid w:val="00B76E51"/>
    <w:rsid w:val="00B77529"/>
    <w:rsid w:val="00B7765B"/>
    <w:rsid w:val="00B777CD"/>
    <w:rsid w:val="00B824EF"/>
    <w:rsid w:val="00B8272B"/>
    <w:rsid w:val="00B8299B"/>
    <w:rsid w:val="00B82A50"/>
    <w:rsid w:val="00B82ACC"/>
    <w:rsid w:val="00B834BF"/>
    <w:rsid w:val="00B83512"/>
    <w:rsid w:val="00B8372E"/>
    <w:rsid w:val="00B83DD6"/>
    <w:rsid w:val="00B8558B"/>
    <w:rsid w:val="00B859FC"/>
    <w:rsid w:val="00B85D87"/>
    <w:rsid w:val="00B86E81"/>
    <w:rsid w:val="00B86FEC"/>
    <w:rsid w:val="00B875BA"/>
    <w:rsid w:val="00B8767F"/>
    <w:rsid w:val="00B87F03"/>
    <w:rsid w:val="00B87F62"/>
    <w:rsid w:val="00B90B26"/>
    <w:rsid w:val="00B90BD3"/>
    <w:rsid w:val="00B90C2A"/>
    <w:rsid w:val="00B90E78"/>
    <w:rsid w:val="00B91665"/>
    <w:rsid w:val="00B92C05"/>
    <w:rsid w:val="00B92F72"/>
    <w:rsid w:val="00B94C0B"/>
    <w:rsid w:val="00B94F7A"/>
    <w:rsid w:val="00B95462"/>
    <w:rsid w:val="00B95476"/>
    <w:rsid w:val="00B958AB"/>
    <w:rsid w:val="00B96944"/>
    <w:rsid w:val="00B96A16"/>
    <w:rsid w:val="00B96E12"/>
    <w:rsid w:val="00B96E89"/>
    <w:rsid w:val="00B9709B"/>
    <w:rsid w:val="00B97387"/>
    <w:rsid w:val="00B97756"/>
    <w:rsid w:val="00B97D5C"/>
    <w:rsid w:val="00B97DA2"/>
    <w:rsid w:val="00BA02FD"/>
    <w:rsid w:val="00BA03CD"/>
    <w:rsid w:val="00BA0F61"/>
    <w:rsid w:val="00BA213F"/>
    <w:rsid w:val="00BA224B"/>
    <w:rsid w:val="00BA34EA"/>
    <w:rsid w:val="00BA387A"/>
    <w:rsid w:val="00BA43C2"/>
    <w:rsid w:val="00BA45DF"/>
    <w:rsid w:val="00BA49BF"/>
    <w:rsid w:val="00BA4DC1"/>
    <w:rsid w:val="00BA56A1"/>
    <w:rsid w:val="00BA6307"/>
    <w:rsid w:val="00BA6614"/>
    <w:rsid w:val="00BA67E3"/>
    <w:rsid w:val="00BB0157"/>
    <w:rsid w:val="00BB01BC"/>
    <w:rsid w:val="00BB06D8"/>
    <w:rsid w:val="00BB1020"/>
    <w:rsid w:val="00BB14E7"/>
    <w:rsid w:val="00BB19C8"/>
    <w:rsid w:val="00BB220F"/>
    <w:rsid w:val="00BB310C"/>
    <w:rsid w:val="00BB383B"/>
    <w:rsid w:val="00BB3F21"/>
    <w:rsid w:val="00BB5309"/>
    <w:rsid w:val="00BB5D92"/>
    <w:rsid w:val="00BB5F9E"/>
    <w:rsid w:val="00BB60D2"/>
    <w:rsid w:val="00BB655A"/>
    <w:rsid w:val="00BB6812"/>
    <w:rsid w:val="00BB698A"/>
    <w:rsid w:val="00BB6C55"/>
    <w:rsid w:val="00BB742D"/>
    <w:rsid w:val="00BB75E0"/>
    <w:rsid w:val="00BC0189"/>
    <w:rsid w:val="00BC039F"/>
    <w:rsid w:val="00BC05F8"/>
    <w:rsid w:val="00BC08AE"/>
    <w:rsid w:val="00BC0BCC"/>
    <w:rsid w:val="00BC0F67"/>
    <w:rsid w:val="00BC232A"/>
    <w:rsid w:val="00BC34CA"/>
    <w:rsid w:val="00BC392E"/>
    <w:rsid w:val="00BC4857"/>
    <w:rsid w:val="00BC4A7B"/>
    <w:rsid w:val="00BC4A98"/>
    <w:rsid w:val="00BC4B83"/>
    <w:rsid w:val="00BC5067"/>
    <w:rsid w:val="00BC5575"/>
    <w:rsid w:val="00BC56E5"/>
    <w:rsid w:val="00BC5BAA"/>
    <w:rsid w:val="00BC7178"/>
    <w:rsid w:val="00BC7336"/>
    <w:rsid w:val="00BD0873"/>
    <w:rsid w:val="00BD088A"/>
    <w:rsid w:val="00BD1481"/>
    <w:rsid w:val="00BD19F1"/>
    <w:rsid w:val="00BD1F07"/>
    <w:rsid w:val="00BD21BF"/>
    <w:rsid w:val="00BD2219"/>
    <w:rsid w:val="00BD2259"/>
    <w:rsid w:val="00BD22AC"/>
    <w:rsid w:val="00BD28F2"/>
    <w:rsid w:val="00BD331A"/>
    <w:rsid w:val="00BD37B4"/>
    <w:rsid w:val="00BD37EF"/>
    <w:rsid w:val="00BD4086"/>
    <w:rsid w:val="00BD423B"/>
    <w:rsid w:val="00BD5270"/>
    <w:rsid w:val="00BD5625"/>
    <w:rsid w:val="00BD6373"/>
    <w:rsid w:val="00BD6946"/>
    <w:rsid w:val="00BD6C96"/>
    <w:rsid w:val="00BE0F24"/>
    <w:rsid w:val="00BE1D57"/>
    <w:rsid w:val="00BE1E9F"/>
    <w:rsid w:val="00BE1EDA"/>
    <w:rsid w:val="00BE2C37"/>
    <w:rsid w:val="00BE4CCC"/>
    <w:rsid w:val="00BE4CDD"/>
    <w:rsid w:val="00BE4F61"/>
    <w:rsid w:val="00BE53AA"/>
    <w:rsid w:val="00BE571D"/>
    <w:rsid w:val="00BE61D7"/>
    <w:rsid w:val="00BE6300"/>
    <w:rsid w:val="00BE6965"/>
    <w:rsid w:val="00BE6CB4"/>
    <w:rsid w:val="00BE73C5"/>
    <w:rsid w:val="00BF03CA"/>
    <w:rsid w:val="00BF03E1"/>
    <w:rsid w:val="00BF08BC"/>
    <w:rsid w:val="00BF0E4D"/>
    <w:rsid w:val="00BF12EF"/>
    <w:rsid w:val="00BF2534"/>
    <w:rsid w:val="00BF2E44"/>
    <w:rsid w:val="00BF3039"/>
    <w:rsid w:val="00BF3499"/>
    <w:rsid w:val="00BF3A09"/>
    <w:rsid w:val="00BF3A9E"/>
    <w:rsid w:val="00BF3B9C"/>
    <w:rsid w:val="00BF4F8E"/>
    <w:rsid w:val="00BF4FDD"/>
    <w:rsid w:val="00BF6184"/>
    <w:rsid w:val="00BF687C"/>
    <w:rsid w:val="00BF6BB5"/>
    <w:rsid w:val="00C00CBB"/>
    <w:rsid w:val="00C01558"/>
    <w:rsid w:val="00C01A74"/>
    <w:rsid w:val="00C01E56"/>
    <w:rsid w:val="00C01F73"/>
    <w:rsid w:val="00C0277E"/>
    <w:rsid w:val="00C02AC2"/>
    <w:rsid w:val="00C03BEC"/>
    <w:rsid w:val="00C043A5"/>
    <w:rsid w:val="00C04656"/>
    <w:rsid w:val="00C0515C"/>
    <w:rsid w:val="00C058E5"/>
    <w:rsid w:val="00C05BE9"/>
    <w:rsid w:val="00C05C12"/>
    <w:rsid w:val="00C05CA2"/>
    <w:rsid w:val="00C065F9"/>
    <w:rsid w:val="00C0665E"/>
    <w:rsid w:val="00C075E0"/>
    <w:rsid w:val="00C07A65"/>
    <w:rsid w:val="00C07AD3"/>
    <w:rsid w:val="00C108A5"/>
    <w:rsid w:val="00C1119D"/>
    <w:rsid w:val="00C113AF"/>
    <w:rsid w:val="00C11525"/>
    <w:rsid w:val="00C11932"/>
    <w:rsid w:val="00C1249B"/>
    <w:rsid w:val="00C1286A"/>
    <w:rsid w:val="00C14540"/>
    <w:rsid w:val="00C1473C"/>
    <w:rsid w:val="00C14994"/>
    <w:rsid w:val="00C149D6"/>
    <w:rsid w:val="00C15B8C"/>
    <w:rsid w:val="00C15F8F"/>
    <w:rsid w:val="00C167C7"/>
    <w:rsid w:val="00C16BC0"/>
    <w:rsid w:val="00C17B39"/>
    <w:rsid w:val="00C203C7"/>
    <w:rsid w:val="00C2093C"/>
    <w:rsid w:val="00C209B1"/>
    <w:rsid w:val="00C21134"/>
    <w:rsid w:val="00C21F71"/>
    <w:rsid w:val="00C22418"/>
    <w:rsid w:val="00C22993"/>
    <w:rsid w:val="00C24532"/>
    <w:rsid w:val="00C25679"/>
    <w:rsid w:val="00C2592A"/>
    <w:rsid w:val="00C25BFE"/>
    <w:rsid w:val="00C25EB2"/>
    <w:rsid w:val="00C26104"/>
    <w:rsid w:val="00C27A59"/>
    <w:rsid w:val="00C27B74"/>
    <w:rsid w:val="00C30848"/>
    <w:rsid w:val="00C308A4"/>
    <w:rsid w:val="00C30B33"/>
    <w:rsid w:val="00C30F4C"/>
    <w:rsid w:val="00C3189D"/>
    <w:rsid w:val="00C31CAD"/>
    <w:rsid w:val="00C31FF7"/>
    <w:rsid w:val="00C32C69"/>
    <w:rsid w:val="00C32FFE"/>
    <w:rsid w:val="00C33063"/>
    <w:rsid w:val="00C3319F"/>
    <w:rsid w:val="00C33B11"/>
    <w:rsid w:val="00C33F47"/>
    <w:rsid w:val="00C3465D"/>
    <w:rsid w:val="00C34A0D"/>
    <w:rsid w:val="00C34D85"/>
    <w:rsid w:val="00C36524"/>
    <w:rsid w:val="00C36932"/>
    <w:rsid w:val="00C36B08"/>
    <w:rsid w:val="00C36EFE"/>
    <w:rsid w:val="00C37145"/>
    <w:rsid w:val="00C3735E"/>
    <w:rsid w:val="00C374E1"/>
    <w:rsid w:val="00C37B9F"/>
    <w:rsid w:val="00C37C0E"/>
    <w:rsid w:val="00C37C7D"/>
    <w:rsid w:val="00C37FF6"/>
    <w:rsid w:val="00C40168"/>
    <w:rsid w:val="00C40807"/>
    <w:rsid w:val="00C4120E"/>
    <w:rsid w:val="00C41366"/>
    <w:rsid w:val="00C4162F"/>
    <w:rsid w:val="00C41801"/>
    <w:rsid w:val="00C41FAD"/>
    <w:rsid w:val="00C424AE"/>
    <w:rsid w:val="00C4256B"/>
    <w:rsid w:val="00C427CA"/>
    <w:rsid w:val="00C430C5"/>
    <w:rsid w:val="00C43355"/>
    <w:rsid w:val="00C43D9E"/>
    <w:rsid w:val="00C4473E"/>
    <w:rsid w:val="00C455FF"/>
    <w:rsid w:val="00C46150"/>
    <w:rsid w:val="00C46458"/>
    <w:rsid w:val="00C4743F"/>
    <w:rsid w:val="00C50958"/>
    <w:rsid w:val="00C5332C"/>
    <w:rsid w:val="00C55214"/>
    <w:rsid w:val="00C55A95"/>
    <w:rsid w:val="00C55CD4"/>
    <w:rsid w:val="00C569E8"/>
    <w:rsid w:val="00C56FC5"/>
    <w:rsid w:val="00C60101"/>
    <w:rsid w:val="00C60B24"/>
    <w:rsid w:val="00C623C6"/>
    <w:rsid w:val="00C6293D"/>
    <w:rsid w:val="00C62CB4"/>
    <w:rsid w:val="00C63C1C"/>
    <w:rsid w:val="00C63E39"/>
    <w:rsid w:val="00C64259"/>
    <w:rsid w:val="00C65201"/>
    <w:rsid w:val="00C65595"/>
    <w:rsid w:val="00C66970"/>
    <w:rsid w:val="00C66B1D"/>
    <w:rsid w:val="00C674AB"/>
    <w:rsid w:val="00C675B7"/>
    <w:rsid w:val="00C67752"/>
    <w:rsid w:val="00C678A3"/>
    <w:rsid w:val="00C67934"/>
    <w:rsid w:val="00C67D05"/>
    <w:rsid w:val="00C70B12"/>
    <w:rsid w:val="00C723B6"/>
    <w:rsid w:val="00C7277E"/>
    <w:rsid w:val="00C72BA5"/>
    <w:rsid w:val="00C73B22"/>
    <w:rsid w:val="00C73E83"/>
    <w:rsid w:val="00C740D0"/>
    <w:rsid w:val="00C74645"/>
    <w:rsid w:val="00C74694"/>
    <w:rsid w:val="00C75285"/>
    <w:rsid w:val="00C75962"/>
    <w:rsid w:val="00C75BAC"/>
    <w:rsid w:val="00C7643D"/>
    <w:rsid w:val="00C77002"/>
    <w:rsid w:val="00C7745D"/>
    <w:rsid w:val="00C77561"/>
    <w:rsid w:val="00C7776B"/>
    <w:rsid w:val="00C8027F"/>
    <w:rsid w:val="00C80CA1"/>
    <w:rsid w:val="00C80E02"/>
    <w:rsid w:val="00C815E5"/>
    <w:rsid w:val="00C81660"/>
    <w:rsid w:val="00C81696"/>
    <w:rsid w:val="00C818D1"/>
    <w:rsid w:val="00C81DAC"/>
    <w:rsid w:val="00C81EC3"/>
    <w:rsid w:val="00C822A8"/>
    <w:rsid w:val="00C82815"/>
    <w:rsid w:val="00C8361E"/>
    <w:rsid w:val="00C846EE"/>
    <w:rsid w:val="00C85DC7"/>
    <w:rsid w:val="00C86B54"/>
    <w:rsid w:val="00C870EA"/>
    <w:rsid w:val="00C90068"/>
    <w:rsid w:val="00C9040F"/>
    <w:rsid w:val="00C919C2"/>
    <w:rsid w:val="00C91DBB"/>
    <w:rsid w:val="00C91F16"/>
    <w:rsid w:val="00C92F27"/>
    <w:rsid w:val="00C9346D"/>
    <w:rsid w:val="00C93CCD"/>
    <w:rsid w:val="00C93FB9"/>
    <w:rsid w:val="00C94577"/>
    <w:rsid w:val="00C94A9C"/>
    <w:rsid w:val="00C94C2D"/>
    <w:rsid w:val="00C954E2"/>
    <w:rsid w:val="00C95C04"/>
    <w:rsid w:val="00C95CBA"/>
    <w:rsid w:val="00C968C0"/>
    <w:rsid w:val="00C97758"/>
    <w:rsid w:val="00C97883"/>
    <w:rsid w:val="00CA01F6"/>
    <w:rsid w:val="00CA0300"/>
    <w:rsid w:val="00CA0B44"/>
    <w:rsid w:val="00CA0BB4"/>
    <w:rsid w:val="00CA0BDE"/>
    <w:rsid w:val="00CA0C7E"/>
    <w:rsid w:val="00CA13B6"/>
    <w:rsid w:val="00CA1724"/>
    <w:rsid w:val="00CA1C07"/>
    <w:rsid w:val="00CA2971"/>
    <w:rsid w:val="00CA2B77"/>
    <w:rsid w:val="00CA34E5"/>
    <w:rsid w:val="00CA3866"/>
    <w:rsid w:val="00CA483B"/>
    <w:rsid w:val="00CA4C4C"/>
    <w:rsid w:val="00CA591E"/>
    <w:rsid w:val="00CA5EB0"/>
    <w:rsid w:val="00CA6D5E"/>
    <w:rsid w:val="00CA6FCE"/>
    <w:rsid w:val="00CA7C8F"/>
    <w:rsid w:val="00CA7DB4"/>
    <w:rsid w:val="00CA7E70"/>
    <w:rsid w:val="00CB0A54"/>
    <w:rsid w:val="00CB15FB"/>
    <w:rsid w:val="00CB1707"/>
    <w:rsid w:val="00CB183F"/>
    <w:rsid w:val="00CB1B37"/>
    <w:rsid w:val="00CB1C4E"/>
    <w:rsid w:val="00CB28F9"/>
    <w:rsid w:val="00CB2AC9"/>
    <w:rsid w:val="00CB2F38"/>
    <w:rsid w:val="00CB305D"/>
    <w:rsid w:val="00CB3093"/>
    <w:rsid w:val="00CB3B91"/>
    <w:rsid w:val="00CB3CA5"/>
    <w:rsid w:val="00CB3D0C"/>
    <w:rsid w:val="00CB3FC3"/>
    <w:rsid w:val="00CB4034"/>
    <w:rsid w:val="00CB456F"/>
    <w:rsid w:val="00CB4CE3"/>
    <w:rsid w:val="00CB4E38"/>
    <w:rsid w:val="00CB522C"/>
    <w:rsid w:val="00CB534F"/>
    <w:rsid w:val="00CB5996"/>
    <w:rsid w:val="00CB5D66"/>
    <w:rsid w:val="00CB64D3"/>
    <w:rsid w:val="00CB68B4"/>
    <w:rsid w:val="00CB6DD0"/>
    <w:rsid w:val="00CB7274"/>
    <w:rsid w:val="00CB7A50"/>
    <w:rsid w:val="00CC0E85"/>
    <w:rsid w:val="00CC0EA9"/>
    <w:rsid w:val="00CC1091"/>
    <w:rsid w:val="00CC16EE"/>
    <w:rsid w:val="00CC181C"/>
    <w:rsid w:val="00CC191C"/>
    <w:rsid w:val="00CC2110"/>
    <w:rsid w:val="00CC273B"/>
    <w:rsid w:val="00CC2BFA"/>
    <w:rsid w:val="00CC3138"/>
    <w:rsid w:val="00CC3A54"/>
    <w:rsid w:val="00CC4699"/>
    <w:rsid w:val="00CC4AD1"/>
    <w:rsid w:val="00CC4BDD"/>
    <w:rsid w:val="00CC51F1"/>
    <w:rsid w:val="00CC5271"/>
    <w:rsid w:val="00CC6523"/>
    <w:rsid w:val="00CC66F5"/>
    <w:rsid w:val="00CC744F"/>
    <w:rsid w:val="00CC790B"/>
    <w:rsid w:val="00CC7DF9"/>
    <w:rsid w:val="00CC7E6E"/>
    <w:rsid w:val="00CC7F07"/>
    <w:rsid w:val="00CD093F"/>
    <w:rsid w:val="00CD0EFA"/>
    <w:rsid w:val="00CD1098"/>
    <w:rsid w:val="00CD35BB"/>
    <w:rsid w:val="00CD3A89"/>
    <w:rsid w:val="00CD3BB3"/>
    <w:rsid w:val="00CD3D19"/>
    <w:rsid w:val="00CD3FD1"/>
    <w:rsid w:val="00CD4191"/>
    <w:rsid w:val="00CD4539"/>
    <w:rsid w:val="00CD5225"/>
    <w:rsid w:val="00CD605B"/>
    <w:rsid w:val="00CD684B"/>
    <w:rsid w:val="00CD68D9"/>
    <w:rsid w:val="00CD6CF8"/>
    <w:rsid w:val="00CD79A2"/>
    <w:rsid w:val="00CE0231"/>
    <w:rsid w:val="00CE04B6"/>
    <w:rsid w:val="00CE10C6"/>
    <w:rsid w:val="00CE2017"/>
    <w:rsid w:val="00CE2FAE"/>
    <w:rsid w:val="00CE334A"/>
    <w:rsid w:val="00CE3D01"/>
    <w:rsid w:val="00CE453B"/>
    <w:rsid w:val="00CE4586"/>
    <w:rsid w:val="00CE4FDD"/>
    <w:rsid w:val="00CE5035"/>
    <w:rsid w:val="00CE5581"/>
    <w:rsid w:val="00CE5A9F"/>
    <w:rsid w:val="00CE6478"/>
    <w:rsid w:val="00CE6F1C"/>
    <w:rsid w:val="00CE7148"/>
    <w:rsid w:val="00CE7912"/>
    <w:rsid w:val="00CE7A72"/>
    <w:rsid w:val="00CF026D"/>
    <w:rsid w:val="00CF06F8"/>
    <w:rsid w:val="00CF0883"/>
    <w:rsid w:val="00CF0C48"/>
    <w:rsid w:val="00CF12FE"/>
    <w:rsid w:val="00CF146F"/>
    <w:rsid w:val="00CF1CE4"/>
    <w:rsid w:val="00CF243B"/>
    <w:rsid w:val="00CF47D5"/>
    <w:rsid w:val="00CF4827"/>
    <w:rsid w:val="00CF495B"/>
    <w:rsid w:val="00CF4DC1"/>
    <w:rsid w:val="00CF55C8"/>
    <w:rsid w:val="00CF59F4"/>
    <w:rsid w:val="00CF5AFB"/>
    <w:rsid w:val="00CF64E0"/>
    <w:rsid w:val="00CF6A2C"/>
    <w:rsid w:val="00CF7A7B"/>
    <w:rsid w:val="00CF7D91"/>
    <w:rsid w:val="00D0124F"/>
    <w:rsid w:val="00D014E4"/>
    <w:rsid w:val="00D02FC9"/>
    <w:rsid w:val="00D0305A"/>
    <w:rsid w:val="00D03215"/>
    <w:rsid w:val="00D039CC"/>
    <w:rsid w:val="00D03A02"/>
    <w:rsid w:val="00D03DDB"/>
    <w:rsid w:val="00D03F38"/>
    <w:rsid w:val="00D049B2"/>
    <w:rsid w:val="00D04CD7"/>
    <w:rsid w:val="00D060C3"/>
    <w:rsid w:val="00D062A5"/>
    <w:rsid w:val="00D06AF8"/>
    <w:rsid w:val="00D06D8D"/>
    <w:rsid w:val="00D07CBF"/>
    <w:rsid w:val="00D101C4"/>
    <w:rsid w:val="00D10658"/>
    <w:rsid w:val="00D10B8D"/>
    <w:rsid w:val="00D10BFA"/>
    <w:rsid w:val="00D10C90"/>
    <w:rsid w:val="00D11B00"/>
    <w:rsid w:val="00D11BB4"/>
    <w:rsid w:val="00D11DD8"/>
    <w:rsid w:val="00D11E94"/>
    <w:rsid w:val="00D134EB"/>
    <w:rsid w:val="00D13691"/>
    <w:rsid w:val="00D1395E"/>
    <w:rsid w:val="00D14126"/>
    <w:rsid w:val="00D145AC"/>
    <w:rsid w:val="00D1490F"/>
    <w:rsid w:val="00D150F0"/>
    <w:rsid w:val="00D15108"/>
    <w:rsid w:val="00D15376"/>
    <w:rsid w:val="00D15622"/>
    <w:rsid w:val="00D156D9"/>
    <w:rsid w:val="00D15DD3"/>
    <w:rsid w:val="00D1604A"/>
    <w:rsid w:val="00D1689E"/>
    <w:rsid w:val="00D16CFB"/>
    <w:rsid w:val="00D17DA4"/>
    <w:rsid w:val="00D17F28"/>
    <w:rsid w:val="00D20986"/>
    <w:rsid w:val="00D2160D"/>
    <w:rsid w:val="00D22028"/>
    <w:rsid w:val="00D2246F"/>
    <w:rsid w:val="00D22A49"/>
    <w:rsid w:val="00D23883"/>
    <w:rsid w:val="00D23CBD"/>
    <w:rsid w:val="00D2411D"/>
    <w:rsid w:val="00D2459F"/>
    <w:rsid w:val="00D24AEF"/>
    <w:rsid w:val="00D24E33"/>
    <w:rsid w:val="00D265D0"/>
    <w:rsid w:val="00D26BAA"/>
    <w:rsid w:val="00D26BF0"/>
    <w:rsid w:val="00D26E0D"/>
    <w:rsid w:val="00D272B4"/>
    <w:rsid w:val="00D27E51"/>
    <w:rsid w:val="00D3057E"/>
    <w:rsid w:val="00D30AC7"/>
    <w:rsid w:val="00D30E80"/>
    <w:rsid w:val="00D3102E"/>
    <w:rsid w:val="00D31A4A"/>
    <w:rsid w:val="00D31C97"/>
    <w:rsid w:val="00D32336"/>
    <w:rsid w:val="00D324BA"/>
    <w:rsid w:val="00D32B57"/>
    <w:rsid w:val="00D333FE"/>
    <w:rsid w:val="00D334D6"/>
    <w:rsid w:val="00D337F1"/>
    <w:rsid w:val="00D339C6"/>
    <w:rsid w:val="00D33DDD"/>
    <w:rsid w:val="00D342B4"/>
    <w:rsid w:val="00D35049"/>
    <w:rsid w:val="00D352B1"/>
    <w:rsid w:val="00D357ED"/>
    <w:rsid w:val="00D35B73"/>
    <w:rsid w:val="00D35DAE"/>
    <w:rsid w:val="00D35FBA"/>
    <w:rsid w:val="00D3604D"/>
    <w:rsid w:val="00D36CFC"/>
    <w:rsid w:val="00D37070"/>
    <w:rsid w:val="00D37838"/>
    <w:rsid w:val="00D4086A"/>
    <w:rsid w:val="00D40CF9"/>
    <w:rsid w:val="00D416BC"/>
    <w:rsid w:val="00D41CE0"/>
    <w:rsid w:val="00D42257"/>
    <w:rsid w:val="00D4257A"/>
    <w:rsid w:val="00D42644"/>
    <w:rsid w:val="00D428E8"/>
    <w:rsid w:val="00D43B62"/>
    <w:rsid w:val="00D43CE3"/>
    <w:rsid w:val="00D44464"/>
    <w:rsid w:val="00D44C0B"/>
    <w:rsid w:val="00D44F21"/>
    <w:rsid w:val="00D46E23"/>
    <w:rsid w:val="00D47DD1"/>
    <w:rsid w:val="00D507EA"/>
    <w:rsid w:val="00D50997"/>
    <w:rsid w:val="00D50F74"/>
    <w:rsid w:val="00D510E6"/>
    <w:rsid w:val="00D513CB"/>
    <w:rsid w:val="00D51DF7"/>
    <w:rsid w:val="00D53E99"/>
    <w:rsid w:val="00D53FAC"/>
    <w:rsid w:val="00D551EE"/>
    <w:rsid w:val="00D5522D"/>
    <w:rsid w:val="00D558D5"/>
    <w:rsid w:val="00D560ED"/>
    <w:rsid w:val="00D566B1"/>
    <w:rsid w:val="00D56E80"/>
    <w:rsid w:val="00D573B8"/>
    <w:rsid w:val="00D57498"/>
    <w:rsid w:val="00D60E09"/>
    <w:rsid w:val="00D6190D"/>
    <w:rsid w:val="00D62035"/>
    <w:rsid w:val="00D623C0"/>
    <w:rsid w:val="00D627FB"/>
    <w:rsid w:val="00D62A82"/>
    <w:rsid w:val="00D63555"/>
    <w:rsid w:val="00D644EB"/>
    <w:rsid w:val="00D64FA2"/>
    <w:rsid w:val="00D66529"/>
    <w:rsid w:val="00D666ED"/>
    <w:rsid w:val="00D66AF6"/>
    <w:rsid w:val="00D66C19"/>
    <w:rsid w:val="00D67B5E"/>
    <w:rsid w:val="00D71264"/>
    <w:rsid w:val="00D71498"/>
    <w:rsid w:val="00D71DE2"/>
    <w:rsid w:val="00D72540"/>
    <w:rsid w:val="00D74520"/>
    <w:rsid w:val="00D7548F"/>
    <w:rsid w:val="00D75A54"/>
    <w:rsid w:val="00D75C3F"/>
    <w:rsid w:val="00D75E2B"/>
    <w:rsid w:val="00D7609D"/>
    <w:rsid w:val="00D7633E"/>
    <w:rsid w:val="00D76D1F"/>
    <w:rsid w:val="00D77993"/>
    <w:rsid w:val="00D8144A"/>
    <w:rsid w:val="00D81799"/>
    <w:rsid w:val="00D81CCF"/>
    <w:rsid w:val="00D826C4"/>
    <w:rsid w:val="00D82F02"/>
    <w:rsid w:val="00D83523"/>
    <w:rsid w:val="00D837E0"/>
    <w:rsid w:val="00D83B4E"/>
    <w:rsid w:val="00D83E3B"/>
    <w:rsid w:val="00D843C9"/>
    <w:rsid w:val="00D84D5A"/>
    <w:rsid w:val="00D84EDA"/>
    <w:rsid w:val="00D859B3"/>
    <w:rsid w:val="00D86002"/>
    <w:rsid w:val="00D862FD"/>
    <w:rsid w:val="00D86F1F"/>
    <w:rsid w:val="00D90D91"/>
    <w:rsid w:val="00D918CE"/>
    <w:rsid w:val="00D92D65"/>
    <w:rsid w:val="00D930D5"/>
    <w:rsid w:val="00D9583B"/>
    <w:rsid w:val="00D95B9C"/>
    <w:rsid w:val="00D96674"/>
    <w:rsid w:val="00D96701"/>
    <w:rsid w:val="00D969D7"/>
    <w:rsid w:val="00D96F94"/>
    <w:rsid w:val="00D97828"/>
    <w:rsid w:val="00D979A0"/>
    <w:rsid w:val="00D97B3B"/>
    <w:rsid w:val="00DA02BA"/>
    <w:rsid w:val="00DA0A2F"/>
    <w:rsid w:val="00DA0E2D"/>
    <w:rsid w:val="00DA1817"/>
    <w:rsid w:val="00DA1A9B"/>
    <w:rsid w:val="00DA2011"/>
    <w:rsid w:val="00DA2A0C"/>
    <w:rsid w:val="00DA3A02"/>
    <w:rsid w:val="00DA3A72"/>
    <w:rsid w:val="00DA3EB1"/>
    <w:rsid w:val="00DA4651"/>
    <w:rsid w:val="00DA47B9"/>
    <w:rsid w:val="00DA5E95"/>
    <w:rsid w:val="00DA6258"/>
    <w:rsid w:val="00DA6333"/>
    <w:rsid w:val="00DA6A12"/>
    <w:rsid w:val="00DA6AAE"/>
    <w:rsid w:val="00DA71C6"/>
    <w:rsid w:val="00DA729A"/>
    <w:rsid w:val="00DA79CF"/>
    <w:rsid w:val="00DA7F2F"/>
    <w:rsid w:val="00DB037B"/>
    <w:rsid w:val="00DB0512"/>
    <w:rsid w:val="00DB0A4C"/>
    <w:rsid w:val="00DB0F21"/>
    <w:rsid w:val="00DB1603"/>
    <w:rsid w:val="00DB17E6"/>
    <w:rsid w:val="00DB17EB"/>
    <w:rsid w:val="00DB23B9"/>
    <w:rsid w:val="00DB270F"/>
    <w:rsid w:val="00DB34E8"/>
    <w:rsid w:val="00DB3C70"/>
    <w:rsid w:val="00DB3FD4"/>
    <w:rsid w:val="00DB4296"/>
    <w:rsid w:val="00DB4C70"/>
    <w:rsid w:val="00DB4C89"/>
    <w:rsid w:val="00DB4D38"/>
    <w:rsid w:val="00DB52D5"/>
    <w:rsid w:val="00DB56A7"/>
    <w:rsid w:val="00DB5F36"/>
    <w:rsid w:val="00DB64B4"/>
    <w:rsid w:val="00DB6733"/>
    <w:rsid w:val="00DB6C7F"/>
    <w:rsid w:val="00DC00F3"/>
    <w:rsid w:val="00DC02DA"/>
    <w:rsid w:val="00DC0A42"/>
    <w:rsid w:val="00DC1C50"/>
    <w:rsid w:val="00DC2099"/>
    <w:rsid w:val="00DC20EB"/>
    <w:rsid w:val="00DC254A"/>
    <w:rsid w:val="00DC33A5"/>
    <w:rsid w:val="00DC349B"/>
    <w:rsid w:val="00DC34C5"/>
    <w:rsid w:val="00DC3B24"/>
    <w:rsid w:val="00DC3F30"/>
    <w:rsid w:val="00DC4775"/>
    <w:rsid w:val="00DC48F5"/>
    <w:rsid w:val="00DC4A7B"/>
    <w:rsid w:val="00DC4BE2"/>
    <w:rsid w:val="00DC5776"/>
    <w:rsid w:val="00DC78C9"/>
    <w:rsid w:val="00DC7B43"/>
    <w:rsid w:val="00DC7CCF"/>
    <w:rsid w:val="00DC7EA6"/>
    <w:rsid w:val="00DD028E"/>
    <w:rsid w:val="00DD082E"/>
    <w:rsid w:val="00DD2B9F"/>
    <w:rsid w:val="00DD2C1F"/>
    <w:rsid w:val="00DD2DC0"/>
    <w:rsid w:val="00DD371B"/>
    <w:rsid w:val="00DD3993"/>
    <w:rsid w:val="00DD3B5D"/>
    <w:rsid w:val="00DD4143"/>
    <w:rsid w:val="00DD4910"/>
    <w:rsid w:val="00DD52BE"/>
    <w:rsid w:val="00DD5CB0"/>
    <w:rsid w:val="00DD5D6B"/>
    <w:rsid w:val="00DD5F0F"/>
    <w:rsid w:val="00DD6332"/>
    <w:rsid w:val="00DD658B"/>
    <w:rsid w:val="00DD6993"/>
    <w:rsid w:val="00DD76E2"/>
    <w:rsid w:val="00DD7DD5"/>
    <w:rsid w:val="00DE00AF"/>
    <w:rsid w:val="00DE0264"/>
    <w:rsid w:val="00DE03F8"/>
    <w:rsid w:val="00DE1188"/>
    <w:rsid w:val="00DE1241"/>
    <w:rsid w:val="00DE1243"/>
    <w:rsid w:val="00DE26AB"/>
    <w:rsid w:val="00DE2AA3"/>
    <w:rsid w:val="00DE30E3"/>
    <w:rsid w:val="00DE3C0B"/>
    <w:rsid w:val="00DE3D26"/>
    <w:rsid w:val="00DE5203"/>
    <w:rsid w:val="00DE59EA"/>
    <w:rsid w:val="00DE6DF4"/>
    <w:rsid w:val="00DE752B"/>
    <w:rsid w:val="00DE78DD"/>
    <w:rsid w:val="00DE7C45"/>
    <w:rsid w:val="00DF1F5E"/>
    <w:rsid w:val="00DF2419"/>
    <w:rsid w:val="00DF2DFC"/>
    <w:rsid w:val="00DF52AD"/>
    <w:rsid w:val="00DF5A64"/>
    <w:rsid w:val="00DF642E"/>
    <w:rsid w:val="00DF7E78"/>
    <w:rsid w:val="00DF7ED9"/>
    <w:rsid w:val="00E00AA6"/>
    <w:rsid w:val="00E01011"/>
    <w:rsid w:val="00E029CE"/>
    <w:rsid w:val="00E03007"/>
    <w:rsid w:val="00E031F0"/>
    <w:rsid w:val="00E0354C"/>
    <w:rsid w:val="00E03A4C"/>
    <w:rsid w:val="00E03F75"/>
    <w:rsid w:val="00E0589E"/>
    <w:rsid w:val="00E05E0A"/>
    <w:rsid w:val="00E06045"/>
    <w:rsid w:val="00E06558"/>
    <w:rsid w:val="00E068D2"/>
    <w:rsid w:val="00E069E8"/>
    <w:rsid w:val="00E06FB1"/>
    <w:rsid w:val="00E072B5"/>
    <w:rsid w:val="00E104ED"/>
    <w:rsid w:val="00E1062E"/>
    <w:rsid w:val="00E10667"/>
    <w:rsid w:val="00E10878"/>
    <w:rsid w:val="00E111C0"/>
    <w:rsid w:val="00E113FA"/>
    <w:rsid w:val="00E11D27"/>
    <w:rsid w:val="00E121C7"/>
    <w:rsid w:val="00E122D0"/>
    <w:rsid w:val="00E14F35"/>
    <w:rsid w:val="00E1519F"/>
    <w:rsid w:val="00E157F2"/>
    <w:rsid w:val="00E1673A"/>
    <w:rsid w:val="00E17200"/>
    <w:rsid w:val="00E17674"/>
    <w:rsid w:val="00E1781A"/>
    <w:rsid w:val="00E21FD9"/>
    <w:rsid w:val="00E230FA"/>
    <w:rsid w:val="00E23334"/>
    <w:rsid w:val="00E23764"/>
    <w:rsid w:val="00E23AEC"/>
    <w:rsid w:val="00E24225"/>
    <w:rsid w:val="00E2423A"/>
    <w:rsid w:val="00E24FD2"/>
    <w:rsid w:val="00E25FB3"/>
    <w:rsid w:val="00E26180"/>
    <w:rsid w:val="00E26AB9"/>
    <w:rsid w:val="00E26C32"/>
    <w:rsid w:val="00E26D8E"/>
    <w:rsid w:val="00E2711A"/>
    <w:rsid w:val="00E27A5D"/>
    <w:rsid w:val="00E3083E"/>
    <w:rsid w:val="00E30F32"/>
    <w:rsid w:val="00E30F43"/>
    <w:rsid w:val="00E31A61"/>
    <w:rsid w:val="00E32A4E"/>
    <w:rsid w:val="00E3351C"/>
    <w:rsid w:val="00E33BA5"/>
    <w:rsid w:val="00E33E62"/>
    <w:rsid w:val="00E346A9"/>
    <w:rsid w:val="00E34E4E"/>
    <w:rsid w:val="00E35D0A"/>
    <w:rsid w:val="00E3638E"/>
    <w:rsid w:val="00E36B8E"/>
    <w:rsid w:val="00E37988"/>
    <w:rsid w:val="00E37D2D"/>
    <w:rsid w:val="00E37F1E"/>
    <w:rsid w:val="00E40A5F"/>
    <w:rsid w:val="00E40A7F"/>
    <w:rsid w:val="00E41039"/>
    <w:rsid w:val="00E41502"/>
    <w:rsid w:val="00E419EC"/>
    <w:rsid w:val="00E4205E"/>
    <w:rsid w:val="00E42C7A"/>
    <w:rsid w:val="00E42D7E"/>
    <w:rsid w:val="00E43BF2"/>
    <w:rsid w:val="00E44601"/>
    <w:rsid w:val="00E44A9A"/>
    <w:rsid w:val="00E44C3B"/>
    <w:rsid w:val="00E44EF0"/>
    <w:rsid w:val="00E44F36"/>
    <w:rsid w:val="00E450B9"/>
    <w:rsid w:val="00E45E04"/>
    <w:rsid w:val="00E4616E"/>
    <w:rsid w:val="00E4637E"/>
    <w:rsid w:val="00E46894"/>
    <w:rsid w:val="00E468A6"/>
    <w:rsid w:val="00E46E3D"/>
    <w:rsid w:val="00E46FD7"/>
    <w:rsid w:val="00E470AA"/>
    <w:rsid w:val="00E47944"/>
    <w:rsid w:val="00E50412"/>
    <w:rsid w:val="00E50C69"/>
    <w:rsid w:val="00E51B8A"/>
    <w:rsid w:val="00E5368D"/>
    <w:rsid w:val="00E536E0"/>
    <w:rsid w:val="00E54003"/>
    <w:rsid w:val="00E541B4"/>
    <w:rsid w:val="00E54C7D"/>
    <w:rsid w:val="00E54FC3"/>
    <w:rsid w:val="00E550A2"/>
    <w:rsid w:val="00E55454"/>
    <w:rsid w:val="00E55692"/>
    <w:rsid w:val="00E558E0"/>
    <w:rsid w:val="00E55E1D"/>
    <w:rsid w:val="00E561C6"/>
    <w:rsid w:val="00E56B27"/>
    <w:rsid w:val="00E570C4"/>
    <w:rsid w:val="00E573A7"/>
    <w:rsid w:val="00E574AB"/>
    <w:rsid w:val="00E57A4F"/>
    <w:rsid w:val="00E60940"/>
    <w:rsid w:val="00E60D03"/>
    <w:rsid w:val="00E61500"/>
    <w:rsid w:val="00E618EB"/>
    <w:rsid w:val="00E61E34"/>
    <w:rsid w:val="00E61EED"/>
    <w:rsid w:val="00E6206C"/>
    <w:rsid w:val="00E62092"/>
    <w:rsid w:val="00E62AE3"/>
    <w:rsid w:val="00E6355A"/>
    <w:rsid w:val="00E63919"/>
    <w:rsid w:val="00E63CB7"/>
    <w:rsid w:val="00E63CBF"/>
    <w:rsid w:val="00E64130"/>
    <w:rsid w:val="00E643E1"/>
    <w:rsid w:val="00E64BCE"/>
    <w:rsid w:val="00E65D8C"/>
    <w:rsid w:val="00E65FEC"/>
    <w:rsid w:val="00E6659F"/>
    <w:rsid w:val="00E66866"/>
    <w:rsid w:val="00E66C8B"/>
    <w:rsid w:val="00E66CB2"/>
    <w:rsid w:val="00E66D1C"/>
    <w:rsid w:val="00E6770A"/>
    <w:rsid w:val="00E679AC"/>
    <w:rsid w:val="00E720ED"/>
    <w:rsid w:val="00E725FC"/>
    <w:rsid w:val="00E72785"/>
    <w:rsid w:val="00E72F7D"/>
    <w:rsid w:val="00E73FC4"/>
    <w:rsid w:val="00E74269"/>
    <w:rsid w:val="00E74E0D"/>
    <w:rsid w:val="00E7574E"/>
    <w:rsid w:val="00E77FD9"/>
    <w:rsid w:val="00E80813"/>
    <w:rsid w:val="00E80B98"/>
    <w:rsid w:val="00E81695"/>
    <w:rsid w:val="00E81CB7"/>
    <w:rsid w:val="00E81CE8"/>
    <w:rsid w:val="00E821B4"/>
    <w:rsid w:val="00E827FE"/>
    <w:rsid w:val="00E83DF1"/>
    <w:rsid w:val="00E84329"/>
    <w:rsid w:val="00E846A4"/>
    <w:rsid w:val="00E84EA9"/>
    <w:rsid w:val="00E8520C"/>
    <w:rsid w:val="00E85A47"/>
    <w:rsid w:val="00E85B6B"/>
    <w:rsid w:val="00E85CFF"/>
    <w:rsid w:val="00E85FFF"/>
    <w:rsid w:val="00E86091"/>
    <w:rsid w:val="00E8654E"/>
    <w:rsid w:val="00E86711"/>
    <w:rsid w:val="00E87BF6"/>
    <w:rsid w:val="00E90093"/>
    <w:rsid w:val="00E91899"/>
    <w:rsid w:val="00E91900"/>
    <w:rsid w:val="00E91CAA"/>
    <w:rsid w:val="00E91F9F"/>
    <w:rsid w:val="00E91FE3"/>
    <w:rsid w:val="00E922C5"/>
    <w:rsid w:val="00E922F7"/>
    <w:rsid w:val="00E9257C"/>
    <w:rsid w:val="00E9302E"/>
    <w:rsid w:val="00E930AA"/>
    <w:rsid w:val="00E933FF"/>
    <w:rsid w:val="00E939BD"/>
    <w:rsid w:val="00E94575"/>
    <w:rsid w:val="00E952DF"/>
    <w:rsid w:val="00E955CB"/>
    <w:rsid w:val="00E95751"/>
    <w:rsid w:val="00E9599D"/>
    <w:rsid w:val="00E95A11"/>
    <w:rsid w:val="00E95D29"/>
    <w:rsid w:val="00E95F09"/>
    <w:rsid w:val="00E95FC8"/>
    <w:rsid w:val="00E95FE0"/>
    <w:rsid w:val="00E96238"/>
    <w:rsid w:val="00E963D4"/>
    <w:rsid w:val="00E963E3"/>
    <w:rsid w:val="00E964FC"/>
    <w:rsid w:val="00E96B3F"/>
    <w:rsid w:val="00E96C08"/>
    <w:rsid w:val="00E97D55"/>
    <w:rsid w:val="00EA044E"/>
    <w:rsid w:val="00EA0488"/>
    <w:rsid w:val="00EA06B5"/>
    <w:rsid w:val="00EA0AB9"/>
    <w:rsid w:val="00EA15B7"/>
    <w:rsid w:val="00EA1896"/>
    <w:rsid w:val="00EA1DE5"/>
    <w:rsid w:val="00EA2372"/>
    <w:rsid w:val="00EA2545"/>
    <w:rsid w:val="00EA2966"/>
    <w:rsid w:val="00EA2A44"/>
    <w:rsid w:val="00EA2DFF"/>
    <w:rsid w:val="00EA38C5"/>
    <w:rsid w:val="00EA3936"/>
    <w:rsid w:val="00EA3C49"/>
    <w:rsid w:val="00EA5018"/>
    <w:rsid w:val="00EA5F4F"/>
    <w:rsid w:val="00EB0553"/>
    <w:rsid w:val="00EB05C5"/>
    <w:rsid w:val="00EB0715"/>
    <w:rsid w:val="00EB10F0"/>
    <w:rsid w:val="00EB15AB"/>
    <w:rsid w:val="00EB1D91"/>
    <w:rsid w:val="00EB208D"/>
    <w:rsid w:val="00EB2D93"/>
    <w:rsid w:val="00EB31E5"/>
    <w:rsid w:val="00EB42AC"/>
    <w:rsid w:val="00EB4BA6"/>
    <w:rsid w:val="00EB4F19"/>
    <w:rsid w:val="00EB5561"/>
    <w:rsid w:val="00EB59C1"/>
    <w:rsid w:val="00EB5DD1"/>
    <w:rsid w:val="00EB6819"/>
    <w:rsid w:val="00EB6F14"/>
    <w:rsid w:val="00EB713E"/>
    <w:rsid w:val="00EB74F8"/>
    <w:rsid w:val="00EC0300"/>
    <w:rsid w:val="00EC0644"/>
    <w:rsid w:val="00EC0D58"/>
    <w:rsid w:val="00EC0F7A"/>
    <w:rsid w:val="00EC18DE"/>
    <w:rsid w:val="00EC3363"/>
    <w:rsid w:val="00EC3881"/>
    <w:rsid w:val="00EC4D1B"/>
    <w:rsid w:val="00EC4EB1"/>
    <w:rsid w:val="00EC51C4"/>
    <w:rsid w:val="00EC563B"/>
    <w:rsid w:val="00EC5881"/>
    <w:rsid w:val="00EC5CC5"/>
    <w:rsid w:val="00EC5F14"/>
    <w:rsid w:val="00EC6C01"/>
    <w:rsid w:val="00EC7B36"/>
    <w:rsid w:val="00EC7C71"/>
    <w:rsid w:val="00ED04B1"/>
    <w:rsid w:val="00ED0684"/>
    <w:rsid w:val="00ED21B9"/>
    <w:rsid w:val="00ED24A4"/>
    <w:rsid w:val="00ED3D83"/>
    <w:rsid w:val="00ED4FB8"/>
    <w:rsid w:val="00ED50DF"/>
    <w:rsid w:val="00ED5159"/>
    <w:rsid w:val="00ED5160"/>
    <w:rsid w:val="00ED5DC5"/>
    <w:rsid w:val="00ED5E80"/>
    <w:rsid w:val="00ED6261"/>
    <w:rsid w:val="00ED6793"/>
    <w:rsid w:val="00ED6B43"/>
    <w:rsid w:val="00ED72CE"/>
    <w:rsid w:val="00ED76AA"/>
    <w:rsid w:val="00EE0545"/>
    <w:rsid w:val="00EE066E"/>
    <w:rsid w:val="00EE1312"/>
    <w:rsid w:val="00EE1636"/>
    <w:rsid w:val="00EE1ACE"/>
    <w:rsid w:val="00EE2850"/>
    <w:rsid w:val="00EE3137"/>
    <w:rsid w:val="00EE3E27"/>
    <w:rsid w:val="00EE497E"/>
    <w:rsid w:val="00EE7322"/>
    <w:rsid w:val="00EE74A6"/>
    <w:rsid w:val="00EE772A"/>
    <w:rsid w:val="00EE7BEA"/>
    <w:rsid w:val="00EF0363"/>
    <w:rsid w:val="00EF0C50"/>
    <w:rsid w:val="00EF0E17"/>
    <w:rsid w:val="00EF16FE"/>
    <w:rsid w:val="00EF2E2D"/>
    <w:rsid w:val="00EF3E4B"/>
    <w:rsid w:val="00EF40FA"/>
    <w:rsid w:val="00EF41E2"/>
    <w:rsid w:val="00EF422C"/>
    <w:rsid w:val="00EF463D"/>
    <w:rsid w:val="00EF4707"/>
    <w:rsid w:val="00EF5983"/>
    <w:rsid w:val="00EF5E1B"/>
    <w:rsid w:val="00EF600F"/>
    <w:rsid w:val="00EF6DCE"/>
    <w:rsid w:val="00F00228"/>
    <w:rsid w:val="00F01A52"/>
    <w:rsid w:val="00F0287E"/>
    <w:rsid w:val="00F02F4E"/>
    <w:rsid w:val="00F0377F"/>
    <w:rsid w:val="00F040D2"/>
    <w:rsid w:val="00F04302"/>
    <w:rsid w:val="00F04C63"/>
    <w:rsid w:val="00F050EE"/>
    <w:rsid w:val="00F05B6E"/>
    <w:rsid w:val="00F06584"/>
    <w:rsid w:val="00F06AF6"/>
    <w:rsid w:val="00F075C0"/>
    <w:rsid w:val="00F10B01"/>
    <w:rsid w:val="00F10E35"/>
    <w:rsid w:val="00F10FF1"/>
    <w:rsid w:val="00F1151D"/>
    <w:rsid w:val="00F12D50"/>
    <w:rsid w:val="00F13329"/>
    <w:rsid w:val="00F13389"/>
    <w:rsid w:val="00F1391B"/>
    <w:rsid w:val="00F14EFB"/>
    <w:rsid w:val="00F158E4"/>
    <w:rsid w:val="00F16178"/>
    <w:rsid w:val="00F17C4D"/>
    <w:rsid w:val="00F17D29"/>
    <w:rsid w:val="00F20677"/>
    <w:rsid w:val="00F21518"/>
    <w:rsid w:val="00F22AE8"/>
    <w:rsid w:val="00F23514"/>
    <w:rsid w:val="00F2374A"/>
    <w:rsid w:val="00F251B6"/>
    <w:rsid w:val="00F26859"/>
    <w:rsid w:val="00F271D3"/>
    <w:rsid w:val="00F27540"/>
    <w:rsid w:val="00F31480"/>
    <w:rsid w:val="00F31626"/>
    <w:rsid w:val="00F31628"/>
    <w:rsid w:val="00F3217F"/>
    <w:rsid w:val="00F3250E"/>
    <w:rsid w:val="00F3274C"/>
    <w:rsid w:val="00F32A1E"/>
    <w:rsid w:val="00F32BFF"/>
    <w:rsid w:val="00F32DC2"/>
    <w:rsid w:val="00F33869"/>
    <w:rsid w:val="00F3533F"/>
    <w:rsid w:val="00F35CD3"/>
    <w:rsid w:val="00F3631C"/>
    <w:rsid w:val="00F36458"/>
    <w:rsid w:val="00F37398"/>
    <w:rsid w:val="00F37CF7"/>
    <w:rsid w:val="00F40686"/>
    <w:rsid w:val="00F41074"/>
    <w:rsid w:val="00F411C8"/>
    <w:rsid w:val="00F4146F"/>
    <w:rsid w:val="00F414DF"/>
    <w:rsid w:val="00F4151D"/>
    <w:rsid w:val="00F41837"/>
    <w:rsid w:val="00F42219"/>
    <w:rsid w:val="00F4231D"/>
    <w:rsid w:val="00F42719"/>
    <w:rsid w:val="00F42784"/>
    <w:rsid w:val="00F42A4D"/>
    <w:rsid w:val="00F42D46"/>
    <w:rsid w:val="00F431F0"/>
    <w:rsid w:val="00F432BF"/>
    <w:rsid w:val="00F43629"/>
    <w:rsid w:val="00F436A1"/>
    <w:rsid w:val="00F43908"/>
    <w:rsid w:val="00F43EDC"/>
    <w:rsid w:val="00F44A87"/>
    <w:rsid w:val="00F45769"/>
    <w:rsid w:val="00F45FA2"/>
    <w:rsid w:val="00F47BFB"/>
    <w:rsid w:val="00F50DB5"/>
    <w:rsid w:val="00F520ED"/>
    <w:rsid w:val="00F526E6"/>
    <w:rsid w:val="00F53219"/>
    <w:rsid w:val="00F532EE"/>
    <w:rsid w:val="00F536B8"/>
    <w:rsid w:val="00F53896"/>
    <w:rsid w:val="00F53D78"/>
    <w:rsid w:val="00F53E17"/>
    <w:rsid w:val="00F53ED7"/>
    <w:rsid w:val="00F541E4"/>
    <w:rsid w:val="00F54225"/>
    <w:rsid w:val="00F5431D"/>
    <w:rsid w:val="00F54668"/>
    <w:rsid w:val="00F54ABF"/>
    <w:rsid w:val="00F54D64"/>
    <w:rsid w:val="00F55748"/>
    <w:rsid w:val="00F56762"/>
    <w:rsid w:val="00F56AB8"/>
    <w:rsid w:val="00F5729B"/>
    <w:rsid w:val="00F57312"/>
    <w:rsid w:val="00F57996"/>
    <w:rsid w:val="00F57CC4"/>
    <w:rsid w:val="00F60319"/>
    <w:rsid w:val="00F606EB"/>
    <w:rsid w:val="00F6089C"/>
    <w:rsid w:val="00F60A3C"/>
    <w:rsid w:val="00F60C13"/>
    <w:rsid w:val="00F61DB2"/>
    <w:rsid w:val="00F6209A"/>
    <w:rsid w:val="00F627F5"/>
    <w:rsid w:val="00F6309B"/>
    <w:rsid w:val="00F6431D"/>
    <w:rsid w:val="00F64534"/>
    <w:rsid w:val="00F64B83"/>
    <w:rsid w:val="00F64F6A"/>
    <w:rsid w:val="00F652A7"/>
    <w:rsid w:val="00F655A5"/>
    <w:rsid w:val="00F659CD"/>
    <w:rsid w:val="00F65A15"/>
    <w:rsid w:val="00F65BA7"/>
    <w:rsid w:val="00F65CDE"/>
    <w:rsid w:val="00F65E51"/>
    <w:rsid w:val="00F667A2"/>
    <w:rsid w:val="00F70913"/>
    <w:rsid w:val="00F71300"/>
    <w:rsid w:val="00F71357"/>
    <w:rsid w:val="00F71C18"/>
    <w:rsid w:val="00F7243A"/>
    <w:rsid w:val="00F72557"/>
    <w:rsid w:val="00F72C2D"/>
    <w:rsid w:val="00F72C9E"/>
    <w:rsid w:val="00F74E21"/>
    <w:rsid w:val="00F753F5"/>
    <w:rsid w:val="00F756F7"/>
    <w:rsid w:val="00F759E2"/>
    <w:rsid w:val="00F766B4"/>
    <w:rsid w:val="00F77234"/>
    <w:rsid w:val="00F77312"/>
    <w:rsid w:val="00F8081F"/>
    <w:rsid w:val="00F80EB0"/>
    <w:rsid w:val="00F8101E"/>
    <w:rsid w:val="00F81350"/>
    <w:rsid w:val="00F820F8"/>
    <w:rsid w:val="00F8229D"/>
    <w:rsid w:val="00F827E4"/>
    <w:rsid w:val="00F832D5"/>
    <w:rsid w:val="00F8344C"/>
    <w:rsid w:val="00F83BDC"/>
    <w:rsid w:val="00F8464A"/>
    <w:rsid w:val="00F852B1"/>
    <w:rsid w:val="00F85BCA"/>
    <w:rsid w:val="00F86783"/>
    <w:rsid w:val="00F90887"/>
    <w:rsid w:val="00F90B38"/>
    <w:rsid w:val="00F90C4E"/>
    <w:rsid w:val="00F90D24"/>
    <w:rsid w:val="00F90E4F"/>
    <w:rsid w:val="00F91BF2"/>
    <w:rsid w:val="00F92708"/>
    <w:rsid w:val="00F92F1A"/>
    <w:rsid w:val="00F9336F"/>
    <w:rsid w:val="00F94982"/>
    <w:rsid w:val="00F96255"/>
    <w:rsid w:val="00F96263"/>
    <w:rsid w:val="00F967FC"/>
    <w:rsid w:val="00F9691C"/>
    <w:rsid w:val="00F96CB9"/>
    <w:rsid w:val="00FA0E6E"/>
    <w:rsid w:val="00FA1D94"/>
    <w:rsid w:val="00FA2122"/>
    <w:rsid w:val="00FA23F6"/>
    <w:rsid w:val="00FA2BB1"/>
    <w:rsid w:val="00FA4B1E"/>
    <w:rsid w:val="00FA51E5"/>
    <w:rsid w:val="00FA5795"/>
    <w:rsid w:val="00FA5B42"/>
    <w:rsid w:val="00FA68B5"/>
    <w:rsid w:val="00FA713E"/>
    <w:rsid w:val="00FA74B3"/>
    <w:rsid w:val="00FA74F6"/>
    <w:rsid w:val="00FA7539"/>
    <w:rsid w:val="00FB02AF"/>
    <w:rsid w:val="00FB0C83"/>
    <w:rsid w:val="00FB0F7C"/>
    <w:rsid w:val="00FB1405"/>
    <w:rsid w:val="00FB179D"/>
    <w:rsid w:val="00FB183F"/>
    <w:rsid w:val="00FB1867"/>
    <w:rsid w:val="00FB22E0"/>
    <w:rsid w:val="00FB2782"/>
    <w:rsid w:val="00FB2CBD"/>
    <w:rsid w:val="00FB2EFE"/>
    <w:rsid w:val="00FB303E"/>
    <w:rsid w:val="00FB36A6"/>
    <w:rsid w:val="00FB39A2"/>
    <w:rsid w:val="00FB41D4"/>
    <w:rsid w:val="00FB4452"/>
    <w:rsid w:val="00FB46BC"/>
    <w:rsid w:val="00FB4883"/>
    <w:rsid w:val="00FB4991"/>
    <w:rsid w:val="00FB4C6F"/>
    <w:rsid w:val="00FB5571"/>
    <w:rsid w:val="00FB5C23"/>
    <w:rsid w:val="00FB5EBF"/>
    <w:rsid w:val="00FB613D"/>
    <w:rsid w:val="00FB61F3"/>
    <w:rsid w:val="00FB64F5"/>
    <w:rsid w:val="00FB6C96"/>
    <w:rsid w:val="00FB7F95"/>
    <w:rsid w:val="00FC03E1"/>
    <w:rsid w:val="00FC0651"/>
    <w:rsid w:val="00FC0799"/>
    <w:rsid w:val="00FC08D3"/>
    <w:rsid w:val="00FC0B3F"/>
    <w:rsid w:val="00FC134A"/>
    <w:rsid w:val="00FC1936"/>
    <w:rsid w:val="00FC2B78"/>
    <w:rsid w:val="00FC2DCA"/>
    <w:rsid w:val="00FC3558"/>
    <w:rsid w:val="00FC47C3"/>
    <w:rsid w:val="00FC4BCC"/>
    <w:rsid w:val="00FC4C4F"/>
    <w:rsid w:val="00FC4F09"/>
    <w:rsid w:val="00FC5C3F"/>
    <w:rsid w:val="00FC631A"/>
    <w:rsid w:val="00FD04D4"/>
    <w:rsid w:val="00FD070B"/>
    <w:rsid w:val="00FD0751"/>
    <w:rsid w:val="00FD0F79"/>
    <w:rsid w:val="00FD1081"/>
    <w:rsid w:val="00FD1389"/>
    <w:rsid w:val="00FD14BE"/>
    <w:rsid w:val="00FD1948"/>
    <w:rsid w:val="00FD223D"/>
    <w:rsid w:val="00FD24B5"/>
    <w:rsid w:val="00FD2A46"/>
    <w:rsid w:val="00FD2D04"/>
    <w:rsid w:val="00FD4648"/>
    <w:rsid w:val="00FD4EE2"/>
    <w:rsid w:val="00FD4EE6"/>
    <w:rsid w:val="00FD5657"/>
    <w:rsid w:val="00FD5D4A"/>
    <w:rsid w:val="00FD6EA1"/>
    <w:rsid w:val="00FD7E12"/>
    <w:rsid w:val="00FE01EB"/>
    <w:rsid w:val="00FE05B7"/>
    <w:rsid w:val="00FE0C7F"/>
    <w:rsid w:val="00FE104E"/>
    <w:rsid w:val="00FE1732"/>
    <w:rsid w:val="00FE24BF"/>
    <w:rsid w:val="00FE277C"/>
    <w:rsid w:val="00FE4470"/>
    <w:rsid w:val="00FE5311"/>
    <w:rsid w:val="00FE5A79"/>
    <w:rsid w:val="00FE6778"/>
    <w:rsid w:val="00FE700A"/>
    <w:rsid w:val="00FE71C6"/>
    <w:rsid w:val="00FE7241"/>
    <w:rsid w:val="00FF0B33"/>
    <w:rsid w:val="00FF0C3B"/>
    <w:rsid w:val="00FF17C1"/>
    <w:rsid w:val="00FF190F"/>
    <w:rsid w:val="00FF23F3"/>
    <w:rsid w:val="00FF26B3"/>
    <w:rsid w:val="00FF26F7"/>
    <w:rsid w:val="00FF2BEF"/>
    <w:rsid w:val="00FF31D3"/>
    <w:rsid w:val="00FF351E"/>
    <w:rsid w:val="00FF3586"/>
    <w:rsid w:val="00FF4EC8"/>
    <w:rsid w:val="00FF513A"/>
    <w:rsid w:val="00FF5775"/>
    <w:rsid w:val="00FF5A89"/>
    <w:rsid w:val="00FF5CA9"/>
    <w:rsid w:val="00FF5D8C"/>
    <w:rsid w:val="00FF78A6"/>
    <w:rsid w:val="0236787D"/>
    <w:rsid w:val="04267B2D"/>
    <w:rsid w:val="05897A46"/>
    <w:rsid w:val="06222576"/>
    <w:rsid w:val="06365258"/>
    <w:rsid w:val="08430582"/>
    <w:rsid w:val="08C96CD9"/>
    <w:rsid w:val="08CC67C9"/>
    <w:rsid w:val="08CE0793"/>
    <w:rsid w:val="08CE48F8"/>
    <w:rsid w:val="091F0FEF"/>
    <w:rsid w:val="0B0264D2"/>
    <w:rsid w:val="0B495EAF"/>
    <w:rsid w:val="0BE45BD8"/>
    <w:rsid w:val="0C3C5A14"/>
    <w:rsid w:val="0D573276"/>
    <w:rsid w:val="0DE3083D"/>
    <w:rsid w:val="0EDF1579"/>
    <w:rsid w:val="0F3330FE"/>
    <w:rsid w:val="0F865924"/>
    <w:rsid w:val="10CD30DE"/>
    <w:rsid w:val="10E30B54"/>
    <w:rsid w:val="11472E91"/>
    <w:rsid w:val="114C66F9"/>
    <w:rsid w:val="124D097B"/>
    <w:rsid w:val="12981C3D"/>
    <w:rsid w:val="12A762DD"/>
    <w:rsid w:val="17CD7D8E"/>
    <w:rsid w:val="19085535"/>
    <w:rsid w:val="199C5D44"/>
    <w:rsid w:val="1BBE01F3"/>
    <w:rsid w:val="1C202C5C"/>
    <w:rsid w:val="1CAE72B3"/>
    <w:rsid w:val="1D230C56"/>
    <w:rsid w:val="1D876884"/>
    <w:rsid w:val="1EA25BAA"/>
    <w:rsid w:val="1EC36495"/>
    <w:rsid w:val="1F43738D"/>
    <w:rsid w:val="1F63358C"/>
    <w:rsid w:val="209B0B03"/>
    <w:rsid w:val="218119C1"/>
    <w:rsid w:val="21B263F0"/>
    <w:rsid w:val="22056B7C"/>
    <w:rsid w:val="24193711"/>
    <w:rsid w:val="25371D18"/>
    <w:rsid w:val="25387269"/>
    <w:rsid w:val="26CA3EF0"/>
    <w:rsid w:val="277F117F"/>
    <w:rsid w:val="299D51A7"/>
    <w:rsid w:val="2A047719"/>
    <w:rsid w:val="2A5977FE"/>
    <w:rsid w:val="2B7D59D5"/>
    <w:rsid w:val="2BB62C95"/>
    <w:rsid w:val="2BCB640A"/>
    <w:rsid w:val="2C5A3F68"/>
    <w:rsid w:val="2DEA131C"/>
    <w:rsid w:val="2DF357BC"/>
    <w:rsid w:val="2EF35FAE"/>
    <w:rsid w:val="2F124686"/>
    <w:rsid w:val="30963095"/>
    <w:rsid w:val="316B2774"/>
    <w:rsid w:val="32C57C62"/>
    <w:rsid w:val="346F73E0"/>
    <w:rsid w:val="34A00986"/>
    <w:rsid w:val="34F60FB1"/>
    <w:rsid w:val="35AE152F"/>
    <w:rsid w:val="36154372"/>
    <w:rsid w:val="36300FF3"/>
    <w:rsid w:val="36527A5E"/>
    <w:rsid w:val="371A4A20"/>
    <w:rsid w:val="393F076E"/>
    <w:rsid w:val="3A5E2E76"/>
    <w:rsid w:val="3AC72A4E"/>
    <w:rsid w:val="3C1A41F7"/>
    <w:rsid w:val="3C223052"/>
    <w:rsid w:val="3C8B5A78"/>
    <w:rsid w:val="3D5D11C3"/>
    <w:rsid w:val="3E556F89"/>
    <w:rsid w:val="3F0A2255"/>
    <w:rsid w:val="3F3E533B"/>
    <w:rsid w:val="3F53440F"/>
    <w:rsid w:val="3F5A0851"/>
    <w:rsid w:val="3F9966FE"/>
    <w:rsid w:val="407F255D"/>
    <w:rsid w:val="40806E3C"/>
    <w:rsid w:val="42022339"/>
    <w:rsid w:val="42240501"/>
    <w:rsid w:val="42285422"/>
    <w:rsid w:val="430D2082"/>
    <w:rsid w:val="431C567C"/>
    <w:rsid w:val="4588349D"/>
    <w:rsid w:val="45E76415"/>
    <w:rsid w:val="46C6427C"/>
    <w:rsid w:val="46F506BE"/>
    <w:rsid w:val="473F7B8B"/>
    <w:rsid w:val="47FD7258"/>
    <w:rsid w:val="485F6737"/>
    <w:rsid w:val="48931F3C"/>
    <w:rsid w:val="49730F71"/>
    <w:rsid w:val="49AF724A"/>
    <w:rsid w:val="4A007C73"/>
    <w:rsid w:val="4A8C7B31"/>
    <w:rsid w:val="4ADB5E1D"/>
    <w:rsid w:val="4B0435C5"/>
    <w:rsid w:val="4B0F3DE3"/>
    <w:rsid w:val="4B294DDA"/>
    <w:rsid w:val="4D587343"/>
    <w:rsid w:val="4D785BA5"/>
    <w:rsid w:val="4DE90850"/>
    <w:rsid w:val="4E2062F3"/>
    <w:rsid w:val="4E345F70"/>
    <w:rsid w:val="4E5403C0"/>
    <w:rsid w:val="4E8642F1"/>
    <w:rsid w:val="4E965DAC"/>
    <w:rsid w:val="4F2C6C47"/>
    <w:rsid w:val="506A5C79"/>
    <w:rsid w:val="508A00C9"/>
    <w:rsid w:val="50C17863"/>
    <w:rsid w:val="51597A9B"/>
    <w:rsid w:val="51E22A1D"/>
    <w:rsid w:val="5221680B"/>
    <w:rsid w:val="52610A59"/>
    <w:rsid w:val="52A42F98"/>
    <w:rsid w:val="53DD0E57"/>
    <w:rsid w:val="5435659E"/>
    <w:rsid w:val="544D38E7"/>
    <w:rsid w:val="559B2B61"/>
    <w:rsid w:val="55D63DC4"/>
    <w:rsid w:val="575B631B"/>
    <w:rsid w:val="582817AF"/>
    <w:rsid w:val="586B07E0"/>
    <w:rsid w:val="58A85614"/>
    <w:rsid w:val="58E65D2B"/>
    <w:rsid w:val="5915074C"/>
    <w:rsid w:val="59271254"/>
    <w:rsid w:val="59B63CDD"/>
    <w:rsid w:val="5A753DA0"/>
    <w:rsid w:val="5A9D6C4B"/>
    <w:rsid w:val="5AA601F5"/>
    <w:rsid w:val="5B0D5B6B"/>
    <w:rsid w:val="5B6D2E51"/>
    <w:rsid w:val="5BE13B18"/>
    <w:rsid w:val="5C1B3BFC"/>
    <w:rsid w:val="5CA22C3E"/>
    <w:rsid w:val="5CD050B5"/>
    <w:rsid w:val="5DF71CBB"/>
    <w:rsid w:val="5E2D72D8"/>
    <w:rsid w:val="5E547F68"/>
    <w:rsid w:val="5EF64B7B"/>
    <w:rsid w:val="5FB1348A"/>
    <w:rsid w:val="607D37A6"/>
    <w:rsid w:val="6142679E"/>
    <w:rsid w:val="618D7A19"/>
    <w:rsid w:val="63163A3E"/>
    <w:rsid w:val="63273E9D"/>
    <w:rsid w:val="63AB4186"/>
    <w:rsid w:val="63EE6769"/>
    <w:rsid w:val="63F26259"/>
    <w:rsid w:val="647A1DAB"/>
    <w:rsid w:val="649F75B2"/>
    <w:rsid w:val="64EC0EFA"/>
    <w:rsid w:val="668E430E"/>
    <w:rsid w:val="66D35B83"/>
    <w:rsid w:val="67672ABA"/>
    <w:rsid w:val="68DD74D8"/>
    <w:rsid w:val="69286279"/>
    <w:rsid w:val="6AED1528"/>
    <w:rsid w:val="6B193A43"/>
    <w:rsid w:val="6BAE6F0A"/>
    <w:rsid w:val="6DFA2FFA"/>
    <w:rsid w:val="6F3B40EF"/>
    <w:rsid w:val="70C6055B"/>
    <w:rsid w:val="71AF12E6"/>
    <w:rsid w:val="72CE1C3F"/>
    <w:rsid w:val="73876C64"/>
    <w:rsid w:val="739C7F8F"/>
    <w:rsid w:val="73BC5F3C"/>
    <w:rsid w:val="74422C7D"/>
    <w:rsid w:val="74A569D0"/>
    <w:rsid w:val="7510653F"/>
    <w:rsid w:val="755E694F"/>
    <w:rsid w:val="76361FD5"/>
    <w:rsid w:val="77C47AB5"/>
    <w:rsid w:val="78F759A4"/>
    <w:rsid w:val="790A7BB4"/>
    <w:rsid w:val="79A67472"/>
    <w:rsid w:val="7A0B7864"/>
    <w:rsid w:val="7AAB2866"/>
    <w:rsid w:val="7C3F68AA"/>
    <w:rsid w:val="7D2F3AF6"/>
    <w:rsid w:val="7D8201F6"/>
    <w:rsid w:val="7DCC76C3"/>
    <w:rsid w:val="7DD71BA7"/>
    <w:rsid w:val="7E775881"/>
    <w:rsid w:val="7E862190"/>
    <w:rsid w:val="7F4F358A"/>
    <w:rsid w:val="877B9FED"/>
    <w:rsid w:val="B37DD9AB"/>
    <w:rsid w:val="EFEF5234"/>
    <w:rsid w:val="FEFDD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semiHidden="0" w:name="footnote reference"/>
    <w:lsdException w:qFormat="1" w:uiPriority="1"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spacing w:line="560" w:lineRule="exact"/>
      <w:ind w:firstLine="200" w:firstLineChars="200"/>
      <w:jc w:val="both"/>
    </w:pPr>
    <w:rPr>
      <w:rFonts w:ascii="Times New Roman" w:hAnsi="Times New Roman" w:eastAsia="仿宋_GB2312" w:cstheme="minorBidi"/>
      <w:kern w:val="2"/>
      <w:sz w:val="32"/>
      <w:szCs w:val="21"/>
      <w:lang w:val="en-US" w:eastAsia="zh-CN" w:bidi="ar-SA"/>
      <w14:ligatures w14:val="standardContextual"/>
    </w:rPr>
  </w:style>
  <w:style w:type="paragraph" w:styleId="5">
    <w:name w:val="heading 1"/>
    <w:basedOn w:val="1"/>
    <w:next w:val="1"/>
    <w:link w:val="40"/>
    <w:qFormat/>
    <w:uiPriority w:val="0"/>
    <w:pPr>
      <w:numPr>
        <w:ilvl w:val="0"/>
        <w:numId w:val="1"/>
      </w:numPr>
      <w:spacing w:line="720" w:lineRule="exact"/>
      <w:ind w:left="0" w:firstLineChars="0"/>
      <w:jc w:val="center"/>
      <w:outlineLvl w:val="0"/>
    </w:pPr>
    <w:rPr>
      <w:rFonts w:eastAsia="方正小标宋简体" w:cstheme="majorBidi"/>
      <w:color w:val="000000" w:themeColor="text1"/>
      <w:sz w:val="44"/>
      <w:szCs w:val="48"/>
      <w14:textFill>
        <w14:solidFill>
          <w14:schemeClr w14:val="tx1"/>
        </w14:solidFill>
      </w14:textFill>
    </w:rPr>
  </w:style>
  <w:style w:type="paragraph" w:styleId="6">
    <w:name w:val="heading 2"/>
    <w:basedOn w:val="1"/>
    <w:next w:val="1"/>
    <w:link w:val="41"/>
    <w:qFormat/>
    <w:uiPriority w:val="0"/>
    <w:pPr>
      <w:numPr>
        <w:ilvl w:val="1"/>
        <w:numId w:val="1"/>
      </w:numPr>
      <w:spacing w:before="100" w:beforeLines="100" w:after="50" w:afterLines="50"/>
      <w:ind w:firstLineChars="0"/>
      <w:jc w:val="center"/>
      <w:textAlignment w:val="bottom"/>
      <w:outlineLvl w:val="1"/>
    </w:pPr>
    <w:rPr>
      <w:rFonts w:eastAsia="黑体" w:cstheme="majorBidi"/>
      <w:color w:val="000000" w:themeColor="text1"/>
      <w:szCs w:val="40"/>
      <w14:textFill>
        <w14:solidFill>
          <w14:schemeClr w14:val="tx1"/>
        </w14:solidFill>
      </w14:textFill>
    </w:rPr>
  </w:style>
  <w:style w:type="paragraph" w:styleId="7">
    <w:name w:val="heading 3"/>
    <w:basedOn w:val="1"/>
    <w:next w:val="1"/>
    <w:link w:val="42"/>
    <w:qFormat/>
    <w:uiPriority w:val="0"/>
    <w:pPr>
      <w:spacing w:before="50" w:beforeLines="50" w:after="50" w:afterLines="50"/>
      <w:ind w:firstLine="0" w:firstLineChars="0"/>
      <w:jc w:val="center"/>
      <w:textAlignment w:val="bottom"/>
      <w:outlineLvl w:val="2"/>
    </w:pPr>
    <w:rPr>
      <w:rFonts w:eastAsia="楷体_GB2312" w:cstheme="majorBidi"/>
      <w:b/>
      <w:color w:val="000000" w:themeColor="text1"/>
      <w:szCs w:val="32"/>
      <w14:textFill>
        <w14:solidFill>
          <w14:schemeClr w14:val="tx1"/>
        </w14:solidFill>
      </w14:textFill>
    </w:rPr>
  </w:style>
  <w:style w:type="paragraph" w:styleId="8">
    <w:name w:val="heading 4"/>
    <w:basedOn w:val="1"/>
    <w:next w:val="1"/>
    <w:link w:val="43"/>
    <w:qFormat/>
    <w:uiPriority w:val="9"/>
    <w:pPr>
      <w:keepNext/>
      <w:keepLines/>
      <w:spacing w:before="80" w:after="40"/>
      <w:outlineLvl w:val="3"/>
    </w:pPr>
    <w:rPr>
      <w:rFonts w:cstheme="majorBidi"/>
      <w:color w:val="104862" w:themeColor="accent1" w:themeShade="BF"/>
      <w:sz w:val="28"/>
      <w:szCs w:val="28"/>
    </w:rPr>
  </w:style>
  <w:style w:type="paragraph" w:styleId="9">
    <w:name w:val="heading 5"/>
    <w:basedOn w:val="1"/>
    <w:next w:val="1"/>
    <w:link w:val="4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10">
    <w:name w:val="heading 6"/>
    <w:basedOn w:val="1"/>
    <w:next w:val="1"/>
    <w:link w:val="45"/>
    <w:semiHidden/>
    <w:unhideWhenUsed/>
    <w:qFormat/>
    <w:uiPriority w:val="9"/>
    <w:pPr>
      <w:keepNext/>
      <w:keepLines/>
      <w:spacing w:before="40"/>
      <w:outlineLvl w:val="5"/>
    </w:pPr>
    <w:rPr>
      <w:rFonts w:cstheme="majorBidi"/>
      <w:b/>
      <w:bCs/>
      <w:color w:val="104862" w:themeColor="accent1" w:themeShade="BF"/>
    </w:rPr>
  </w:style>
  <w:style w:type="paragraph" w:styleId="11">
    <w:name w:val="heading 7"/>
    <w:basedOn w:val="1"/>
    <w:next w:val="1"/>
    <w:link w:val="4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4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4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2">
    <w:name w:val="Default Paragraph Font"/>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ind w:firstLine="420"/>
    </w:pPr>
  </w:style>
  <w:style w:type="paragraph" w:styleId="3">
    <w:name w:val="Body Text Indent"/>
    <w:basedOn w:val="1"/>
    <w:next w:val="4"/>
    <w:semiHidden/>
    <w:unhideWhenUsed/>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14">
    <w:name w:val="index 5"/>
    <w:basedOn w:val="1"/>
    <w:next w:val="1"/>
    <w:qFormat/>
    <w:uiPriority w:val="0"/>
    <w:pPr>
      <w:ind w:left="1680"/>
    </w:pPr>
  </w:style>
  <w:style w:type="paragraph" w:styleId="15">
    <w:name w:val="annotation text"/>
    <w:basedOn w:val="1"/>
    <w:link w:val="60"/>
    <w:unhideWhenUsed/>
    <w:qFormat/>
    <w:uiPriority w:val="99"/>
    <w:pPr>
      <w:spacing w:line="240" w:lineRule="auto"/>
      <w:ind w:firstLine="0" w:firstLineChars="0"/>
      <w:jc w:val="left"/>
    </w:pPr>
  </w:style>
  <w:style w:type="paragraph" w:styleId="16">
    <w:name w:val="Body Text"/>
    <w:basedOn w:val="1"/>
    <w:next w:val="17"/>
    <w:link w:val="64"/>
    <w:unhideWhenUsed/>
    <w:qFormat/>
    <w:uiPriority w:val="0"/>
    <w:pPr>
      <w:spacing w:after="120" w:line="240" w:lineRule="auto"/>
      <w:ind w:firstLine="0" w:firstLineChars="0"/>
    </w:pPr>
    <w:rPr>
      <w:rFonts w:ascii="Calibri" w:hAnsi="Calibri" w:eastAsia="宋体" w:cs="Times New Roman"/>
      <w:sz w:val="21"/>
      <w:szCs w:val="24"/>
      <w14:ligatures w14:val="none"/>
    </w:rPr>
  </w:style>
  <w:style w:type="paragraph" w:styleId="17">
    <w:name w:val="toc 5"/>
    <w:basedOn w:val="1"/>
    <w:next w:val="1"/>
    <w:qFormat/>
    <w:uiPriority w:val="0"/>
    <w:pPr>
      <w:ind w:left="1680" w:leftChars="800"/>
    </w:pPr>
  </w:style>
  <w:style w:type="paragraph" w:styleId="18">
    <w:name w:val="toc 3"/>
    <w:basedOn w:val="1"/>
    <w:next w:val="1"/>
    <w:autoRedefine/>
    <w:unhideWhenUsed/>
    <w:qFormat/>
    <w:uiPriority w:val="39"/>
    <w:pPr>
      <w:tabs>
        <w:tab w:val="right" w:leader="dot" w:pos="8834"/>
      </w:tabs>
      <w:ind w:left="1280" w:leftChars="400" w:firstLine="640"/>
    </w:pPr>
  </w:style>
  <w:style w:type="paragraph" w:styleId="19">
    <w:name w:val="Balloon Text"/>
    <w:basedOn w:val="1"/>
    <w:link w:val="71"/>
    <w:semiHidden/>
    <w:unhideWhenUsed/>
    <w:qFormat/>
    <w:uiPriority w:val="99"/>
    <w:pPr>
      <w:adjustRightInd w:val="0"/>
      <w:snapToGrid w:val="0"/>
      <w:spacing w:line="240" w:lineRule="auto"/>
    </w:pPr>
    <w:rPr>
      <w:rFonts w:ascii="仿宋_GB2312" w:hAnsi="Calibri"/>
      <w:sz w:val="18"/>
      <w:szCs w:val="18"/>
    </w:rPr>
  </w:style>
  <w:style w:type="paragraph" w:styleId="20">
    <w:name w:val="footer"/>
    <w:basedOn w:val="1"/>
    <w:next w:val="14"/>
    <w:link w:val="59"/>
    <w:unhideWhenUsed/>
    <w:qFormat/>
    <w:uiPriority w:val="99"/>
    <w:pPr>
      <w:tabs>
        <w:tab w:val="center" w:pos="4153"/>
        <w:tab w:val="right" w:pos="8306"/>
      </w:tabs>
      <w:snapToGrid w:val="0"/>
      <w:jc w:val="left"/>
    </w:pPr>
    <w:rPr>
      <w:sz w:val="18"/>
      <w:szCs w:val="18"/>
    </w:rPr>
  </w:style>
  <w:style w:type="paragraph" w:styleId="21">
    <w:name w:val="header"/>
    <w:basedOn w:val="1"/>
    <w:link w:val="58"/>
    <w:unhideWhenUsed/>
    <w:qFormat/>
    <w:uiPriority w:val="99"/>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ind w:firstLine="0" w:firstLineChars="0"/>
    </w:pPr>
    <w:rPr>
      <w:rFonts w:eastAsia="黑体"/>
    </w:rPr>
  </w:style>
  <w:style w:type="paragraph" w:styleId="23">
    <w:name w:val="Subtitle"/>
    <w:basedOn w:val="1"/>
    <w:next w:val="1"/>
    <w:link w:val="5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65"/>
    <w:semiHidden/>
    <w:unhideWhenUsed/>
    <w:qFormat/>
    <w:uiPriority w:val="99"/>
    <w:pPr>
      <w:snapToGrid w:val="0"/>
      <w:jc w:val="left"/>
    </w:pPr>
    <w:rPr>
      <w:sz w:val="18"/>
      <w:szCs w:val="18"/>
    </w:rPr>
  </w:style>
  <w:style w:type="paragraph" w:styleId="25">
    <w:name w:val="toc 2"/>
    <w:basedOn w:val="1"/>
    <w:next w:val="1"/>
    <w:autoRedefine/>
    <w:unhideWhenUsed/>
    <w:qFormat/>
    <w:uiPriority w:val="39"/>
    <w:pPr>
      <w:tabs>
        <w:tab w:val="right" w:leader="dot" w:pos="8834"/>
      </w:tabs>
    </w:pPr>
    <w:rPr>
      <w:rFonts w:eastAsia="楷体_GB2312"/>
    </w:rPr>
  </w:style>
  <w:style w:type="paragraph" w:styleId="26">
    <w:name w:val="Normal (Web)"/>
    <w:basedOn w:val="1"/>
    <w:semiHidden/>
    <w:unhideWhenUsed/>
    <w:qFormat/>
    <w:uiPriority w:val="99"/>
    <w:pPr>
      <w:adjustRightInd w:val="0"/>
      <w:snapToGrid w:val="0"/>
    </w:pPr>
    <w:rPr>
      <w:rFonts w:ascii="仿宋_GB2312" w:hAnsi="Calibri"/>
      <w:sz w:val="24"/>
    </w:rPr>
  </w:style>
  <w:style w:type="paragraph" w:styleId="27">
    <w:name w:val="Title"/>
    <w:basedOn w:val="1"/>
    <w:next w:val="1"/>
    <w:link w:val="49"/>
    <w:qFormat/>
    <w:uiPriority w:val="10"/>
    <w:pPr>
      <w:contextualSpacing/>
    </w:pPr>
    <w:rPr>
      <w:rFonts w:hAnsiTheme="majorHAnsi" w:cstheme="majorBidi"/>
      <w:b/>
      <w:spacing w:val="-10"/>
      <w:kern w:val="28"/>
      <w:szCs w:val="56"/>
    </w:rPr>
  </w:style>
  <w:style w:type="paragraph" w:styleId="28">
    <w:name w:val="annotation subject"/>
    <w:basedOn w:val="15"/>
    <w:next w:val="15"/>
    <w:link w:val="61"/>
    <w:semiHidden/>
    <w:unhideWhenUsed/>
    <w:qFormat/>
    <w:uiPriority w:val="99"/>
    <w:rPr>
      <w:b/>
      <w:bCs/>
    </w:rPr>
  </w:style>
  <w:style w:type="paragraph" w:styleId="29">
    <w:name w:val="Body Text First Indent"/>
    <w:basedOn w:val="16"/>
    <w:link w:val="126"/>
    <w:semiHidden/>
    <w:unhideWhenUsed/>
    <w:qFormat/>
    <w:uiPriority w:val="99"/>
    <w:pPr>
      <w:spacing w:line="560" w:lineRule="exact"/>
      <w:ind w:firstLine="420" w:firstLineChars="100"/>
    </w:pPr>
    <w:rPr>
      <w:rFonts w:ascii="Times New Roman" w:hAnsi="Times New Roman" w:eastAsia="仿宋_GB2312" w:cstheme="minorBidi"/>
      <w:sz w:val="32"/>
      <w:szCs w:val="21"/>
      <w14:ligatures w14:val="standardContextual"/>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FollowedHyperlink"/>
    <w:basedOn w:val="32"/>
    <w:semiHidden/>
    <w:unhideWhenUsed/>
    <w:qFormat/>
    <w:uiPriority w:val="99"/>
    <w:rPr>
      <w:color w:val="800080"/>
      <w:u w:val="single"/>
    </w:rPr>
  </w:style>
  <w:style w:type="character" w:styleId="35">
    <w:name w:val="Emphasis"/>
    <w:basedOn w:val="32"/>
    <w:qFormat/>
    <w:uiPriority w:val="20"/>
    <w:rPr>
      <w:i/>
    </w:rPr>
  </w:style>
  <w:style w:type="character" w:styleId="36">
    <w:name w:val="Hyperlink"/>
    <w:basedOn w:val="32"/>
    <w:unhideWhenUsed/>
    <w:qFormat/>
    <w:uiPriority w:val="99"/>
    <w:rPr>
      <w:color w:val="467886" w:themeColor="hyperlink"/>
      <w:u w:val="single"/>
      <w14:textFill>
        <w14:solidFill>
          <w14:schemeClr w14:val="hlink"/>
        </w14:solidFill>
      </w14:textFill>
    </w:rPr>
  </w:style>
  <w:style w:type="character" w:styleId="37">
    <w:name w:val="annotation reference"/>
    <w:basedOn w:val="32"/>
    <w:unhideWhenUsed/>
    <w:qFormat/>
    <w:uiPriority w:val="1"/>
    <w:rPr>
      <w:sz w:val="21"/>
      <w:szCs w:val="21"/>
    </w:rPr>
  </w:style>
  <w:style w:type="character" w:styleId="38">
    <w:name w:val="footnote reference"/>
    <w:basedOn w:val="32"/>
    <w:unhideWhenUsed/>
    <w:qFormat/>
    <w:uiPriority w:val="99"/>
    <w:rPr>
      <w:vertAlign w:val="superscript"/>
    </w:rPr>
  </w:style>
  <w:style w:type="paragraph" w:customStyle="1" w:styleId="39">
    <w:name w:val="样式1"/>
    <w:basedOn w:val="1"/>
    <w:qFormat/>
    <w:uiPriority w:val="99"/>
    <w:rPr>
      <w:b/>
      <w:color w:val="538135"/>
      <w:sz w:val="28"/>
    </w:rPr>
  </w:style>
  <w:style w:type="character" w:customStyle="1" w:styleId="40">
    <w:name w:val="标题 1 字符"/>
    <w:basedOn w:val="32"/>
    <w:link w:val="5"/>
    <w:qFormat/>
    <w:uiPriority w:val="0"/>
    <w:rPr>
      <w:rFonts w:eastAsia="方正小标宋简体" w:cstheme="majorBidi"/>
      <w:color w:val="000000" w:themeColor="text1"/>
      <w:kern w:val="2"/>
      <w:sz w:val="44"/>
      <w:szCs w:val="48"/>
      <w14:textFill>
        <w14:solidFill>
          <w14:schemeClr w14:val="tx1"/>
        </w14:solidFill>
      </w14:textFill>
      <w14:ligatures w14:val="standardContextual"/>
    </w:rPr>
  </w:style>
  <w:style w:type="character" w:customStyle="1" w:styleId="41">
    <w:name w:val="标题 2 字符"/>
    <w:basedOn w:val="32"/>
    <w:link w:val="6"/>
    <w:qFormat/>
    <w:uiPriority w:val="0"/>
    <w:rPr>
      <w:rFonts w:eastAsia="黑体" w:cstheme="majorBidi"/>
      <w:color w:val="000000" w:themeColor="text1"/>
      <w:kern w:val="2"/>
      <w:sz w:val="32"/>
      <w:szCs w:val="40"/>
      <w14:textFill>
        <w14:solidFill>
          <w14:schemeClr w14:val="tx1"/>
        </w14:solidFill>
      </w14:textFill>
      <w14:ligatures w14:val="standardContextual"/>
    </w:rPr>
  </w:style>
  <w:style w:type="character" w:customStyle="1" w:styleId="42">
    <w:name w:val="标题 3 字符"/>
    <w:basedOn w:val="32"/>
    <w:link w:val="7"/>
    <w:qFormat/>
    <w:uiPriority w:val="0"/>
    <w:rPr>
      <w:rFonts w:eastAsia="楷体_GB2312" w:cstheme="majorBidi"/>
      <w:b/>
      <w:color w:val="000000" w:themeColor="text1"/>
      <w:kern w:val="2"/>
      <w:sz w:val="32"/>
      <w:szCs w:val="32"/>
      <w14:textFill>
        <w14:solidFill>
          <w14:schemeClr w14:val="tx1"/>
        </w14:solidFill>
      </w14:textFill>
      <w14:ligatures w14:val="standardContextual"/>
    </w:rPr>
  </w:style>
  <w:style w:type="character" w:customStyle="1" w:styleId="43">
    <w:name w:val="标题 4 字符"/>
    <w:basedOn w:val="32"/>
    <w:link w:val="8"/>
    <w:qFormat/>
    <w:uiPriority w:val="9"/>
    <w:rPr>
      <w:rFonts w:ascii="Times New Roman" w:hAnsi="Times New Roman" w:eastAsia="仿宋_GB2312" w:cstheme="majorBidi"/>
      <w:color w:val="104862" w:themeColor="accent1" w:themeShade="BF"/>
      <w:sz w:val="28"/>
      <w:szCs w:val="28"/>
    </w:rPr>
  </w:style>
  <w:style w:type="character" w:customStyle="1" w:styleId="44">
    <w:name w:val="标题 5 字符"/>
    <w:basedOn w:val="32"/>
    <w:link w:val="9"/>
    <w:semiHidden/>
    <w:qFormat/>
    <w:uiPriority w:val="9"/>
    <w:rPr>
      <w:rFonts w:cstheme="majorBidi"/>
      <w:color w:val="104862" w:themeColor="accent1" w:themeShade="BF"/>
      <w:sz w:val="24"/>
      <w:szCs w:val="24"/>
    </w:rPr>
  </w:style>
  <w:style w:type="character" w:customStyle="1" w:styleId="45">
    <w:name w:val="标题 6 字符"/>
    <w:basedOn w:val="32"/>
    <w:link w:val="10"/>
    <w:semiHidden/>
    <w:qFormat/>
    <w:uiPriority w:val="9"/>
    <w:rPr>
      <w:rFonts w:cstheme="majorBidi"/>
      <w:b/>
      <w:bCs/>
      <w:color w:val="104862" w:themeColor="accent1" w:themeShade="BF"/>
    </w:rPr>
  </w:style>
  <w:style w:type="character" w:customStyle="1" w:styleId="46">
    <w:name w:val="标题 7 字符"/>
    <w:basedOn w:val="32"/>
    <w:link w:val="11"/>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7">
    <w:name w:val="标题 8 字符"/>
    <w:basedOn w:val="32"/>
    <w:link w:val="1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8">
    <w:name w:val="标题 9 字符"/>
    <w:basedOn w:val="32"/>
    <w:link w:val="13"/>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9">
    <w:name w:val="标题 字符"/>
    <w:basedOn w:val="32"/>
    <w:link w:val="27"/>
    <w:qFormat/>
    <w:uiPriority w:val="10"/>
    <w:rPr>
      <w:rFonts w:ascii="仿宋_GB2312" w:eastAsia="仿宋_GB2312" w:hAnsiTheme="majorHAnsi" w:cstheme="majorBidi"/>
      <w:b/>
      <w:spacing w:val="-10"/>
      <w:kern w:val="28"/>
      <w:sz w:val="32"/>
      <w:szCs w:val="56"/>
    </w:rPr>
  </w:style>
  <w:style w:type="character" w:customStyle="1" w:styleId="50">
    <w:name w:val="副标题 字符"/>
    <w:basedOn w:val="32"/>
    <w:link w:val="2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1">
    <w:name w:val="Quote"/>
    <w:basedOn w:val="1"/>
    <w:next w:val="1"/>
    <w:link w:val="5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2">
    <w:name w:val="引用 字符"/>
    <w:basedOn w:val="32"/>
    <w:link w:val="51"/>
    <w:qFormat/>
    <w:uiPriority w:val="29"/>
    <w:rPr>
      <w:i/>
      <w:iCs/>
      <w:color w:val="404040" w:themeColor="text1" w:themeTint="BF"/>
      <w14:textFill>
        <w14:solidFill>
          <w14:schemeClr w14:val="tx1">
            <w14:lumMod w14:val="75000"/>
            <w14:lumOff w14:val="25000"/>
          </w14:schemeClr>
        </w14:solidFill>
      </w14:textFill>
    </w:rPr>
  </w:style>
  <w:style w:type="paragraph" w:styleId="53">
    <w:name w:val="List Paragraph"/>
    <w:basedOn w:val="1"/>
    <w:qFormat/>
    <w:uiPriority w:val="34"/>
    <w:pPr>
      <w:ind w:left="720"/>
      <w:contextualSpacing/>
    </w:pPr>
  </w:style>
  <w:style w:type="character" w:customStyle="1" w:styleId="54">
    <w:name w:val="明显强调1"/>
    <w:basedOn w:val="32"/>
    <w:qFormat/>
    <w:uiPriority w:val="21"/>
    <w:rPr>
      <w:i/>
      <w:iCs/>
      <w:color w:val="104862" w:themeColor="accent1" w:themeShade="BF"/>
    </w:rPr>
  </w:style>
  <w:style w:type="paragraph" w:styleId="55">
    <w:name w:val="Intense Quote"/>
    <w:basedOn w:val="1"/>
    <w:next w:val="1"/>
    <w:link w:val="5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6">
    <w:name w:val="明显引用 字符"/>
    <w:basedOn w:val="32"/>
    <w:link w:val="55"/>
    <w:qFormat/>
    <w:uiPriority w:val="30"/>
    <w:rPr>
      <w:i/>
      <w:iCs/>
      <w:color w:val="104862" w:themeColor="accent1" w:themeShade="BF"/>
    </w:rPr>
  </w:style>
  <w:style w:type="character" w:customStyle="1" w:styleId="57">
    <w:name w:val="明显参考1"/>
    <w:basedOn w:val="32"/>
    <w:qFormat/>
    <w:uiPriority w:val="32"/>
    <w:rPr>
      <w:b/>
      <w:bCs/>
      <w:smallCaps/>
      <w:color w:val="104862" w:themeColor="accent1" w:themeShade="BF"/>
      <w:spacing w:val="5"/>
    </w:rPr>
  </w:style>
  <w:style w:type="character" w:customStyle="1" w:styleId="58">
    <w:name w:val="页眉 字符"/>
    <w:basedOn w:val="32"/>
    <w:link w:val="21"/>
    <w:qFormat/>
    <w:uiPriority w:val="99"/>
    <w:rPr>
      <w:sz w:val="18"/>
      <w:szCs w:val="18"/>
    </w:rPr>
  </w:style>
  <w:style w:type="character" w:customStyle="1" w:styleId="59">
    <w:name w:val="页脚 字符"/>
    <w:basedOn w:val="32"/>
    <w:link w:val="20"/>
    <w:qFormat/>
    <w:uiPriority w:val="99"/>
    <w:rPr>
      <w:sz w:val="18"/>
      <w:szCs w:val="18"/>
    </w:rPr>
  </w:style>
  <w:style w:type="character" w:customStyle="1" w:styleId="60">
    <w:name w:val="批注文字 字符"/>
    <w:basedOn w:val="32"/>
    <w:link w:val="15"/>
    <w:qFormat/>
    <w:uiPriority w:val="99"/>
    <w:rPr>
      <w:rFonts w:ascii="Times New Roman" w:hAnsi="Times New Roman" w:eastAsia="仿宋_GB2312"/>
      <w:sz w:val="32"/>
    </w:rPr>
  </w:style>
  <w:style w:type="character" w:customStyle="1" w:styleId="61">
    <w:name w:val="批注主题 字符"/>
    <w:basedOn w:val="60"/>
    <w:link w:val="28"/>
    <w:semiHidden/>
    <w:qFormat/>
    <w:uiPriority w:val="99"/>
    <w:rPr>
      <w:rFonts w:ascii="Times New Roman" w:hAnsi="Times New Roman" w:eastAsia="仿宋_GB2312"/>
      <w:b/>
      <w:bCs/>
      <w:sz w:val="32"/>
    </w:rPr>
  </w:style>
  <w:style w:type="paragraph" w:customStyle="1" w:styleId="62">
    <w:name w:val="修订1"/>
    <w:hidden/>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63">
    <w:name w:val="未处理的提及1"/>
    <w:basedOn w:val="32"/>
    <w:semiHidden/>
    <w:unhideWhenUsed/>
    <w:qFormat/>
    <w:uiPriority w:val="99"/>
    <w:rPr>
      <w:color w:val="605E5C"/>
      <w:shd w:val="clear" w:color="auto" w:fill="E1DFDD"/>
    </w:rPr>
  </w:style>
  <w:style w:type="character" w:customStyle="1" w:styleId="64">
    <w:name w:val="正文文本 字符"/>
    <w:basedOn w:val="32"/>
    <w:link w:val="16"/>
    <w:semiHidden/>
    <w:qFormat/>
    <w:uiPriority w:val="99"/>
    <w:rPr>
      <w:rFonts w:ascii="Calibri" w:hAnsi="Calibri" w:eastAsia="宋体" w:cs="Times New Roman"/>
      <w:szCs w:val="24"/>
      <w14:ligatures w14:val="none"/>
    </w:rPr>
  </w:style>
  <w:style w:type="character" w:customStyle="1" w:styleId="65">
    <w:name w:val="脚注文本 字符"/>
    <w:basedOn w:val="32"/>
    <w:link w:val="24"/>
    <w:semiHidden/>
    <w:qFormat/>
    <w:uiPriority w:val="99"/>
    <w:rPr>
      <w:rFonts w:ascii="Times New Roman" w:hAnsi="Times New Roman" w:eastAsia="仿宋_GB2312"/>
      <w:sz w:val="18"/>
      <w:szCs w:val="18"/>
    </w:rPr>
  </w:style>
  <w:style w:type="paragraph" w:customStyle="1" w:styleId="66">
    <w:name w:val="专栏标题"/>
    <w:basedOn w:val="8"/>
    <w:next w:val="8"/>
    <w:link w:val="67"/>
    <w:qFormat/>
    <w:uiPriority w:val="0"/>
    <w:pPr>
      <w:keepNext w:val="0"/>
      <w:keepLines w:val="0"/>
      <w:spacing w:before="50" w:beforeLines="50" w:after="50" w:afterLines="50" w:line="360" w:lineRule="exact"/>
      <w:ind w:firstLine="0" w:firstLineChars="0"/>
      <w:jc w:val="center"/>
    </w:pPr>
    <w:rPr>
      <w:b/>
      <w:color w:val="000000" w:themeColor="text1"/>
      <w:sz w:val="32"/>
      <w14:textFill>
        <w14:solidFill>
          <w14:schemeClr w14:val="tx1"/>
        </w14:solidFill>
      </w14:textFill>
    </w:rPr>
  </w:style>
  <w:style w:type="character" w:customStyle="1" w:styleId="67">
    <w:name w:val="专栏标题 字符"/>
    <w:basedOn w:val="32"/>
    <w:link w:val="66"/>
    <w:qFormat/>
    <w:uiPriority w:val="0"/>
    <w:rPr>
      <w:rFonts w:ascii="Times New Roman" w:hAnsi="Times New Roman" w:eastAsia="仿宋_GB2312" w:cstheme="majorBidi"/>
      <w:b/>
      <w:color w:val="000000" w:themeColor="text1"/>
      <w:sz w:val="32"/>
      <w:szCs w:val="28"/>
      <w14:textFill>
        <w14:solidFill>
          <w14:schemeClr w14:val="tx1"/>
        </w14:solidFill>
      </w14:textFill>
    </w:rPr>
  </w:style>
  <w:style w:type="paragraph" w:customStyle="1" w:styleId="68">
    <w:name w:val="专栏内容"/>
    <w:basedOn w:val="1"/>
    <w:qFormat/>
    <w:uiPriority w:val="0"/>
    <w:pPr>
      <w:spacing w:line="480" w:lineRule="exact"/>
    </w:pPr>
    <w:rPr>
      <w:bCs/>
      <w:sz w:val="24"/>
    </w:rPr>
  </w:style>
  <w:style w:type="paragraph" w:customStyle="1" w:styleId="69">
    <w:name w:val="TOC 标题1"/>
    <w:basedOn w:val="1"/>
    <w:next w:val="1"/>
    <w:unhideWhenUsed/>
    <w:qFormat/>
    <w:uiPriority w:val="39"/>
    <w:pPr>
      <w:keepNext/>
      <w:keepLines/>
      <w:widowControl/>
      <w:spacing w:before="240" w:line="259" w:lineRule="auto"/>
      <w:ind w:firstLine="0" w:firstLineChars="0"/>
      <w:jc w:val="center"/>
    </w:pPr>
    <w:rPr>
      <w:rFonts w:eastAsia="方正小标宋简体"/>
      <w:kern w:val="0"/>
      <w:sz w:val="44"/>
      <w:szCs w:val="32"/>
      <w14:ligatures w14:val="none"/>
    </w:rPr>
  </w:style>
  <w:style w:type="paragraph" w:customStyle="1" w:styleId="70">
    <w:name w:val="题注1"/>
    <w:basedOn w:val="1"/>
    <w:next w:val="1"/>
    <w:unhideWhenUsed/>
    <w:qFormat/>
    <w:uiPriority w:val="35"/>
    <w:pPr>
      <w:spacing w:line="240" w:lineRule="auto"/>
      <w:ind w:firstLine="0" w:firstLineChars="0"/>
    </w:pPr>
    <w:rPr>
      <w:rFonts w:ascii="Calibri Light" w:hAnsi="Calibri Light" w:eastAsia="黑体" w:cs="Times New Roman"/>
      <w:sz w:val="20"/>
      <w:szCs w:val="20"/>
    </w:rPr>
  </w:style>
  <w:style w:type="character" w:customStyle="1" w:styleId="71">
    <w:name w:val="批注框文本 字符"/>
    <w:basedOn w:val="32"/>
    <w:link w:val="19"/>
    <w:semiHidden/>
    <w:qFormat/>
    <w:uiPriority w:val="99"/>
    <w:rPr>
      <w:rFonts w:ascii="仿宋_GB2312" w:hAnsi="Calibri" w:eastAsia="仿宋_GB2312"/>
      <w:sz w:val="18"/>
      <w:szCs w:val="18"/>
    </w:rPr>
  </w:style>
  <w:style w:type="table" w:customStyle="1" w:styleId="72">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修订11"/>
    <w:hidden/>
    <w:semiHidden/>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74">
    <w:name w:val="超链接1"/>
    <w:basedOn w:val="32"/>
    <w:unhideWhenUsed/>
    <w:qFormat/>
    <w:uiPriority w:val="99"/>
    <w:rPr>
      <w:color w:val="0563C1"/>
      <w:u w:val="single"/>
    </w:rPr>
  </w:style>
  <w:style w:type="character" w:customStyle="1" w:styleId="75">
    <w:name w:val="未处理的提及11"/>
    <w:basedOn w:val="32"/>
    <w:semiHidden/>
    <w:unhideWhenUsed/>
    <w:qFormat/>
    <w:uiPriority w:val="99"/>
    <w:rPr>
      <w:color w:val="605E5C"/>
      <w:shd w:val="clear" w:color="auto" w:fill="E1DFDD"/>
    </w:rPr>
  </w:style>
  <w:style w:type="paragraph" w:customStyle="1" w:styleId="76">
    <w:name w:val="BodyText"/>
    <w:basedOn w:val="1"/>
    <w:next w:val="27"/>
    <w:qFormat/>
    <w:uiPriority w:val="1"/>
    <w:pPr>
      <w:adjustRightInd w:val="0"/>
      <w:snapToGrid w:val="0"/>
      <w:spacing w:after="120"/>
      <w:textAlignment w:val="baseline"/>
    </w:pPr>
    <w:rPr>
      <w:rFonts w:ascii="仿宋_GB2312" w:hAnsi="Calibri"/>
    </w:rPr>
  </w:style>
  <w:style w:type="paragraph" w:customStyle="1" w:styleId="77">
    <w:name w:val="_Style 1"/>
    <w:next w:val="1"/>
    <w:qFormat/>
    <w:uiPriority w:val="99"/>
    <w:pPr>
      <w:widowControl w:val="0"/>
      <w:ind w:firstLine="420"/>
      <w:jc w:val="both"/>
    </w:pPr>
    <w:rPr>
      <w:rFonts w:ascii="Times New Roman" w:hAnsi="Times New Roman" w:eastAsia="仿宋_GB2312" w:cs="Times New Roman"/>
      <w:kern w:val="2"/>
      <w:sz w:val="32"/>
      <w:lang w:val="en-US" w:eastAsia="zh-CN" w:bidi="ar-SA"/>
    </w:rPr>
  </w:style>
  <w:style w:type="paragraph" w:customStyle="1" w:styleId="78">
    <w:name w:val="FootnoteText"/>
    <w:basedOn w:val="1"/>
    <w:next w:val="1"/>
    <w:qFormat/>
    <w:uiPriority w:val="1"/>
    <w:pPr>
      <w:adjustRightInd w:val="0"/>
      <w:snapToGrid w:val="0"/>
      <w:jc w:val="left"/>
      <w:textAlignment w:val="baseline"/>
    </w:pPr>
    <w:rPr>
      <w:rFonts w:eastAsia="宋体" w:cs="Times New Roman"/>
      <w:sz w:val="18"/>
      <w:szCs w:val="18"/>
    </w:rPr>
  </w:style>
  <w:style w:type="paragraph" w:customStyle="1" w:styleId="79">
    <w:name w:val="修订2"/>
    <w:hidden/>
    <w:unhideWhenUsed/>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80">
    <w:name w:val="未处理的提及2"/>
    <w:basedOn w:val="32"/>
    <w:semiHidden/>
    <w:unhideWhenUsed/>
    <w:qFormat/>
    <w:uiPriority w:val="99"/>
    <w:rPr>
      <w:color w:val="605E5C"/>
      <w:shd w:val="clear" w:color="auto" w:fill="E1DFDD"/>
    </w:rPr>
  </w:style>
  <w:style w:type="paragraph" w:customStyle="1" w:styleId="81">
    <w:name w:val="题注2"/>
    <w:basedOn w:val="1"/>
    <w:next w:val="1"/>
    <w:unhideWhenUsed/>
    <w:qFormat/>
    <w:uiPriority w:val="35"/>
    <w:pPr>
      <w:spacing w:line="240" w:lineRule="auto"/>
      <w:ind w:firstLine="0" w:firstLineChars="0"/>
    </w:pPr>
    <w:rPr>
      <w:rFonts w:ascii="Calibri Light" w:hAnsi="Calibri Light" w:eastAsia="黑体" w:cs="Times New Roman"/>
      <w:sz w:val="20"/>
      <w:szCs w:val="20"/>
    </w:rPr>
  </w:style>
  <w:style w:type="table" w:customStyle="1" w:styleId="82">
    <w:name w:val="网格型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网格型3"/>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网格型4"/>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网格型11"/>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
    <w:name w:val="网格型12"/>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
    <w:name w:val="网格型5"/>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8">
    <w:name w:val="未处理的提及3"/>
    <w:basedOn w:val="32"/>
    <w:semiHidden/>
    <w:unhideWhenUsed/>
    <w:qFormat/>
    <w:uiPriority w:val="99"/>
    <w:rPr>
      <w:color w:val="605E5C"/>
      <w:shd w:val="clear" w:color="auto" w:fill="E1DFDD"/>
    </w:rPr>
  </w:style>
  <w:style w:type="table" w:customStyle="1" w:styleId="89">
    <w:name w:val="网格型5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
    <w:name w:val="1章"/>
    <w:basedOn w:val="1"/>
    <w:next w:val="1"/>
    <w:link w:val="91"/>
    <w:qFormat/>
    <w:uiPriority w:val="1"/>
    <w:pPr>
      <w:ind w:firstLine="0" w:firstLineChars="0"/>
      <w:jc w:val="center"/>
      <w:outlineLvl w:val="0"/>
    </w:pPr>
    <w:rPr>
      <w:rFonts w:eastAsia="黑体" w:cs="Times New Roman"/>
      <w:szCs w:val="32"/>
    </w:rPr>
  </w:style>
  <w:style w:type="character" w:customStyle="1" w:styleId="91">
    <w:name w:val="1章 字符"/>
    <w:basedOn w:val="32"/>
    <w:link w:val="90"/>
    <w:qFormat/>
    <w:uiPriority w:val="1"/>
    <w:rPr>
      <w:rFonts w:ascii="Times New Roman" w:hAnsi="Times New Roman" w:eastAsia="黑体" w:cs="Times New Roman"/>
      <w:sz w:val="32"/>
      <w:szCs w:val="32"/>
    </w:rPr>
  </w:style>
  <w:style w:type="paragraph" w:customStyle="1" w:styleId="92">
    <w:name w:val="2节"/>
    <w:basedOn w:val="1"/>
    <w:next w:val="1"/>
    <w:link w:val="93"/>
    <w:qFormat/>
    <w:uiPriority w:val="1"/>
    <w:pPr>
      <w:ind w:firstLine="0" w:firstLineChars="0"/>
      <w:jc w:val="center"/>
      <w:outlineLvl w:val="1"/>
    </w:pPr>
    <w:rPr>
      <w:rFonts w:eastAsia="楷体_GB2312" w:cs="Times New Roman"/>
      <w:szCs w:val="32"/>
    </w:rPr>
  </w:style>
  <w:style w:type="character" w:customStyle="1" w:styleId="93">
    <w:name w:val="2节 字符"/>
    <w:basedOn w:val="32"/>
    <w:link w:val="92"/>
    <w:qFormat/>
    <w:uiPriority w:val="1"/>
    <w:rPr>
      <w:rFonts w:ascii="Times New Roman" w:hAnsi="Times New Roman" w:eastAsia="楷体_GB2312" w:cs="Times New Roman"/>
      <w:sz w:val="32"/>
      <w:szCs w:val="32"/>
    </w:rPr>
  </w:style>
  <w:style w:type="paragraph" w:customStyle="1" w:styleId="94">
    <w:name w:val="3内容"/>
    <w:basedOn w:val="1"/>
    <w:next w:val="1"/>
    <w:link w:val="95"/>
    <w:qFormat/>
    <w:uiPriority w:val="1"/>
    <w:pPr>
      <w:adjustRightInd w:val="0"/>
      <w:snapToGrid w:val="0"/>
      <w:outlineLvl w:val="2"/>
    </w:pPr>
    <w:rPr>
      <w:rFonts w:cs="Times New Roman"/>
      <w:bCs/>
      <w:szCs w:val="32"/>
    </w:rPr>
  </w:style>
  <w:style w:type="character" w:customStyle="1" w:styleId="95">
    <w:name w:val="3内容 字符"/>
    <w:basedOn w:val="32"/>
    <w:link w:val="94"/>
    <w:qFormat/>
    <w:uiPriority w:val="1"/>
    <w:rPr>
      <w:rFonts w:ascii="Times New Roman" w:hAnsi="Times New Roman" w:eastAsia="仿宋_GB2312" w:cs="Times New Roman"/>
      <w:bCs/>
      <w:sz w:val="32"/>
      <w:szCs w:val="32"/>
    </w:rPr>
  </w:style>
  <w:style w:type="table" w:customStyle="1" w:styleId="96">
    <w:name w:val="网格型5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7">
    <w:name w:val="【正文】"/>
    <w:basedOn w:val="1"/>
    <w:link w:val="98"/>
    <w:qFormat/>
    <w:uiPriority w:val="0"/>
    <w:pPr>
      <w:adjustRightInd w:val="0"/>
      <w:snapToGrid w:val="0"/>
    </w:pPr>
    <w:rPr>
      <w:rFonts w:cs="Times New Roman"/>
      <w:szCs w:val="20"/>
      <w14:ligatures w14:val="none"/>
    </w:rPr>
  </w:style>
  <w:style w:type="character" w:customStyle="1" w:styleId="98">
    <w:name w:val="【正文】 Char"/>
    <w:link w:val="97"/>
    <w:qFormat/>
    <w:uiPriority w:val="0"/>
    <w:rPr>
      <w:rFonts w:ascii="Times New Roman" w:hAnsi="Times New Roman" w:eastAsia="仿宋_GB2312" w:cs="Times New Roman"/>
      <w:sz w:val="32"/>
      <w:szCs w:val="20"/>
      <w14:ligatures w14:val="none"/>
    </w:rPr>
  </w:style>
  <w:style w:type="paragraph" w:customStyle="1" w:styleId="99">
    <w:name w:val="1篇"/>
    <w:basedOn w:val="1"/>
    <w:next w:val="1"/>
    <w:link w:val="100"/>
    <w:qFormat/>
    <w:uiPriority w:val="1"/>
    <w:pPr>
      <w:ind w:firstLine="0" w:firstLineChars="0"/>
      <w:jc w:val="center"/>
      <w:outlineLvl w:val="0"/>
    </w:pPr>
    <w:rPr>
      <w:rFonts w:eastAsia="方正小标宋简体" w:cs="Times New Roman"/>
      <w:sz w:val="44"/>
      <w:szCs w:val="32"/>
    </w:rPr>
  </w:style>
  <w:style w:type="character" w:customStyle="1" w:styleId="100">
    <w:name w:val="1篇 字符"/>
    <w:basedOn w:val="32"/>
    <w:link w:val="99"/>
    <w:qFormat/>
    <w:uiPriority w:val="1"/>
    <w:rPr>
      <w:rFonts w:eastAsia="方正小标宋简体"/>
      <w:kern w:val="2"/>
      <w:sz w:val="44"/>
      <w:szCs w:val="32"/>
      <w14:ligatures w14:val="standardContextual"/>
    </w:rPr>
  </w:style>
  <w:style w:type="paragraph" w:customStyle="1" w:styleId="101">
    <w:name w:val="2章"/>
    <w:basedOn w:val="1"/>
    <w:next w:val="1"/>
    <w:link w:val="102"/>
    <w:qFormat/>
    <w:uiPriority w:val="1"/>
    <w:pPr>
      <w:ind w:firstLine="0" w:firstLineChars="0"/>
      <w:jc w:val="center"/>
      <w:outlineLvl w:val="1"/>
    </w:pPr>
    <w:rPr>
      <w:rFonts w:eastAsia="黑体" w:cs="Times New Roman"/>
      <w:szCs w:val="32"/>
    </w:rPr>
  </w:style>
  <w:style w:type="character" w:customStyle="1" w:styleId="102">
    <w:name w:val="2章 字符"/>
    <w:basedOn w:val="32"/>
    <w:link w:val="101"/>
    <w:qFormat/>
    <w:uiPriority w:val="1"/>
    <w:rPr>
      <w:rFonts w:ascii="Times New Roman" w:hAnsi="Times New Roman" w:eastAsia="黑体" w:cs="Times New Roman"/>
      <w:sz w:val="32"/>
      <w:szCs w:val="32"/>
    </w:rPr>
  </w:style>
  <w:style w:type="paragraph" w:customStyle="1" w:styleId="103">
    <w:name w:val="3节"/>
    <w:basedOn w:val="1"/>
    <w:next w:val="1"/>
    <w:link w:val="104"/>
    <w:qFormat/>
    <w:uiPriority w:val="1"/>
    <w:pPr>
      <w:adjustRightInd w:val="0"/>
      <w:snapToGrid w:val="0"/>
      <w:ind w:firstLine="0" w:firstLineChars="0"/>
      <w:jc w:val="center"/>
      <w:outlineLvl w:val="2"/>
    </w:pPr>
    <w:rPr>
      <w:rFonts w:eastAsia="楷体_GB2312" w:cs="Times New Roman"/>
      <w:bCs/>
      <w:szCs w:val="32"/>
    </w:rPr>
  </w:style>
  <w:style w:type="character" w:customStyle="1" w:styleId="104">
    <w:name w:val="3节 字符"/>
    <w:basedOn w:val="32"/>
    <w:link w:val="103"/>
    <w:qFormat/>
    <w:uiPriority w:val="1"/>
    <w:rPr>
      <w:rFonts w:ascii="Times New Roman" w:hAnsi="Times New Roman" w:eastAsia="楷体_GB2312" w:cs="Times New Roman"/>
      <w:bCs/>
      <w:sz w:val="32"/>
      <w:szCs w:val="32"/>
    </w:rPr>
  </w:style>
  <w:style w:type="table" w:customStyle="1" w:styleId="105">
    <w:name w:val="网格型1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一级标题"/>
    <w:basedOn w:val="5"/>
    <w:next w:val="107"/>
    <w:link w:val="109"/>
    <w:qFormat/>
    <w:uiPriority w:val="1"/>
    <w:pPr>
      <w:numPr>
        <w:numId w:val="0"/>
      </w:numPr>
      <w:adjustRightInd w:val="0"/>
      <w:snapToGrid w:val="0"/>
      <w:ind w:firstLine="200" w:firstLineChars="200"/>
      <w:jc w:val="both"/>
    </w:pPr>
    <w:rPr>
      <w:rFonts w:ascii="黑体" w:hAnsi="黑体" w:eastAsia="黑体" w:cs="仿宋_GB2312"/>
      <w:b/>
      <w:bCs/>
      <w:kern w:val="44"/>
      <w:sz w:val="32"/>
      <w:szCs w:val="28"/>
    </w:rPr>
  </w:style>
  <w:style w:type="paragraph" w:customStyle="1" w:styleId="107">
    <w:name w:val="二级标题"/>
    <w:basedOn w:val="6"/>
    <w:next w:val="108"/>
    <w:link w:val="111"/>
    <w:qFormat/>
    <w:uiPriority w:val="2"/>
    <w:pPr>
      <w:numPr>
        <w:ilvl w:val="0"/>
        <w:numId w:val="0"/>
      </w:numPr>
      <w:adjustRightInd w:val="0"/>
      <w:snapToGrid w:val="0"/>
      <w:ind w:firstLine="200" w:firstLineChars="200"/>
      <w:jc w:val="both"/>
    </w:pPr>
    <w:rPr>
      <w:rFonts w:ascii="楷体_GB2312" w:hAnsi="黑体" w:eastAsia="楷体_GB2312"/>
      <w:b/>
      <w:bCs/>
    </w:rPr>
  </w:style>
  <w:style w:type="paragraph" w:customStyle="1" w:styleId="108">
    <w:name w:val="三级标题"/>
    <w:basedOn w:val="7"/>
    <w:next w:val="1"/>
    <w:link w:val="110"/>
    <w:qFormat/>
    <w:uiPriority w:val="3"/>
    <w:pPr>
      <w:kinsoku w:val="0"/>
      <w:autoSpaceDE w:val="0"/>
      <w:autoSpaceDN w:val="0"/>
      <w:adjustRightInd w:val="0"/>
      <w:snapToGrid w:val="0"/>
      <w:ind w:left="400" w:hanging="400" w:firstLineChars="200"/>
      <w:jc w:val="both"/>
    </w:pPr>
    <w:rPr>
      <w:rFonts w:ascii="仿宋_GB2312" w:hAnsi="仿宋_GB2312" w:eastAsia="仿宋_GB2312" w:cs="仿宋_GB2312"/>
      <w:b w:val="0"/>
      <w:bCs/>
    </w:rPr>
  </w:style>
  <w:style w:type="character" w:customStyle="1" w:styleId="109">
    <w:name w:val="一级标题 字符"/>
    <w:basedOn w:val="40"/>
    <w:link w:val="106"/>
    <w:qFormat/>
    <w:uiPriority w:val="1"/>
    <w:rPr>
      <w:rFonts w:ascii="黑体" w:hAnsi="黑体" w:eastAsia="黑体" w:cs="仿宋_GB2312"/>
      <w:b/>
      <w:bCs/>
      <w:color w:val="000000" w:themeColor="text1"/>
      <w:kern w:val="44"/>
      <w:sz w:val="32"/>
      <w:szCs w:val="28"/>
      <w14:textFill>
        <w14:solidFill>
          <w14:schemeClr w14:val="tx1"/>
        </w14:solidFill>
      </w14:textFill>
      <w14:ligatures w14:val="standardContextual"/>
    </w:rPr>
  </w:style>
  <w:style w:type="character" w:customStyle="1" w:styleId="110">
    <w:name w:val="三级标题 字符"/>
    <w:basedOn w:val="42"/>
    <w:link w:val="108"/>
    <w:qFormat/>
    <w:uiPriority w:val="3"/>
    <w:rPr>
      <w:rFonts w:ascii="仿宋_GB2312" w:hAnsi="仿宋_GB2312" w:eastAsia="仿宋_GB2312" w:cs="仿宋_GB2312"/>
      <w:b w:val="0"/>
      <w:bCs/>
      <w:color w:val="000000" w:themeColor="text1"/>
      <w:kern w:val="2"/>
      <w:sz w:val="32"/>
      <w:szCs w:val="32"/>
      <w14:textFill>
        <w14:solidFill>
          <w14:schemeClr w14:val="tx1"/>
        </w14:solidFill>
      </w14:textFill>
      <w14:ligatures w14:val="standardContextual"/>
    </w:rPr>
  </w:style>
  <w:style w:type="character" w:customStyle="1" w:styleId="111">
    <w:name w:val="二级标题 字符"/>
    <w:basedOn w:val="41"/>
    <w:link w:val="107"/>
    <w:qFormat/>
    <w:uiPriority w:val="2"/>
    <w:rPr>
      <w:rFonts w:ascii="楷体_GB2312" w:hAnsi="黑体" w:eastAsia="楷体_GB2312" w:cstheme="majorBidi"/>
      <w:b/>
      <w:bCs/>
      <w:color w:val="000000" w:themeColor="text1"/>
      <w:kern w:val="2"/>
      <w:sz w:val="32"/>
      <w:szCs w:val="40"/>
      <w14:textFill>
        <w14:solidFill>
          <w14:schemeClr w14:val="tx1"/>
        </w14:solidFill>
      </w14:textFill>
      <w14:ligatures w14:val="standardContextual"/>
    </w:rPr>
  </w:style>
  <w:style w:type="paragraph" w:customStyle="1" w:styleId="112">
    <w:name w:val="表格标题"/>
    <w:basedOn w:val="1"/>
    <w:next w:val="1"/>
    <w:qFormat/>
    <w:uiPriority w:val="4"/>
    <w:pPr>
      <w:adjustRightInd w:val="0"/>
      <w:snapToGrid w:val="0"/>
      <w:ind w:left="403" w:firstLine="0" w:firstLineChars="0"/>
      <w:jc w:val="center"/>
      <w:outlineLvl w:val="5"/>
    </w:pPr>
    <w:rPr>
      <w:rFonts w:ascii="仿宋_GB2312" w:hAnsi="宋体" w:cs="Times New Roman"/>
      <w:b/>
      <w:sz w:val="28"/>
      <w:szCs w:val="44"/>
    </w:rPr>
  </w:style>
  <w:style w:type="paragraph" w:customStyle="1" w:styleId="113">
    <w:name w:val="图片标题"/>
    <w:basedOn w:val="1"/>
    <w:next w:val="1"/>
    <w:qFormat/>
    <w:uiPriority w:val="4"/>
    <w:pPr>
      <w:numPr>
        <w:ilvl w:val="0"/>
        <w:numId w:val="2"/>
      </w:numPr>
      <w:adjustRightInd w:val="0"/>
      <w:snapToGrid w:val="0"/>
      <w:ind w:firstLine="0" w:firstLineChars="0"/>
      <w:jc w:val="center"/>
      <w:outlineLvl w:val="5"/>
    </w:pPr>
    <w:rPr>
      <w:rFonts w:ascii="仿宋_GB2312" w:hAnsi="Calibri"/>
      <w:b/>
      <w:sz w:val="28"/>
      <w:szCs w:val="22"/>
    </w:rPr>
  </w:style>
  <w:style w:type="paragraph" w:customStyle="1" w:styleId="114">
    <w:name w:val="A文件标题"/>
    <w:basedOn w:val="1"/>
    <w:qFormat/>
    <w:uiPriority w:val="5"/>
    <w:pPr>
      <w:adjustRightInd w:val="0"/>
      <w:snapToGrid w:val="0"/>
      <w:ind w:firstLine="0" w:firstLineChars="0"/>
      <w:jc w:val="center"/>
    </w:pPr>
    <w:rPr>
      <w:rFonts w:ascii="仿宋_GB2312" w:hAnsi="Calibri" w:eastAsia="方正小标宋简体"/>
      <w:sz w:val="44"/>
      <w:szCs w:val="22"/>
    </w:rPr>
  </w:style>
  <w:style w:type="paragraph" w:customStyle="1" w:styleId="115">
    <w:name w:val="B文件标题"/>
    <w:basedOn w:val="1"/>
    <w:qFormat/>
    <w:uiPriority w:val="6"/>
    <w:pPr>
      <w:adjustRightInd w:val="0"/>
      <w:snapToGrid w:val="0"/>
      <w:ind w:firstLine="0" w:firstLineChars="0"/>
      <w:jc w:val="center"/>
    </w:pPr>
    <w:rPr>
      <w:rFonts w:ascii="仿宋_GB2312" w:hAnsi="Calibri" w:eastAsia="宋体"/>
      <w:b/>
      <w:sz w:val="44"/>
      <w:szCs w:val="22"/>
    </w:rPr>
  </w:style>
  <w:style w:type="table" w:customStyle="1" w:styleId="116">
    <w:name w:val="网格型6"/>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2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3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网格型4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网格型5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2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23"/>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42"/>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3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4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6">
    <w:name w:val="正文文本首行缩进 字符"/>
    <w:basedOn w:val="64"/>
    <w:link w:val="29"/>
    <w:semiHidden/>
    <w:qFormat/>
    <w:uiPriority w:val="99"/>
    <w:rPr>
      <w:rFonts w:ascii="Times New Roman" w:hAnsi="Times New Roman" w:eastAsia="仿宋_GB2312" w:cs="Times New Roman"/>
      <w:sz w:val="32"/>
      <w:szCs w:val="24"/>
      <w14:ligatures w14:val="none"/>
    </w:rPr>
  </w:style>
  <w:style w:type="table" w:customStyle="1" w:styleId="127">
    <w:name w:val="网格型54"/>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55"/>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9">
    <w:name w:val="未处理的提及4"/>
    <w:basedOn w:val="32"/>
    <w:semiHidden/>
    <w:unhideWhenUsed/>
    <w:qFormat/>
    <w:uiPriority w:val="99"/>
    <w:rPr>
      <w:color w:val="605E5C"/>
      <w:shd w:val="clear" w:color="auto" w:fill="E1DFDD"/>
    </w:rPr>
  </w:style>
  <w:style w:type="table" w:customStyle="1" w:styleId="130">
    <w:name w:val="网格型44"/>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网格型45"/>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2">
    <w:name w:val="节 字符"/>
    <w:basedOn w:val="32"/>
    <w:link w:val="133"/>
    <w:qFormat/>
    <w:locked/>
    <w:uiPriority w:val="1"/>
    <w:rPr>
      <w:rFonts w:ascii="楷体_GB2312" w:hAnsi="黑体" w:eastAsia="楷体_GB2312" w:cs="Times New Roman"/>
      <w:bCs/>
      <w:color w:val="000000" w:themeColor="text1"/>
      <w:sz w:val="32"/>
      <w:szCs w:val="40"/>
      <w14:textFill>
        <w14:solidFill>
          <w14:schemeClr w14:val="tx1"/>
        </w14:solidFill>
      </w14:textFill>
    </w:rPr>
  </w:style>
  <w:style w:type="paragraph" w:customStyle="1" w:styleId="133">
    <w:name w:val="节"/>
    <w:basedOn w:val="6"/>
    <w:next w:val="1"/>
    <w:link w:val="132"/>
    <w:qFormat/>
    <w:uiPriority w:val="1"/>
    <w:pPr>
      <w:widowControl/>
      <w:numPr>
        <w:ilvl w:val="0"/>
        <w:numId w:val="0"/>
      </w:numPr>
      <w:outlineLvl w:val="2"/>
    </w:pPr>
    <w:rPr>
      <w:rFonts w:ascii="楷体_GB2312" w:hAnsi="黑体" w:eastAsia="楷体_GB2312" w:cs="Times New Roman"/>
      <w:bCs/>
    </w:rPr>
  </w:style>
  <w:style w:type="paragraph" w:customStyle="1" w:styleId="134">
    <w:name w:val="章"/>
    <w:basedOn w:val="1"/>
    <w:link w:val="135"/>
    <w:qFormat/>
    <w:uiPriority w:val="1"/>
    <w:pPr>
      <w:widowControl/>
      <w:ind w:firstLine="0" w:firstLineChars="0"/>
      <w:jc w:val="center"/>
      <w:outlineLvl w:val="1"/>
    </w:pPr>
    <w:rPr>
      <w:rFonts w:ascii="仿宋_GB2312" w:eastAsia="黑体" w:hAnsiTheme="minorHAnsi"/>
      <w:szCs w:val="22"/>
    </w:rPr>
  </w:style>
  <w:style w:type="character" w:customStyle="1" w:styleId="135">
    <w:name w:val="章 字符"/>
    <w:basedOn w:val="32"/>
    <w:link w:val="134"/>
    <w:qFormat/>
    <w:uiPriority w:val="1"/>
    <w:rPr>
      <w:rFonts w:ascii="仿宋_GB2312" w:eastAsia="黑体"/>
      <w:sz w:val="32"/>
      <w:szCs w:val="22"/>
    </w:rPr>
  </w:style>
  <w:style w:type="paragraph" w:customStyle="1" w:styleId="136">
    <w:name w:val="修订3"/>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7">
    <w:name w:val="修订4"/>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8">
    <w:name w:val="修订5"/>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9">
    <w:name w:val="修订6"/>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0">
    <w:name w:val="修订7"/>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1">
    <w:name w:val="修订8"/>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2">
    <w:name w:val="修订9"/>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3">
    <w:name w:val="修订10"/>
    <w:hidden/>
    <w:semiHidden/>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4">
    <w:name w:val="修订12"/>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table" w:customStyle="1" w:styleId="145">
    <w:name w:val="网格型221"/>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
    <w:name w:val="网格型231"/>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
    <w:name w:val="网格型232"/>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网格型222"/>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
    <w:name w:val="网格型223"/>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网格型224"/>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网格型233"/>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
    <w:name w:val="网格型234"/>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3">
    <w:name w:val="修订13"/>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4">
    <w:name w:val="修订14"/>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5">
    <w:name w:val="修订15"/>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6">
    <w:name w:val="修订16"/>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7">
    <w:name w:val="修订17"/>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8">
    <w:name w:val="修订18"/>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9">
    <w:name w:val="修订19"/>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0">
    <w:name w:val="修订20"/>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1">
    <w:name w:val="修订21"/>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2">
    <w:name w:val="WPSOffice手动目录 1"/>
    <w:qFormat/>
    <w:uiPriority w:val="0"/>
    <w:rPr>
      <w:rFonts w:ascii="Times New Roman" w:hAnsi="Times New Roman" w:eastAsia="宋体" w:cs="Times New Roman"/>
      <w:lang w:val="en-US" w:eastAsia="zh-CN" w:bidi="ar-SA"/>
    </w:rPr>
  </w:style>
  <w:style w:type="paragraph" w:customStyle="1" w:styleId="163">
    <w:name w:val="Revision"/>
    <w:hidden/>
    <w:unhideWhenUsed/>
    <w:uiPriority w:val="99"/>
    <w:rPr>
      <w:rFonts w:ascii="Times New Roman" w:hAnsi="Times New Roman" w:eastAsia="仿宋_GB2312" w:cstheme="minorBidi"/>
      <w:kern w:val="2"/>
      <w:sz w:val="32"/>
      <w:szCs w:val="21"/>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pn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e1ab4bdf-5813-4fea-937a-1ddfdf61dea5</errorID>
      <errorWord>，</errorWord>
      <group>L1_Word</group>
      <groupName>字词问题</groupName>
      <ability>L2_Typo</ability>
      <abilityName>字词错误</abilityName>
      <candidateList>
        <item>，从</item>
      </candidateList>
      <explain/>
      <paraID>1E7DCCA6</paraID>
      <start>57</start>
      <end>58</end>
      <status>unmodified</status>
      <modifiedWord/>
      <trackRevisions>false</trackRevisions>
    </reviewItem>
    <reviewItem>
      <errorID>bbd54c10-786a-43b2-a0d2-6bc296e9526d</errorID>
      <errorWord>永清</errorWord>
      <group>L1_Word</group>
      <groupName>字词问题</groupName>
      <ability>L2_Typo</ability>
      <abilityName>字词错误</abilityName>
      <candidateList>
        <item>永</item>
      </candidateList>
      <explain/>
      <paraID>3878A476</paraID>
      <start>109</start>
      <end>111</end>
      <status>unmodified</status>
      <modifiedWord/>
      <trackRevisions>false</trackRevisions>
    </reviewItem>
    <reviewItem>
      <errorID>34ab85ab-805b-4886-a3d2-1bf2be6bd6fe</errorID>
      <errorWord>社会文明程度显著提升</errorWord>
      <group>L1_Political</group>
      <groupName>政治性问题</groupName>
      <ability>L2_Keyword</ability>
      <abilityName>固定表述</abilityName>
      <candidateList>
        <item>社会文明程度明显提升</item>
      </candidateList>
      <explain>词汇“社会文明程度明显提升”在特定场景下为固定表述形式，请确认此处的“社会文明程度显著提升”是否存在不当。</explain>
      <paraID>4D840A84</paraID>
      <start>420</start>
      <end>430</end>
      <status>unmodified</status>
      <modifiedWord/>
      <trackRevisions>false</trackRevisions>
    </reviewItem>
    <reviewItem>
      <errorID>062d9da0-7beb-4a17-af4b-de8b2848133a</errorID>
      <errorWord>(</errorWord>
      <group>L1_Format</group>
      <groupName>格式问题</groupName>
      <ability>L2_HalfPunc</ability>
      <abilityName>全半角检查</abilityName>
      <candidateList>
        <item>（</item>
      </candidateList>
      <explain>文本全半角错误。</explain>
      <paraID>69CE9387</paraID>
      <start>8</start>
      <end>9</end>
      <status>unmodified</status>
      <modifiedWord/>
      <trackRevisions>false</trackRevisions>
    </reviewItem>
    <reviewItem>
      <errorID>3ae13c9d-9010-4c02-a8da-7baf09efabca</errorID>
      <errorWord>)</errorWord>
      <group>L1_Format</group>
      <groupName>格式问题</groupName>
      <ability>L2_HalfPunc</ability>
      <abilityName>全半角检查</abilityName>
      <candidateList>
        <item>）</item>
      </candidateList>
      <explain>文本全半角错误。</explain>
      <paraID>69CE9387</paraID>
      <start>10</start>
      <end>11</end>
      <status>unmodified</status>
      <modifiedWord/>
      <trackRevisions>false</trackRevisions>
    </reviewItem>
    <reviewItem>
      <errorID>43574a78-7e87-4664-8684-81bda71fc10f</errorID>
      <errorWord>(</errorWord>
      <group>L1_Format</group>
      <groupName>格式问题</groupName>
      <ability>L2_HalfPunc</ability>
      <abilityName>全半角检查</abilityName>
      <candidateList>
        <item>（</item>
      </candidateList>
      <explain>文本全半角错误。</explain>
      <paraID>4D44ACD0</paraID>
      <start>9</start>
      <end>10</end>
      <status>unmodified</status>
      <modifiedWord/>
      <trackRevisions>false</trackRevisions>
    </reviewItem>
    <reviewItem>
      <errorID>ce55a7cc-06da-47c3-92ed-8e177334d6bf</errorID>
      <errorWord>)</errorWord>
      <group>L1_Format</group>
      <groupName>格式问题</groupName>
      <ability>L2_HalfPunc</ability>
      <abilityName>全半角检查</abilityName>
      <candidateList>
        <item>）</item>
      </candidateList>
      <explain>文本全半角错误。</explain>
      <paraID>4D44ACD0</paraID>
      <start>11</start>
      <end>12</end>
      <status>unmodified</status>
      <modifiedWord/>
      <trackRevisions>false</trackRevisions>
    </reviewItem>
    <reviewItem>
      <errorID>e0aebc11-1c77-465c-8010-c5f9623514ec</errorID>
      <errorWord>(</errorWord>
      <group>L1_Format</group>
      <groupName>格式问题</groupName>
      <ability>L2_HalfPunc</ability>
      <abilityName>全半角检查</abilityName>
      <candidateList>
        <item>（</item>
      </candidateList>
      <explain>文本全半角错误。</explain>
      <paraID>74E160B6</paraID>
      <start>15</start>
      <end>16</end>
      <status>unmodified</status>
      <modifiedWord/>
      <trackRevisions>false</trackRevisions>
    </reviewItem>
    <reviewItem>
      <errorID>9053ff21-528d-42e9-b573-7b1e6990d7f4</errorID>
      <errorWord>)</errorWord>
      <group>L1_Format</group>
      <groupName>格式问题</groupName>
      <ability>L2_HalfPunc</ability>
      <abilityName>全半角检查</abilityName>
      <candidateList>
        <item>）</item>
      </candidateList>
      <explain>文本全半角错误。</explain>
      <paraID>74E160B6</paraID>
      <start>17</start>
      <end>18</end>
      <status>unmodified</status>
      <modifiedWord/>
      <trackRevisions>false</trackRevisions>
    </reviewItem>
    <reviewItem>
      <errorID>54ff9687-ec35-4b92-b166-25dcb7bae363</errorID>
      <errorWord>(</errorWord>
      <group>L1_Format</group>
      <groupName>格式问题</groupName>
      <ability>L2_HalfPunc</ability>
      <abilityName>全半角检查</abilityName>
      <candidateList>
        <item>（</item>
      </candidateList>
      <explain>文本全半角错误。</explain>
      <paraID> 5B00FE0</paraID>
      <start>13</start>
      <end>14</end>
      <status>unmodified</status>
      <modifiedWord/>
      <trackRevisions>false</trackRevisions>
    </reviewItem>
    <reviewItem>
      <errorID>4e09bfbd-048c-4c9f-85fd-9ba81d215a97</errorID>
      <errorWord>)</errorWord>
      <group>L1_Format</group>
      <groupName>格式问题</groupName>
      <ability>L2_HalfPunc</ability>
      <abilityName>全半角检查</abilityName>
      <candidateList>
        <item>）</item>
      </candidateList>
      <explain>文本全半角错误。</explain>
      <paraID> 5B00FE0</paraID>
      <start>15</start>
      <end>16</end>
      <status>unmodified</status>
      <modifiedWord/>
      <trackRevisions>false</trackRevisions>
    </reviewItem>
    <reviewItem>
      <errorID>9c4d5351-cd40-4cc8-8345-a60343819db1</errorID>
      <errorWord>(</errorWord>
      <group>L1_Format</group>
      <groupName>格式问题</groupName>
      <ability>L2_HalfPunc</ability>
      <abilityName>全半角检查</abilityName>
      <candidateList>
        <item>（</item>
      </candidateList>
      <explain>文本全半角错误。</explain>
      <paraID>2A369F32</paraID>
      <start>16</start>
      <end>17</end>
      <status>unmodified</status>
      <modifiedWord/>
      <trackRevisions>false</trackRevisions>
    </reviewItem>
    <reviewItem>
      <errorID>f52ecdd4-c320-4ba7-ab8c-46e5fd21f65e</errorID>
      <errorWord>)</errorWord>
      <group>L1_Format</group>
      <groupName>格式问题</groupName>
      <ability>L2_HalfPunc</ability>
      <abilityName>全半角检查</abilityName>
      <candidateList>
        <item>）</item>
      </candidateList>
      <explain>文本全半角错误。</explain>
      <paraID>2A369F32</paraID>
      <start>18</start>
      <end>19</end>
      <status>unmodified</status>
      <modifiedWord/>
      <trackRevisions>false</trackRevisions>
    </reviewItem>
    <reviewItem>
      <errorID>90f8c8ff-f643-4312-b343-e9bba5feeb3e</errorID>
      <errorWord>(</errorWord>
      <group>L1_Format</group>
      <groupName>格式问题</groupName>
      <ability>L2_HalfPunc</ability>
      <abilityName>全半角检查</abilityName>
      <candidateList>
        <item>（</item>
      </candidateList>
      <explain>文本全半角错误。</explain>
      <paraID>7D3CCCE2</paraID>
      <start>7</start>
      <end>8</end>
      <status>unmodified</status>
      <modifiedWord/>
      <trackRevisions>false</trackRevisions>
    </reviewItem>
    <reviewItem>
      <errorID>7f921ed6-6617-4df2-b27c-f0e190ddb43b</errorID>
      <errorWord>)</errorWord>
      <group>L1_Format</group>
      <groupName>格式问题</groupName>
      <ability>L2_HalfPunc</ability>
      <abilityName>全半角检查</abilityName>
      <candidateList>
        <item>）</item>
      </candidateList>
      <explain>文本全半角错误。</explain>
      <paraID>7D3CCCE2</paraID>
      <start>9</start>
      <end>10</end>
      <status>unmodified</status>
      <modifiedWord/>
      <trackRevisions>false</trackRevisions>
    </reviewItem>
    <reviewItem>
      <errorID>144bdcca-79d7-49ad-836a-fadf248a2195</errorID>
      <errorWord>(</errorWord>
      <group>L1_Format</group>
      <groupName>格式问题</groupName>
      <ability>L2_HalfPunc</ability>
      <abilityName>全半角检查</abilityName>
      <candidateList>
        <item>（</item>
      </candidateList>
      <explain>文本全半角错误。</explain>
      <paraID> 4DA3958</paraID>
      <start>19</start>
      <end>20</end>
      <status>unmodified</status>
      <modifiedWord/>
      <trackRevisions>false</trackRevisions>
    </reviewItem>
    <reviewItem>
      <errorID>49c1086c-5d3c-490c-bcdd-9245148f00da</errorID>
      <errorWord>)</errorWord>
      <group>L1_Format</group>
      <groupName>格式问题</groupName>
      <ability>L2_HalfPunc</ability>
      <abilityName>全半角检查</abilityName>
      <candidateList>
        <item>）</item>
      </candidateList>
      <explain>文本全半角错误。</explain>
      <paraID> 4DA3958</paraID>
      <start>21</start>
      <end>22</end>
      <status>unmodified</status>
      <modifiedWord/>
      <trackRevisions>false</trackRevisions>
    </reviewItem>
    <reviewItem>
      <errorID>d44b93a6-0cc1-4e35-9910-4a7e339ceab3</errorID>
      <errorWord>(</errorWord>
      <group>L1_Format</group>
      <groupName>格式问题</groupName>
      <ability>L2_HalfPunc</ability>
      <abilityName>全半角检查</abilityName>
      <candidateList>
        <item>（</item>
      </candidateList>
      <explain>文本全半角错误。</explain>
      <paraID>2DDEDC95</paraID>
      <start>8</start>
      <end>9</end>
      <status>unmodified</status>
      <modifiedWord/>
      <trackRevisions>false</trackRevisions>
    </reviewItem>
    <reviewItem>
      <errorID>e534c8fe-a789-49ed-83b9-40dc986198b8</errorID>
      <errorWord>)</errorWord>
      <group>L1_Format</group>
      <groupName>格式问题</groupName>
      <ability>L2_HalfPunc</ability>
      <abilityName>全半角检查</abilityName>
      <candidateList>
        <item>）</item>
      </candidateList>
      <explain>文本全半角错误。</explain>
      <paraID>2DDEDC95</paraID>
      <start>10</start>
      <end>11</end>
      <status>unmodified</status>
      <modifiedWord/>
      <trackRevisions>false</trackRevisions>
    </reviewItem>
    <reviewItem>
      <errorID>076b5e83-5bb4-4702-8ef7-fbf4d6010515</errorID>
      <errorWord>(</errorWord>
      <group>L1_Format</group>
      <groupName>格式问题</groupName>
      <ability>L2_HalfPunc</ability>
      <abilityName>全半角检查</abilityName>
      <candidateList>
        <item>（</item>
      </candidateList>
      <explain>文本全半角错误。</explain>
      <paraID> C88FEC3</paraID>
      <start>8</start>
      <end>9</end>
      <status>unmodified</status>
      <modifiedWord/>
      <trackRevisions>false</trackRevisions>
    </reviewItem>
    <reviewItem>
      <errorID>0fbc1d69-a7b7-40de-b222-82a537124b9a</errorID>
      <errorWord>)</errorWord>
      <group>L1_Format</group>
      <groupName>格式问题</groupName>
      <ability>L2_HalfPunc</ability>
      <abilityName>全半角检查</abilityName>
      <candidateList>
        <item>）</item>
      </candidateList>
      <explain>文本全半角错误。</explain>
      <paraID> C88FEC3</paraID>
      <start>10</start>
      <end>11</end>
      <status>unmodified</status>
      <modifiedWord/>
      <trackRevisions>false</trackRevisions>
    </reviewItem>
    <reviewItem>
      <errorID>1d15edd7-d9be-49dd-aba6-589a8ed934e8</errorID>
      <errorWord>＞</errorWord>
      <group>L1_Format</group>
      <groupName>格式问题</groupName>
      <ability>L2_HalfPunc</ability>
      <abilityName>全半角检查</abilityName>
      <candidateList>
        <item>&gt;</item>
      </candidateList>
      <explain>文本全半角错误。</explain>
      <paraID>6C57DF01</paraID>
      <start>0</start>
      <end>1</end>
      <status>unmodified</status>
      <modifiedWord/>
      <trackRevisions>false</trackRevisions>
    </reviewItem>
    <reviewItem>
      <errorID>a2ce1c8e-7cd8-4f9e-9f7e-98bd7eb7239f</errorID>
      <errorWord>(</errorWord>
      <group>L1_Format</group>
      <groupName>格式问题</groupName>
      <ability>L2_HalfPunc</ability>
      <abilityName>全半角检查</abilityName>
      <candidateList>
        <item>（</item>
      </candidateList>
      <explain>文本全半角错误。</explain>
      <paraID>28B48FCE</paraID>
      <start>14</start>
      <end>15</end>
      <status>unmodified</status>
      <modifiedWord/>
      <trackRevisions>false</trackRevisions>
    </reviewItem>
    <reviewItem>
      <errorID>01f3e1a5-9846-49ba-8a1f-30112ad7ecab</errorID>
      <errorWord>)</errorWord>
      <group>L1_Format</group>
      <groupName>格式问题</groupName>
      <ability>L2_HalfPunc</ability>
      <abilityName>全半角检查</abilityName>
      <candidateList>
        <item>）</item>
      </candidateList>
      <explain>文本全半角错误。</explain>
      <paraID>28B48FCE</paraID>
      <start>16</start>
      <end>17</end>
      <status>unmodified</status>
      <modifiedWord/>
      <trackRevisions>false</trackRevisions>
    </reviewItem>
    <reviewItem>
      <errorID>0e33df65-048e-4ee8-bbe0-213b9486b698</errorID>
      <errorWord>(</errorWord>
      <group>L1_Format</group>
      <groupName>格式问题</groupName>
      <ability>L2_HalfPunc</ability>
      <abilityName>全半角检查</abilityName>
      <candidateList>
        <item>（</item>
      </candidateList>
      <explain>文本全半角错误。</explain>
      <paraID>261F1E99</paraID>
      <start>20</start>
      <end>21</end>
      <status>unmodified</status>
      <modifiedWord/>
      <trackRevisions>false</trackRevisions>
    </reviewItem>
    <reviewItem>
      <errorID>3e111caa-daa0-44e9-8390-d19051cd5386</errorID>
      <errorWord>)</errorWord>
      <group>L1_Format</group>
      <groupName>格式问题</groupName>
      <ability>L2_HalfPunc</ability>
      <abilityName>全半角检查</abilityName>
      <candidateList>
        <item>）</item>
      </candidateList>
      <explain>文本全半角错误。</explain>
      <paraID>261F1E99</paraID>
      <start>22</start>
      <end>23</end>
      <status>unmodified</status>
      <modifiedWord/>
      <trackRevisions>false</trackRevisions>
    </reviewItem>
    <reviewItem>
      <errorID>3690c5e1-d6f9-4df3-86a9-6b73bb606135</errorID>
      <errorWord>(</errorWord>
      <group>L1_Format</group>
      <groupName>格式问题</groupName>
      <ability>L2_HalfPunc</ability>
      <abilityName>全半角检查</abilityName>
      <candidateList>
        <item>（</item>
      </candidateList>
      <explain>文本全半角错误。</explain>
      <paraID>119E9BF0</paraID>
      <start>11</start>
      <end>12</end>
      <status>unmodified</status>
      <modifiedWord/>
      <trackRevisions>false</trackRevisions>
    </reviewItem>
    <reviewItem>
      <errorID>5941ab37-8691-407c-bb54-336b5b9e9015</errorID>
      <errorWord>)</errorWord>
      <group>L1_Format</group>
      <groupName>格式问题</groupName>
      <ability>L2_HalfPunc</ability>
      <abilityName>全半角检查</abilityName>
      <candidateList>
        <item>）</item>
      </candidateList>
      <explain>文本全半角错误。</explain>
      <paraID>119E9BF0</paraID>
      <start>13</start>
      <end>14</end>
      <status>unmodified</status>
      <modifiedWord/>
      <trackRevisions>false</trackRevisions>
    </reviewItem>
    <reviewItem>
      <errorID>c62a43d2-819b-4442-b52d-05b511d5f43a</errorID>
      <errorWord>(</errorWord>
      <group>L1_Format</group>
      <groupName>格式问题</groupName>
      <ability>L2_HalfPunc</ability>
      <abilityName>全半角检查</abilityName>
      <candidateList>
        <item>（</item>
      </candidateList>
      <explain>文本全半角错误。</explain>
      <paraID>57564A8D</paraID>
      <start>7</start>
      <end>8</end>
      <status>unmodified</status>
      <modifiedWord/>
      <trackRevisions>false</trackRevisions>
    </reviewItem>
    <reviewItem>
      <errorID>899af66c-b86b-4899-8859-caf05e0f8fe3</errorID>
      <errorWord>)</errorWord>
      <group>L1_Format</group>
      <groupName>格式问题</groupName>
      <ability>L2_HalfPunc</ability>
      <abilityName>全半角检查</abilityName>
      <candidateList>
        <item>）</item>
      </candidateList>
      <explain>文本全半角错误。</explain>
      <paraID>57564A8D</paraID>
      <start>9</start>
      <end>10</end>
      <status>unmodified</status>
      <modifiedWord/>
      <trackRevisions>false</trackRevisions>
    </reviewItem>
    <reviewItem>
      <errorID>e616165e-b226-470c-acdf-37d89d61d47d</errorID>
      <errorWord>＜</errorWord>
      <group>L1_Format</group>
      <groupName>格式问题</groupName>
      <ability>L2_HalfPunc</ability>
      <abilityName>全半角检查</abilityName>
      <candidateList>
        <item>&lt;</item>
      </candidateList>
      <explain>文本全半角错误。</explain>
      <paraID>2E4100D8</paraID>
      <start>0</start>
      <end>1</end>
      <status>unmodified</status>
      <modifiedWord/>
      <trackRevisions>false</trackRevisions>
    </reviewItem>
    <reviewItem>
      <errorID>3a028a76-4784-4b87-9e14-2845bec55bb0</errorID>
      <errorWord>(</errorWord>
      <group>L1_Format</group>
      <groupName>格式问题</groupName>
      <ability>L2_HalfPunc</ability>
      <abilityName>全半角检查</abilityName>
      <candidateList>
        <item>（</item>
      </candidateList>
      <explain>文本全半角错误。</explain>
      <paraID>465727E9</paraID>
      <start>13</start>
      <end>14</end>
      <status>unmodified</status>
      <modifiedWord/>
      <trackRevisions>false</trackRevisions>
    </reviewItem>
    <reviewItem>
      <errorID>180a38d1-d6bc-4878-8fdd-8594376030ee</errorID>
      <errorWord>)</errorWord>
      <group>L1_Format</group>
      <groupName>格式问题</groupName>
      <ability>L2_HalfPunc</ability>
      <abilityName>全半角检查</abilityName>
      <candidateList>
        <item>）</item>
      </candidateList>
      <explain>文本全半角错误。</explain>
      <paraID>465727E9</paraID>
      <start>15</start>
      <end>16</end>
      <status>unmodified</status>
      <modifiedWord/>
      <trackRevisions>false</trackRevisions>
    </reviewItem>
    <reviewItem>
      <errorID>58521f35-c1cf-4eb1-b4e0-0c19c531201d</errorID>
      <errorWord>(</errorWord>
      <group>L1_Format</group>
      <groupName>格式问题</groupName>
      <ability>L2_HalfPunc</ability>
      <abilityName>全半角检查</abilityName>
      <candidateList>
        <item>（</item>
      </candidateList>
      <explain>文本全半角错误。</explain>
      <paraID>3903A5DB</paraID>
      <start>8</start>
      <end>9</end>
      <status>unmodified</status>
      <modifiedWord/>
      <trackRevisions>false</trackRevisions>
    </reviewItem>
    <reviewItem>
      <errorID>5a5e45e5-f831-414c-8e22-cd4921727c83</errorID>
      <errorWord>)</errorWord>
      <group>L1_Format</group>
      <groupName>格式问题</groupName>
      <ability>L2_HalfPunc</ability>
      <abilityName>全半角检查</abilityName>
      <candidateList>
        <item>）</item>
      </candidateList>
      <explain>文本全半角错误。</explain>
      <paraID>3903A5DB</paraID>
      <start>11</start>
      <end>12</end>
      <status>unmodified</status>
      <modifiedWord/>
      <trackRevisions>false</trackRevisions>
    </reviewItem>
    <reviewItem>
      <errorID>0ccae2d9-a8e3-456c-ad98-9be2146ca76f</errorID>
      <errorWord>(</errorWord>
      <group>L1_Format</group>
      <groupName>格式问题</groupName>
      <ability>L2_HalfPunc</ability>
      <abilityName>全半角检查</abilityName>
      <candidateList>
        <item>（</item>
      </candidateList>
      <explain>文本全半角错误。</explain>
      <paraID>3903A5DB</paraID>
      <start>15</start>
      <end>16</end>
      <status>unmodified</status>
      <modifiedWord/>
      <trackRevisions>false</trackRevisions>
    </reviewItem>
    <reviewItem>
      <errorID>2e452e50-67b6-4efd-a1e4-78914aa69fce</errorID>
      <errorWord>)</errorWord>
      <group>L1_Format</group>
      <groupName>格式问题</groupName>
      <ability>L2_HalfPunc</ability>
      <abilityName>全半角检查</abilityName>
      <candidateList>
        <item>）</item>
      </candidateList>
      <explain>文本全半角错误。</explain>
      <paraID>3903A5DB</paraID>
      <start>17</start>
      <end>18</end>
      <status>unmodified</status>
      <modifiedWord/>
      <trackRevisions>false</trackRevisions>
    </reviewItem>
    <reviewItem>
      <errorID>43431bae-c73c-4450-a410-3aa28639cb7e</errorID>
      <errorWord>(</errorWord>
      <group>L1_Format</group>
      <groupName>格式问题</groupName>
      <ability>L2_HalfPunc</ability>
      <abilityName>全半角检查</abilityName>
      <candidateList>
        <item>（</item>
      </candidateList>
      <explain>文本全半角错误。</explain>
      <paraID>5E4B4C90</paraID>
      <start>9</start>
      <end>10</end>
      <status>unmodified</status>
      <modifiedWord/>
      <trackRevisions>false</trackRevisions>
    </reviewItem>
    <reviewItem>
      <errorID>3859ddd8-9d7b-498c-82a1-bce9ac30ae39</errorID>
      <errorWord>)</errorWord>
      <group>L1_Format</group>
      <groupName>格式问题</groupName>
      <ability>L2_HalfPunc</ability>
      <abilityName>全半角检查</abilityName>
      <candidateList>
        <item>）</item>
      </candidateList>
      <explain>文本全半角错误。</explain>
      <paraID>5E4B4C90</paraID>
      <start>11</start>
      <end>12</end>
      <status>unmodified</status>
      <modifiedWord/>
      <trackRevisions>false</trackRevisions>
    </reviewItem>
    <reviewItem>
      <errorID>316f8c2a-fc77-4366-a690-bcd634043976</errorID>
      <errorWord>(</errorWord>
      <group>L1_Format</group>
      <groupName>格式问题</groupName>
      <ability>L2_HalfPunc</ability>
      <abilityName>全半角检查</abilityName>
      <candidateList>
        <item>（</item>
      </candidateList>
      <explain>文本全半角错误。</explain>
      <paraID>4FACD681</paraID>
      <start>16</start>
      <end>17</end>
      <status>unmodified</status>
      <modifiedWord/>
      <trackRevisions>false</trackRevisions>
    </reviewItem>
    <reviewItem>
      <errorID>055f0c7c-377d-4368-b2e0-d9076027fd3d</errorID>
      <errorWord>)</errorWord>
      <group>L1_Format</group>
      <groupName>格式问题</groupName>
      <ability>L2_HalfPunc</ability>
      <abilityName>全半角检查</abilityName>
      <candidateList>
        <item>）</item>
      </candidateList>
      <explain>文本全半角错误。</explain>
      <paraID>4FACD681</paraID>
      <start>18</start>
      <end>19</end>
      <status>unmodified</status>
      <modifiedWord/>
      <trackRevisions>false</trackRevisions>
    </reviewItem>
    <reviewItem>
      <errorID>9dd4f29d-8863-4a28-b193-b252347abe6f</errorID>
      <errorWord>(</errorWord>
      <group>L1_Format</group>
      <groupName>格式问题</groupName>
      <ability>L2_HalfPunc</ability>
      <abilityName>全半角检查</abilityName>
      <candidateList>
        <item>（</item>
      </candidateList>
      <explain>文本全半角错误。</explain>
      <paraID>73581977</paraID>
      <start>6</start>
      <end>7</end>
      <status>unmodified</status>
      <modifiedWord/>
      <trackRevisions>false</trackRevisions>
    </reviewItem>
    <reviewItem>
      <errorID>a6ae56a0-42b8-491d-b790-0b5248b5da4f</errorID>
      <errorWord>)</errorWord>
      <group>L1_Format</group>
      <groupName>格式问题</groupName>
      <ability>L2_HalfPunc</ability>
      <abilityName>全半角检查</abilityName>
      <candidateList>
        <item>）</item>
      </candidateList>
      <explain>文本全半角错误。</explain>
      <paraID>73581977</paraID>
      <start>8</start>
      <end>9</end>
      <status>unmodified</status>
      <modifiedWord/>
      <trackRevisions>false</trackRevisions>
    </reviewItem>
    <reviewItem>
      <errorID>4089122b-66ce-4741-9958-4523256654fa</errorID>
      <errorWord>(</errorWord>
      <group>L1_Format</group>
      <groupName>格式问题</groupName>
      <ability>L2_HalfPunc</ability>
      <abilityName>全半角检查</abilityName>
      <candidateList>
        <item>（</item>
      </candidateList>
      <explain>文本全半角错误。</explain>
      <paraID>474DA346</paraID>
      <start>14</start>
      <end>15</end>
      <status>unmodified</status>
      <modifiedWord/>
      <trackRevisions>false</trackRevisions>
    </reviewItem>
    <reviewItem>
      <errorID>1f236a83-d8e3-46e3-9568-029a49dbff7e</errorID>
      <errorWord>)</errorWord>
      <group>L1_Format</group>
      <groupName>格式问题</groupName>
      <ability>L2_HalfPunc</ability>
      <abilityName>全半角检查</abilityName>
      <candidateList>
        <item>）</item>
      </candidateList>
      <explain>文本全半角错误。</explain>
      <paraID>474DA346</paraID>
      <start>16</start>
      <end>17</end>
      <status>unmodified</status>
      <modifiedWord/>
      <trackRevisions>false</trackRevisions>
    </reviewItem>
    <reviewItem>
      <errorID>17218c86-e475-4e50-ae95-2b230df3b320</errorID>
      <errorWord>(</errorWord>
      <group>L1_Format</group>
      <groupName>格式问题</groupName>
      <ability>L2_HalfPunc</ability>
      <abilityName>全半角检查</abilityName>
      <candidateList>
        <item>（</item>
      </candidateList>
      <explain>文本全半角错误。</explain>
      <paraID>1EA177CE</paraID>
      <start>16</start>
      <end>17</end>
      <status>unmodified</status>
      <modifiedWord/>
      <trackRevisions>false</trackRevisions>
    </reviewItem>
    <reviewItem>
      <errorID>0c218fc1-5345-4dd8-9486-4bb16f99d134</errorID>
      <errorWord>)</errorWord>
      <group>L1_Format</group>
      <groupName>格式问题</groupName>
      <ability>L2_HalfPunc</ability>
      <abilityName>全半角检查</abilityName>
      <candidateList>
        <item>）</item>
      </candidateList>
      <explain>文本全半角错误。</explain>
      <paraID>1EA177CE</paraID>
      <start>18</start>
      <end>19</end>
      <status>unmodified</status>
      <modifiedWord/>
      <trackRevisions>false</trackRevisions>
    </reviewItem>
    <reviewItem>
      <errorID>85870a3b-8ccb-4287-a559-b2a3dc431437</errorID>
      <errorWord>(</errorWord>
      <group>L1_Format</group>
      <groupName>格式问题</groupName>
      <ability>L2_HalfPunc</ability>
      <abilityName>全半角检查</abilityName>
      <candidateList>
        <item>（</item>
      </candidateList>
      <explain>文本全半角错误。</explain>
      <paraID>2FF79503</paraID>
      <start>10</start>
      <end>11</end>
      <status>unmodified</status>
      <modifiedWord/>
      <trackRevisions>false</trackRevisions>
    </reviewItem>
    <reviewItem>
      <errorID>5fbe3589-2ee6-499f-a4f7-70b2e96bf53b</errorID>
      <errorWord>)</errorWord>
      <group>L1_Format</group>
      <groupName>格式问题</groupName>
      <ability>L2_HalfPunc</ability>
      <abilityName>全半角检查</abilityName>
      <candidateList>
        <item>）</item>
      </candidateList>
      <explain>文本全半角错误。</explain>
      <paraID>2FF79503</paraID>
      <start>12</start>
      <end>13</end>
      <status>unmodified</status>
      <modifiedWord/>
      <trackRevisions>false</trackRevisions>
    </reviewItem>
    <reviewItem>
      <errorID>c87b8513-a4ac-4383-a633-f573a8a290d7</errorID>
      <errorWord>(</errorWord>
      <group>L1_Format</group>
      <groupName>格式问题</groupName>
      <ability>L2_HalfPunc</ability>
      <abilityName>全半角检查</abilityName>
      <candidateList>
        <item>（</item>
      </candidateList>
      <explain>文本全半角错误。</explain>
      <paraID> 22DB4AB</paraID>
      <start>14</start>
      <end>15</end>
      <status>unmodified</status>
      <modifiedWord/>
      <trackRevisions>false</trackRevisions>
    </reviewItem>
    <reviewItem>
      <errorID>5698ea60-4542-41f0-8e14-c77c77c3136b</errorID>
      <errorWord>)</errorWord>
      <group>L1_Format</group>
      <groupName>格式问题</groupName>
      <ability>L2_HalfPunc</ability>
      <abilityName>全半角检查</abilityName>
      <candidateList>
        <item>）</item>
      </candidateList>
      <explain>文本全半角错误。</explain>
      <paraID> 22DB4AB</paraID>
      <start>16</start>
      <end>17</end>
      <status>unmodified</status>
      <modifiedWord/>
      <trackRevisions>false</trackRevisions>
    </reviewItem>
    <reviewItem>
      <errorID>a63f4894-be8e-4be1-8b1a-ed43c513bab1</errorID>
      <errorWord>(</errorWord>
      <group>L1_Format</group>
      <groupName>格式问题</groupName>
      <ability>L2_HalfPunc</ability>
      <abilityName>全半角检查</abilityName>
      <candidateList>
        <item>（</item>
      </candidateList>
      <explain>文本全半角错误。</explain>
      <paraID>58A40DC4</paraID>
      <start>5</start>
      <end>6</end>
      <status>unmodified</status>
      <modifiedWord/>
      <trackRevisions>false</trackRevisions>
    </reviewItem>
    <reviewItem>
      <errorID>48649143-60a8-44da-ad7a-250d9effacd3</errorID>
      <errorWord>)</errorWord>
      <group>L1_Format</group>
      <groupName>格式问题</groupName>
      <ability>L2_HalfPunc</ability>
      <abilityName>全半角检查</abilityName>
      <candidateList>
        <item>）</item>
      </candidateList>
      <explain>文本全半角错误。</explain>
      <paraID>58A40DC4</paraID>
      <start>7</start>
      <end>8</end>
      <status>unmodified</status>
      <modifiedWord/>
      <trackRevisions>false</trackRevisions>
    </reviewItem>
    <reviewItem>
      <errorID>61df024f-0a4e-4b43-93ae-96e5e8349f1f</errorID>
      <errorWord>(</errorWord>
      <group>L1_Format</group>
      <groupName>格式问题</groupName>
      <ability>L2_HalfPunc</ability>
      <abilityName>全半角检查</abilityName>
      <candidateList>
        <item>（</item>
      </candidateList>
      <explain>文本全半角错误。</explain>
      <paraID>440EDC04</paraID>
      <start>8</start>
      <end>9</end>
      <status>unmodified</status>
      <modifiedWord/>
      <trackRevisions>false</trackRevisions>
    </reviewItem>
    <reviewItem>
      <errorID>26c83247-9d9e-4fd6-8bdc-9f66ab3a91c1</errorID>
      <errorWord>)</errorWord>
      <group>L1_Format</group>
      <groupName>格式问题</groupName>
      <ability>L2_HalfPunc</ability>
      <abilityName>全半角检查</abilityName>
      <candidateList>
        <item>）</item>
      </candidateList>
      <explain>文本全半角错误。</explain>
      <paraID>440EDC04</paraID>
      <start>11</start>
      <end>12</end>
      <status>unmodified</status>
      <modifiedWord/>
      <trackRevisions>false</trackRevisions>
    </reviewItem>
    <reviewItem>
      <errorID>b4b6721d-b727-4044-abaa-dcfa5e10ad3b</errorID>
      <errorWord>(</errorWord>
      <group>L1_Format</group>
      <groupName>格式问题</groupName>
      <ability>L2_HalfPunc</ability>
      <abilityName>全半角检查</abilityName>
      <candidateList>
        <item>（</item>
      </candidateList>
      <explain>文本全半角错误。</explain>
      <paraID>1AD2AF91</paraID>
      <start>8</start>
      <end>9</end>
      <status>unmodified</status>
      <modifiedWord/>
      <trackRevisions>false</trackRevisions>
    </reviewItem>
    <reviewItem>
      <errorID>2bb55abb-e0b6-4de5-a97d-6ee31b7b03ea</errorID>
      <errorWord>)</errorWord>
      <group>L1_Format</group>
      <groupName>格式问题</groupName>
      <ability>L2_HalfPunc</ability>
      <abilityName>全半角检查</abilityName>
      <candidateList>
        <item>）</item>
      </candidateList>
      <explain>文本全半角错误。</explain>
      <paraID>1AD2AF91</paraID>
      <start>14</start>
      <end>15</end>
      <status>unmodified</status>
      <modifiedWord/>
      <trackRevisions>false</trackRevisions>
    </reviewItem>
    <reviewItem>
      <errorID>820138d9-84fb-4408-9b3e-a6f22c6fe9fd</errorID>
      <errorWord>(</errorWord>
      <group>L1_Format</group>
      <groupName>格式问题</groupName>
      <ability>L2_HalfPunc</ability>
      <abilityName>全半角检查</abilityName>
      <candidateList>
        <item>（</item>
      </candidateList>
      <explain>文本全半角错误。</explain>
      <paraID>2AD270DB</paraID>
      <start>17</start>
      <end>18</end>
      <status>unmodified</status>
      <modifiedWord/>
      <trackRevisions>false</trackRevisions>
    </reviewItem>
    <reviewItem>
      <errorID>8cec2f8c-e168-410b-bd82-ac99039d5ec9</errorID>
      <errorWord>)</errorWord>
      <group>L1_Format</group>
      <groupName>格式问题</groupName>
      <ability>L2_HalfPunc</ability>
      <abilityName>全半角检查</abilityName>
      <candidateList>
        <item>）</item>
      </candidateList>
      <explain>文本全半角错误。</explain>
      <paraID>2AD270DB</paraID>
      <start>22</start>
      <end>23</end>
      <status>unmodified</status>
      <modifiedWord/>
      <trackRevisions>false</trackRevisions>
    </reviewItem>
    <reviewItem>
      <errorID>70b7f100-52c0-4c15-89bb-b67bc0949b17</errorID>
      <errorWord>每年平均</errorWord>
      <group>L1_Word</group>
      <groupName>字词问题</groupName>
      <ability>L2_Typo</ability>
      <abilityName>字词错误</abilityName>
      <candidateList>
        <item>平均每年</item>
      </candidateList>
      <explain/>
      <paraID> 734C6A0</paraID>
      <start>107</start>
      <end>111</end>
      <status>unmodified</status>
      <modifiedWord/>
      <trackRevisions>false</trackRevisions>
    </reviewItem>
    <reviewItem>
      <errorID>f599c76c-a930-4b31-a985-74449f566572</errorID>
      <errorWord>永清</errorWord>
      <group>L1_Word</group>
      <groupName>字词问题</groupName>
      <ability>L2_Typo</ability>
      <abilityName>字词错误</abilityName>
      <candidateList>
        <item>永</item>
      </candidateList>
      <explain/>
      <paraID>30D955E6</paraID>
      <start>374</start>
      <end>376</end>
      <status>unmodified</status>
      <modifiedWord/>
      <trackRevisions>false</trackRevisions>
    </reviewItem>
    <reviewItem>
      <errorID>7e059670-7cdb-471a-b184-89266b6d664a</errorID>
      <errorWord>深入贯彻党的二十大及二十届历次全会精神</errorWord>
      <group>L1_Political</group>
      <groupName>政治性问题</groupName>
      <ability>L2_Keyword</ability>
      <abilityName>固定表述</abilityName>
      <candidateList>
        <item>深入贯彻党的二十大和二十届历次全会精神</item>
      </candidateList>
      <explain>词汇“深入贯彻党的二十大和二十届历次全会精神”在特定场景下为固定表述形式，请确认此处的“深入贯彻党的二十大及二十届历次全会精神”是否存在不当。</explain>
      <paraID>27B8DD0B</paraID>
      <start>60</start>
      <end>79</end>
      <status>unmodified</status>
      <modifiedWord/>
      <trackRevisions>false</trackRevisions>
    </reviewItem>
    <reviewItem>
      <errorID>8210e7a8-cc47-4a47-a14b-7f65227bab58</errorID>
      <errorWord>，</errorWord>
      <group>L1_Word</group>
      <groupName>字词问题</groupName>
      <ability>L2_Typo</ability>
      <abilityName>字词错误</abilityName>
      <candidateList>
        <item>，把</item>
      </candidateList>
      <explain/>
      <paraID>4F1B89C4</paraID>
      <start>33</start>
      <end>34</end>
      <status>unmodified</status>
      <modifiedWord/>
      <trackRevisions>false</trackRevisions>
    </reviewItem>
    <reviewItem>
      <errorID>c4431024-e1be-44ff-872c-2e899060d827</errorID>
      <errorWord>基本公共服务均等化水平显著提升</errorWord>
      <group>L1_Political</group>
      <groupName>政治性问题</groupName>
      <ability>L2_Keyword</ability>
      <abilityName>固定表述</abilityName>
      <candidateList>
        <item>基本公共服务均等化水平明显提升</item>
      </candidateList>
      <explain>词汇“基本公共服务均等化水平明显提升”在特定场景下为固定表述形式，请确认此处的“基本公共服务均等化水平显著提升”是否存在不当。</explain>
      <paraID> C675CFF</paraID>
      <start>38</start>
      <end>53</end>
      <status>unmodified</status>
      <modifiedWord/>
      <trackRevisions>false</trackRevisions>
    </reviewItem>
    <reviewItem>
      <errorID>2ec6e2d5-e8ab-4c9d-a50e-a9c1c2100846</errorID>
      <errorWord>(</errorWord>
      <group>L1_Format</group>
      <groupName>格式问题</groupName>
      <ability>L2_HalfPunc</ability>
      <abilityName>全半角检查</abilityName>
      <candidateList>
        <item>（</item>
      </candidateList>
      <explain>文本全半角错误。</explain>
      <paraID>67453885</paraID>
      <start>8</start>
      <end>9</end>
      <status>unmodified</status>
      <modifiedWord/>
      <trackRevisions>false</trackRevisions>
    </reviewItem>
    <reviewItem>
      <errorID>3f9020bf-b8cd-4952-ad37-001830b1c943</errorID>
      <errorWord>)</errorWord>
      <group>L1_Format</group>
      <groupName>格式问题</groupName>
      <ability>L2_HalfPunc</ability>
      <abilityName>全半角检查</abilityName>
      <candidateList>
        <item>）</item>
      </candidateList>
      <explain>文本全半角错误。</explain>
      <paraID>67453885</paraID>
      <start>10</start>
      <end>11</end>
      <status>unmodified</status>
      <modifiedWord/>
      <trackRevisions>false</trackRevisions>
    </reviewItem>
    <reviewItem>
      <errorID>8a104aed-6ee5-4b30-be18-2eb7391600b1</errorID>
      <errorWord>(</errorWord>
      <group>L1_Format</group>
      <groupName>格式问题</groupName>
      <ability>L2_HalfPunc</ability>
      <abilityName>全半角检查</abilityName>
      <candidateList>
        <item>（</item>
      </candidateList>
      <explain>文本全半角错误。</explain>
      <paraID>54D03B14</paraID>
      <start>9</start>
      <end>10</end>
      <status>unmodified</status>
      <modifiedWord/>
      <trackRevisions>false</trackRevisions>
    </reviewItem>
    <reviewItem>
      <errorID>3b5c9a2c-23a7-4990-9766-a957b043a1be</errorID>
      <errorWord>)</errorWord>
      <group>L1_Format</group>
      <groupName>格式问题</groupName>
      <ability>L2_HalfPunc</ability>
      <abilityName>全半角检查</abilityName>
      <candidateList>
        <item>）</item>
      </candidateList>
      <explain>文本全半角错误。</explain>
      <paraID>54D03B14</paraID>
      <start>11</start>
      <end>12</end>
      <status>unmodified</status>
      <modifiedWord/>
      <trackRevisions>false</trackRevisions>
    </reviewItem>
    <reviewItem>
      <errorID>9f153d04-97bd-431d-ac66-3bb8cfce6e4e</errorID>
      <errorWord>(</errorWord>
      <group>L1_Format</group>
      <groupName>格式问题</groupName>
      <ability>L2_HalfPunc</ability>
      <abilityName>全半角检查</abilityName>
      <candidateList>
        <item>（</item>
      </candidateList>
      <explain>文本全半角错误。</explain>
      <paraID>1063FC16</paraID>
      <start>8</start>
      <end>9</end>
      <status>unmodified</status>
      <modifiedWord/>
      <trackRevisions>false</trackRevisions>
    </reviewItem>
    <reviewItem>
      <errorID>fc542f99-4d7d-4b34-b7a9-ff6bb73ca17e</errorID>
      <errorWord>)</errorWord>
      <group>L1_Format</group>
      <groupName>格式问题</groupName>
      <ability>L2_HalfPunc</ability>
      <abilityName>全半角检查</abilityName>
      <candidateList>
        <item>）</item>
      </candidateList>
      <explain>文本全半角错误。</explain>
      <paraID>1063FC16</paraID>
      <start>10</start>
      <end>11</end>
      <status>unmodified</status>
      <modifiedWord/>
      <trackRevisions>false</trackRevisions>
    </reviewItem>
    <reviewItem>
      <errorID>d8c534e0-e193-4d8d-a8e1-d4d70e4b2dea</errorID>
      <errorWord>(</errorWord>
      <group>L1_Format</group>
      <groupName>格式问题</groupName>
      <ability>L2_HalfPunc</ability>
      <abilityName>全半角检查</abilityName>
      <candidateList>
        <item>（</item>
      </candidateList>
      <explain>文本全半角错误。</explain>
      <paraID>185E4D46</paraID>
      <start>19</start>
      <end>20</end>
      <status>unmodified</status>
      <modifiedWord/>
      <trackRevisions>false</trackRevisions>
    </reviewItem>
    <reviewItem>
      <errorID>d4e4196b-1fcd-4089-b956-2f30c68e9538</errorID>
      <errorWord>)</errorWord>
      <group>L1_Format</group>
      <groupName>格式问题</groupName>
      <ability>L2_HalfPunc</ability>
      <abilityName>全半角检查</abilityName>
      <candidateList>
        <item>）</item>
      </candidateList>
      <explain>文本全半角错误。</explain>
      <paraID>185E4D46</paraID>
      <start>21</start>
      <end>22</end>
      <status>unmodified</status>
      <modifiedWord/>
      <trackRevisions>false</trackRevisions>
    </reviewItem>
    <reviewItem>
      <errorID>b3bb58f4-60c7-4556-8f74-5880eec2bd4c</errorID>
      <errorWord>(</errorWord>
      <group>L1_Format</group>
      <groupName>格式问题</groupName>
      <ability>L2_HalfPunc</ability>
      <abilityName>全半角检查</abilityName>
      <candidateList>
        <item>（</item>
      </candidateList>
      <explain>文本全半角错误。</explain>
      <paraID>3DDC39E6</paraID>
      <start>8</start>
      <end>9</end>
      <status>unmodified</status>
      <modifiedWord/>
      <trackRevisions>false</trackRevisions>
    </reviewItem>
    <reviewItem>
      <errorID>ccae5e9c-bfa9-4e9f-bae9-3a3fde728878</errorID>
      <errorWord>)</errorWord>
      <group>L1_Format</group>
      <groupName>格式问题</groupName>
      <ability>L2_HalfPunc</ability>
      <abilityName>全半角检查</abilityName>
      <candidateList>
        <item>）</item>
      </candidateList>
      <explain>文本全半角错误。</explain>
      <paraID>3DDC39E6</paraID>
      <start>10</start>
      <end>11</end>
      <status>unmodified</status>
      <modifiedWord/>
      <trackRevisions>false</trackRevisions>
    </reviewItem>
    <reviewItem>
      <errorID>d6fc71a9-f701-4e60-a3fd-f694a1695e4b</errorID>
      <errorWord>(</errorWord>
      <group>L1_Format</group>
      <groupName>格式问题</groupName>
      <ability>L2_HalfPunc</ability>
      <abilityName>全半角检查</abilityName>
      <candidateList>
        <item>（</item>
      </candidateList>
      <explain>文本全半角错误。</explain>
      <paraID>43ED926C</paraID>
      <start>14</start>
      <end>15</end>
      <status>unmodified</status>
      <modifiedWord/>
      <trackRevisions>false</trackRevisions>
    </reviewItem>
    <reviewItem>
      <errorID>8913697e-1924-41ab-875f-49aeb6295108</errorID>
      <errorWord>)</errorWord>
      <group>L1_Format</group>
      <groupName>格式问题</groupName>
      <ability>L2_HalfPunc</ability>
      <abilityName>全半角检查</abilityName>
      <candidateList>
        <item>）</item>
      </candidateList>
      <explain>文本全半角错误。</explain>
      <paraID>43ED926C</paraID>
      <start>16</start>
      <end>17</end>
      <status>unmodified</status>
      <modifiedWord/>
      <trackRevisions>false</trackRevisions>
    </reviewItem>
    <reviewItem>
      <errorID>7985a2f4-c744-4dd9-8742-7b6a61f06024</errorID>
      <errorWord>(</errorWord>
      <group>L1_Format</group>
      <groupName>格式问题</groupName>
      <ability>L2_HalfPunc</ability>
      <abilityName>全半角检查</abilityName>
      <candidateList>
        <item>（</item>
      </candidateList>
      <explain>文本全半角错误。</explain>
      <paraID>1DF6A9ED</paraID>
      <start>20</start>
      <end>21</end>
      <status>unmodified</status>
      <modifiedWord/>
      <trackRevisions>false</trackRevisions>
    </reviewItem>
    <reviewItem>
      <errorID>b3bf126a-6604-4c7b-9457-435abe782cd5</errorID>
      <errorWord>)</errorWord>
      <group>L1_Format</group>
      <groupName>格式问题</groupName>
      <ability>L2_HalfPunc</ability>
      <abilityName>全半角检查</abilityName>
      <candidateList>
        <item>）</item>
      </candidateList>
      <explain>文本全半角错误。</explain>
      <paraID>1DF6A9ED</paraID>
      <start>22</start>
      <end>23</end>
      <status>unmodified</status>
      <modifiedWord/>
      <trackRevisions>false</trackRevisions>
    </reviewItem>
    <reviewItem>
      <errorID>bed0390f-decd-433c-955f-7b450bd64c8e</errorID>
      <errorWord>(</errorWord>
      <group>L1_Format</group>
      <groupName>格式问题</groupName>
      <ability>L2_HalfPunc</ability>
      <abilityName>全半角检查</abilityName>
      <candidateList>
        <item>（</item>
      </candidateList>
      <explain>文本全半角错误。</explain>
      <paraID>17A8CAA3</paraID>
      <start>7</start>
      <end>8</end>
      <status>unmodified</status>
      <modifiedWord/>
      <trackRevisions>false</trackRevisions>
    </reviewItem>
    <reviewItem>
      <errorID>b630332d-d9e4-4289-aba5-eb29599f8c90</errorID>
      <errorWord>)</errorWord>
      <group>L1_Format</group>
      <groupName>格式问题</groupName>
      <ability>L2_HalfPunc</ability>
      <abilityName>全半角检查</abilityName>
      <candidateList>
        <item>）</item>
      </candidateList>
      <explain>文本全半角错误。</explain>
      <paraID>17A8CAA3</paraID>
      <start>9</start>
      <end>10</end>
      <status>unmodified</status>
      <modifiedWord/>
      <trackRevisions>false</trackRevisions>
    </reviewItem>
    <reviewItem>
      <errorID>8e0b28e9-03fb-478c-9f99-57c8d9f0fdd8</errorID>
      <errorWord>(</errorWord>
      <group>L1_Format</group>
      <groupName>格式问题</groupName>
      <ability>L2_HalfPunc</ability>
      <abilityName>全半角检查</abilityName>
      <candidateList>
        <item>（</item>
      </candidateList>
      <explain>文本全半角错误。</explain>
      <paraID> 92EC4F6</paraID>
      <start>11</start>
      <end>12</end>
      <status>unmodified</status>
      <modifiedWord/>
      <trackRevisions>false</trackRevisions>
    </reviewItem>
    <reviewItem>
      <errorID>ab64ca0f-6c59-4ee3-bf59-c5be38643b1d</errorID>
      <errorWord>)</errorWord>
      <group>L1_Format</group>
      <groupName>格式问题</groupName>
      <ability>L2_HalfPunc</ability>
      <abilityName>全半角检查</abilityName>
      <candidateList>
        <item>）</item>
      </candidateList>
      <explain>文本全半角错误。</explain>
      <paraID> 92EC4F6</paraID>
      <start>13</start>
      <end>14</end>
      <status>unmodified</status>
      <modifiedWord/>
      <trackRevisions>false</trackRevisions>
    </reviewItem>
    <reviewItem>
      <errorID>407c2684-480c-4d7e-ab20-2e2edffb1541</errorID>
      <errorWord>(</errorWord>
      <group>L1_Format</group>
      <groupName>格式问题</groupName>
      <ability>L2_HalfPunc</ability>
      <abilityName>全半角检查</abilityName>
      <candidateList>
        <item>（</item>
      </candidateList>
      <explain>文本全半角错误。</explain>
      <paraID>3343D543</paraID>
      <start>13</start>
      <end>14</end>
      <status>unmodified</status>
      <modifiedWord/>
      <trackRevisions>false</trackRevisions>
    </reviewItem>
    <reviewItem>
      <errorID>1d832d8f-d8f3-419c-bd29-3778ce9d7d6b</errorID>
      <errorWord>)</errorWord>
      <group>L1_Format</group>
      <groupName>格式问题</groupName>
      <ability>L2_HalfPunc</ability>
      <abilityName>全半角检查</abilityName>
      <candidateList>
        <item>）</item>
      </candidateList>
      <explain>文本全半角错误。</explain>
      <paraID>3343D543</paraID>
      <start>15</start>
      <end>16</end>
      <status>unmodified</status>
      <modifiedWord/>
      <trackRevisions>false</trackRevisions>
    </reviewItem>
    <reviewItem>
      <errorID>1f648591-0a11-4604-a901-37900830191d</errorID>
      <errorWord>(</errorWord>
      <group>L1_Format</group>
      <groupName>格式问题</groupName>
      <ability>L2_HalfPunc</ability>
      <abilityName>全半角检查</abilityName>
      <candidateList>
        <item>（</item>
      </candidateList>
      <explain>文本全半角错误。</explain>
      <paraID>6CD84043</paraID>
      <start>6</start>
      <end>7</end>
      <status>unmodified</status>
      <modifiedWord/>
      <trackRevisions>false</trackRevisions>
    </reviewItem>
    <reviewItem>
      <errorID>f599b2bc-a4e3-41fc-a2eb-8904e2e7701e</errorID>
      <errorWord>)</errorWord>
      <group>L1_Format</group>
      <groupName>格式问题</groupName>
      <ability>L2_HalfPunc</ability>
      <abilityName>全半角检查</abilityName>
      <candidateList>
        <item>）</item>
      </candidateList>
      <explain>文本全半角错误。</explain>
      <paraID>6CD84043</paraID>
      <start>8</start>
      <end>9</end>
      <status>unmodified</status>
      <modifiedWord/>
      <trackRevisions>false</trackRevisions>
    </reviewItem>
    <reviewItem>
      <errorID>88ef1c36-f620-46ad-8ec9-1c49afeff77e</errorID>
      <errorWord>(</errorWord>
      <group>L1_Format</group>
      <groupName>格式问题</groupName>
      <ability>L2_HalfPunc</ability>
      <abilityName>全半角检查</abilityName>
      <candidateList>
        <item>（</item>
      </candidateList>
      <explain>文本全半角错误。</explain>
      <paraID>4936A442</paraID>
      <start>4</start>
      <end>5</end>
      <status>unmodified</status>
      <modifiedWord/>
      <trackRevisions>false</trackRevisions>
    </reviewItem>
    <reviewItem>
      <errorID>0ed55f47-9490-4c29-a237-bfca55d11d08</errorID>
      <errorWord>)</errorWord>
      <group>L1_Format</group>
      <groupName>格式问题</groupName>
      <ability>L2_HalfPunc</ability>
      <abilityName>全半角检查</abilityName>
      <candidateList>
        <item>）</item>
      </candidateList>
      <explain>文本全半角错误。</explain>
      <paraID>4936A442</paraID>
      <start>6</start>
      <end>7</end>
      <status>unmodified</status>
      <modifiedWord/>
      <trackRevisions>false</trackRevisions>
    </reviewItem>
    <reviewItem>
      <errorID>d78a8ff1-6f53-4d59-8272-fcfbb4b9dfc5</errorID>
      <errorWord>(</errorWord>
      <group>L1_Format</group>
      <groupName>格式问题</groupName>
      <ability>L2_HalfPunc</ability>
      <abilityName>全半角检查</abilityName>
      <candidateList>
        <item>（</item>
      </candidateList>
      <explain>文本全半角错误。</explain>
      <paraID>19D830B6</paraID>
      <start>4</start>
      <end>5</end>
      <status>unmodified</status>
      <modifiedWord/>
      <trackRevisions>false</trackRevisions>
    </reviewItem>
    <reviewItem>
      <errorID>0a493d4a-185a-4c99-ae84-006dd95ffd24</errorID>
      <errorWord>)</errorWord>
      <group>L1_Format</group>
      <groupName>格式问题</groupName>
      <ability>L2_HalfPunc</ability>
      <abilityName>全半角检查</abilityName>
      <candidateList>
        <item>）</item>
      </candidateList>
      <explain>文本全半角错误。</explain>
      <paraID>19D830B6</paraID>
      <start>6</start>
      <end>7</end>
      <status>unmodified</status>
      <modifiedWord/>
      <trackRevisions>false</trackRevisions>
    </reviewItem>
    <reviewItem>
      <errorID>6f3d9625-a503-480c-b27f-138e1a3cfa85</errorID>
      <errorWord>(</errorWord>
      <group>L1_Format</group>
      <groupName>格式问题</groupName>
      <ability>L2_HalfPunc</ability>
      <abilityName>全半角检查</abilityName>
      <candidateList>
        <item>（</item>
      </candidateList>
      <explain>文本全半角错误。</explain>
      <paraID>6317A1F3</paraID>
      <start>10</start>
      <end>11</end>
      <status>unmodified</status>
      <modifiedWord/>
      <trackRevisions>false</trackRevisions>
    </reviewItem>
    <reviewItem>
      <errorID>06935a22-3638-452a-86e6-cb52b9e5df05</errorID>
      <errorWord>)</errorWord>
      <group>L1_Format</group>
      <groupName>格式问题</groupName>
      <ability>L2_HalfPunc</ability>
      <abilityName>全半角检查</abilityName>
      <candidateList>
        <item>）</item>
      </candidateList>
      <explain>文本全半角错误。</explain>
      <paraID>6317A1F3</paraID>
      <start>12</start>
      <end>13</end>
      <status>unmodified</status>
      <modifiedWord/>
      <trackRevisions>false</trackRevisions>
    </reviewItem>
    <reviewItem>
      <errorID>1238170e-284d-4926-9d41-7e3e66722640</errorID>
      <errorWord>(</errorWord>
      <group>L1_Format</group>
      <groupName>格式问题</groupName>
      <ability>L2_HalfPunc</ability>
      <abilityName>全半角检查</abilityName>
      <candidateList>
        <item>（</item>
      </candidateList>
      <explain>文本全半角错误。</explain>
      <paraID>18EF485E</paraID>
      <start>11</start>
      <end>12</end>
      <status>unmodified</status>
      <modifiedWord/>
      <trackRevisions>false</trackRevisions>
    </reviewItem>
    <reviewItem>
      <errorID>169a95cf-19a0-4dec-9b4e-1349639d9359</errorID>
      <errorWord>)</errorWord>
      <group>L1_Format</group>
      <groupName>格式问题</groupName>
      <ability>L2_HalfPunc</ability>
      <abilityName>全半角检查</abilityName>
      <candidateList>
        <item>）</item>
      </candidateList>
      <explain>文本全半角错误。</explain>
      <paraID>18EF485E</paraID>
      <start>13</start>
      <end>14</end>
      <status>unmodified</status>
      <modifiedWord/>
      <trackRevisions>false</trackRevisions>
    </reviewItem>
    <reviewItem>
      <errorID>ad22db6c-110c-4761-be16-3936c57f9961</errorID>
      <errorWord>(</errorWord>
      <group>L1_Format</group>
      <groupName>格式问题</groupName>
      <ability>L2_HalfPunc</ability>
      <abilityName>全半角检查</abilityName>
      <candidateList>
        <item>（</item>
      </candidateList>
      <explain>文本全半角错误。</explain>
      <paraID> 36A12C4</paraID>
      <start>14</start>
      <end>15</end>
      <status>unmodified</status>
      <modifiedWord/>
      <trackRevisions>false</trackRevisions>
    </reviewItem>
    <reviewItem>
      <errorID>280d7bd7-a0ce-467f-a225-cbdbc580b5cb</errorID>
      <errorWord>)</errorWord>
      <group>L1_Format</group>
      <groupName>格式问题</groupName>
      <ability>L2_HalfPunc</ability>
      <abilityName>全半角检查</abilityName>
      <candidateList>
        <item>）</item>
      </candidateList>
      <explain>文本全半角错误。</explain>
      <paraID> 36A12C4</paraID>
      <start>16</start>
      <end>17</end>
      <status>unmodified</status>
      <modifiedWord/>
      <trackRevisions>false</trackRevisions>
    </reviewItem>
    <reviewItem>
      <errorID>e9507370-4f83-4860-b1a7-1b5e57e2da8f</errorID>
      <errorWord>(</errorWord>
      <group>L1_Format</group>
      <groupName>格式问题</groupName>
      <ability>L2_HalfPunc</ability>
      <abilityName>全半角检查</abilityName>
      <candidateList>
        <item>（</item>
      </candidateList>
      <explain>文本全半角错误。</explain>
      <paraID>39907638</paraID>
      <start>16</start>
      <end>17</end>
      <status>unmodified</status>
      <modifiedWord/>
      <trackRevisions>false</trackRevisions>
    </reviewItem>
    <reviewItem>
      <errorID>650aec03-70b1-461e-a78d-82b7b2a9ab2f</errorID>
      <errorWord>)</errorWord>
      <group>L1_Format</group>
      <groupName>格式问题</groupName>
      <ability>L2_HalfPunc</ability>
      <abilityName>全半角检查</abilityName>
      <candidateList>
        <item>）</item>
      </candidateList>
      <explain>文本全半角错误。</explain>
      <paraID>39907638</paraID>
      <start>18</start>
      <end>19</end>
      <status>unmodified</status>
      <modifiedWord/>
      <trackRevisions>false</trackRevisions>
    </reviewItem>
    <reviewItem>
      <errorID>5afbd341-0694-451c-b372-9fdf6c6c2424</errorID>
      <errorWord>(</errorWord>
      <group>L1_Format</group>
      <groupName>格式问题</groupName>
      <ability>L2_HalfPunc</ability>
      <abilityName>全半角检查</abilityName>
      <candidateList>
        <item>（</item>
      </candidateList>
      <explain>文本全半角错误。</explain>
      <paraID>11C2A584</paraID>
      <start>16</start>
      <end>17</end>
      <status>unmodified</status>
      <modifiedWord/>
      <trackRevisions>false</trackRevisions>
    </reviewItem>
    <reviewItem>
      <errorID>a90a196d-3cf6-4e77-a418-921c18bdb53d</errorID>
      <errorWord>)</errorWord>
      <group>L1_Format</group>
      <groupName>格式问题</groupName>
      <ability>L2_HalfPunc</ability>
      <abilityName>全半角检查</abilityName>
      <candidateList>
        <item>）</item>
      </candidateList>
      <explain>文本全半角错误。</explain>
      <paraID>11C2A584</paraID>
      <start>23</start>
      <end>24</end>
      <status>unmodified</status>
      <modifiedWord/>
      <trackRevisions>false</trackRevisions>
    </reviewItem>
    <reviewItem>
      <errorID>f61d641a-29e8-4717-b01e-13957c05803a</errorID>
      <errorWord>(</errorWord>
      <group>L1_Format</group>
      <groupName>格式问题</groupName>
      <ability>L2_HalfPunc</ability>
      <abilityName>全半角检查</abilityName>
      <candidateList>
        <item>（</item>
      </candidateList>
      <explain>文本全半角错误。</explain>
      <paraID>4383C84B</paraID>
      <start>9</start>
      <end>10</end>
      <status>unmodified</status>
      <modifiedWord/>
      <trackRevisions>false</trackRevisions>
    </reviewItem>
    <reviewItem>
      <errorID>ddf32622-2978-4e66-a025-c0ab9b9715db</errorID>
      <errorWord>)</errorWord>
      <group>L1_Format</group>
      <groupName>格式问题</groupName>
      <ability>L2_HalfPunc</ability>
      <abilityName>全半角检查</abilityName>
      <candidateList>
        <item>）</item>
      </candidateList>
      <explain>文本全半角错误。</explain>
      <paraID>4383C84B</paraID>
      <start>11</start>
      <end>12</end>
      <status>unmodified</status>
      <modifiedWord/>
      <trackRevisions>false</trackRevisions>
    </reviewItem>
    <reviewItem>
      <errorID>04009c10-589e-4fa6-8a32-4e4df5b05fef</errorID>
      <errorWord>(</errorWord>
      <group>L1_Format</group>
      <groupName>格式问题</groupName>
      <ability>L2_HalfPunc</ability>
      <abilityName>全半角检查</abilityName>
      <candidateList>
        <item>（</item>
      </candidateList>
      <explain>文本全半角错误。</explain>
      <paraID>2868850A</paraID>
      <start>5</start>
      <end>6</end>
      <status>unmodified</status>
      <modifiedWord/>
      <trackRevisions>false</trackRevisions>
    </reviewItem>
    <reviewItem>
      <errorID>9f109826-ac99-4f26-9d4a-0594fe0de84b</errorID>
      <errorWord>)</errorWord>
      <group>L1_Format</group>
      <groupName>格式问题</groupName>
      <ability>L2_HalfPunc</ability>
      <abilityName>全半角检查</abilityName>
      <candidateList>
        <item>）</item>
      </candidateList>
      <explain>文本全半角错误。</explain>
      <paraID>2868850A</paraID>
      <start>7</start>
      <end>8</end>
      <status>unmodified</status>
      <modifiedWord/>
      <trackRevisions>false</trackRevisions>
    </reviewItem>
    <reviewItem>
      <errorID>85590464-6b24-4cbf-afe3-a124f9fd9a7d</errorID>
      <errorWord>(</errorWord>
      <group>L1_Format</group>
      <groupName>格式问题</groupName>
      <ability>L2_HalfPunc</ability>
      <abilityName>全半角检查</abilityName>
      <candidateList>
        <item>（</item>
      </candidateList>
      <explain>文本全半角错误。</explain>
      <paraID>13F99CDB</paraID>
      <start>8</start>
      <end>9</end>
      <status>unmodified</status>
      <modifiedWord/>
      <trackRevisions>false</trackRevisions>
    </reviewItem>
    <reviewItem>
      <errorID>300545d8-9fc7-4b24-b148-00dfed3ee6e1</errorID>
      <errorWord>)</errorWord>
      <group>L1_Format</group>
      <groupName>格式问题</groupName>
      <ability>L2_HalfPunc</ability>
      <abilityName>全半角检查</abilityName>
      <candidateList>
        <item>）</item>
      </candidateList>
      <explain>文本全半角错误。</explain>
      <paraID>13F99CDB</paraID>
      <start>11</start>
      <end>12</end>
      <status>unmodified</status>
      <modifiedWord/>
      <trackRevisions>false</trackRevisions>
    </reviewItem>
    <reviewItem>
      <errorID>433db2f7-5b97-40af-8406-30afffba69af</errorID>
      <errorWord>(</errorWord>
      <group>L1_Format</group>
      <groupName>格式问题</groupName>
      <ability>L2_HalfPunc</ability>
      <abilityName>全半角检查</abilityName>
      <candidateList>
        <item>（</item>
      </candidateList>
      <explain>文本全半角错误。</explain>
      <paraID>70FF285E</paraID>
      <start>8</start>
      <end>9</end>
      <status>unmodified</status>
      <modifiedWord/>
      <trackRevisions>false</trackRevisions>
    </reviewItem>
    <reviewItem>
      <errorID>b021b0a2-4b12-420a-95a3-96a730edd3b1</errorID>
      <errorWord>)</errorWord>
      <group>L1_Format</group>
      <groupName>格式问题</groupName>
      <ability>L2_HalfPunc</ability>
      <abilityName>全半角检查</abilityName>
      <candidateList>
        <item>）</item>
      </candidateList>
      <explain>文本全半角错误。</explain>
      <paraID>70FF285E</paraID>
      <start>14</start>
      <end>15</end>
      <status>unmodified</status>
      <modifiedWord/>
      <trackRevisions>false</trackRevisions>
    </reviewItem>
    <reviewItem>
      <errorID>c86b475f-a851-4b66-a9c4-560c0b12b9c5</errorID>
      <errorWord>(</errorWord>
      <group>L1_Format</group>
      <groupName>格式问题</groupName>
      <ability>L2_HalfPunc</ability>
      <abilityName>全半角检查</abilityName>
      <candidateList>
        <item>（</item>
      </candidateList>
      <explain>文本全半角错误。</explain>
      <paraID>5CB2A7D7</paraID>
      <start>14</start>
      <end>15</end>
      <status>unmodified</status>
      <modifiedWord/>
      <trackRevisions>false</trackRevisions>
    </reviewItem>
    <reviewItem>
      <errorID>e2f63531-6bcb-4c93-af8b-47a456233ac1</errorID>
      <errorWord>)</errorWord>
      <group>L1_Format</group>
      <groupName>格式问题</groupName>
      <ability>L2_HalfPunc</ability>
      <abilityName>全半角检查</abilityName>
      <candidateList>
        <item>）</item>
      </candidateList>
      <explain>文本全半角错误。</explain>
      <paraID>5CB2A7D7</paraID>
      <start>19</start>
      <end>20</end>
      <status>unmodified</status>
      <modifiedWord/>
      <trackRevisions>false</trackRevisions>
    </reviewItem>
    <reviewItem>
      <errorID>df99b52a-cf2d-49e6-8dd8-60236339d231</errorID>
      <errorWord>客留</errorWord>
      <group>L1_Word</group>
      <groupName>字词问题</groupName>
      <ability>L2_Typo</ability>
      <abilityName>字词错误</abilityName>
      <candidateList>
        <item>客流</item>
      </candidateList>
      <explain/>
      <paraID>67E3CA0B</paraID>
      <start>67</start>
      <end>69</end>
      <status>unmodified</status>
      <modifiedWord/>
      <trackRevisions>false</trackRevisions>
    </reviewItem>
    <reviewItem>
      <errorID>2994893e-a895-42d8-ab80-3f6fc11d5b88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67E3CA0B</paraID>
      <start>69</start>
      <end>72</end>
      <status>unmodified</status>
      <modifiedWord/>
      <trackRevisions>false</trackRevisions>
    </reviewItem>
    <reviewItem>
      <errorID>c27bd93e-b26a-46d1-a71a-8f1528fa4d35</errorID>
      <errorWord>中古</errorWord>
      <group>L1_Word</group>
      <groupName>字词问题</groupName>
      <ability>L2_Typo</ability>
      <abilityName>字词错误</abilityName>
      <candidateList>
        <item>中国</item>
      </candidateList>
      <explain>存在发音相近字词的误用。</explain>
      <paraID>  A42D9B</paraID>
      <start>367</start>
      <end>369</end>
      <status>unmodified</status>
      <modifiedWord/>
      <trackRevisions>false</trackRevisions>
    </reviewItem>
    <reviewItem>
      <errorID>cd14503b-fd6c-47d1-870e-07b531f75ffc</errorID>
      <errorWord>以竹代塑</errorWord>
      <group>L1_Political</group>
      <groupName>政治性问题</groupName>
      <ability>L2_Keyword</ability>
      <abilityName>固定表述</abilityName>
      <candidateList>
        <item>“以竹代塑”</item>
      </candidateList>
      <explain>注意检查当前固定表述标点是否使用规范。</explain>
      <paraID>51B7BE2A</paraID>
      <start>6</start>
      <end>10</end>
      <status>unmodified</status>
      <modifiedWord/>
      <trackRevisions>false</trackRevisions>
    </reviewItem>
    <reviewItem>
      <errorID>74466ce0-f39b-4b33-bfaa-a331b304c613</errorID>
      <errorWord>、植</errorWord>
      <group>L1_Word</group>
      <groupName>字词问题</groupName>
      <ability>L2_Typo</ability>
      <abilityName>字词错误</abilityName>
      <candidateList>
        <item>、</item>
      </candidateList>
      <explain/>
      <paraID>1F68F654</paraID>
      <start>160</start>
      <end>162</end>
      <status>unmodified</status>
      <modifiedWord/>
      <trackRevisions>false</trackRevisions>
    </reviewItem>
    <reviewItem>
      <errorID>e4d11913-8ec1-4504-9b9c-8674a2e8619e</errorID>
      <errorWord>，</errorWord>
      <group>L1_Word</group>
      <groupName>字词问题</groupName>
      <ability>L2_Typo</ability>
      <abilityName>字词错误</abilityName>
      <candidateList>
        <item>，以</item>
      </candidateList>
      <explain/>
      <paraID>18BEC272</paraID>
      <start>124</start>
      <end>125</end>
      <status>unmodified</status>
      <modifiedWord/>
      <trackRevisions>false</trackRevisions>
    </reviewItem>
    <reviewItem>
      <errorID>084f27b0-75dd-4155-adb8-55278b83dc1e</errorID>
      <errorWord>人民群众日益增长的美好生活需要</errorWord>
      <group>L1_Political</group>
      <groupName>政治性问题</groupName>
      <ability>L2_Unpolitical</ability>
      <abilityName>政治敏感错误</abilityName>
      <candidateList>
        <item>人民日益增长的美好生活需要</item>
      </candidateList>
      <explain/>
      <paraID> D6E3020</paraID>
      <start>3</start>
      <end>18</end>
      <status>unmodified</status>
      <modifiedWord/>
      <trackRevisions>false</trackRevisions>
    </reviewItem>
    <reviewItem>
      <errorID>148d20e4-a1dc-4a81-8492-1dda247b45ba</errorID>
      <errorWord>科技型领军企业</errorWord>
      <group>L1_Political</group>
      <groupName>政治性问题</groupName>
      <ability>L2_Keyword</ability>
      <abilityName>固定表述</abilityName>
      <candidateList>
        <item>科技型骨干企业</item>
      </candidateList>
      <explain>词汇“科技型骨干企业”在特定场景下为固定表述形式，请确认此处的“科技型领军企业”是否存在不当。</explain>
      <paraID>404DEDA7</paraID>
      <start>381</start>
      <end>388</end>
      <status>unmodified</status>
      <modifiedWord/>
      <trackRevisions>false</trackRevisions>
    </reviewItem>
    <reviewItem>
      <errorID>8cb0e4f1-af04-4e12-bb9a-b94109ed0960</errorID>
      <errorWord>单项</errorWord>
      <group>L1_Word</group>
      <groupName>字词问题</groupName>
      <ability>L2_Typo</ability>
      <abilityName>字词错误</abilityName>
      <candidateList>
        <item>单相</item>
      </candidateList>
      <explain>存在发音相同字词的误用。</explain>
      <paraID>701118F9</paraID>
      <start>27</start>
      <end>29</end>
      <status>unmodified</status>
      <modifiedWord/>
      <trackRevisions>false</trackRevisions>
    </reviewItem>
    <reviewItem>
      <errorID>b8c35bbe-6518-43e7-a8d6-b044dc9b3c0e</errorID>
      <errorWord>-</errorWord>
      <group>L1_Format</group>
      <groupName>格式问题</groupName>
      <ability>L2_HalfPunc</ability>
      <abilityName>全半角检查</abilityName>
      <candidateList>
        <item>－</item>
      </candidateList>
      <explain>文本全半角错误。</explain>
      <paraID>34160A2A</paraID>
      <start>83</start>
      <end>84</end>
      <status>unmodified</status>
      <modifiedWord/>
      <trackRevisions>false</trackRevisions>
    </reviewItem>
    <reviewItem>
      <errorID>c2db3c35-85d8-4ed8-9421-24c86c63337e</errorID>
      <errorWord>-</errorWord>
      <group>L1_Format</group>
      <groupName>格式问题</groupName>
      <ability>L2_HalfPunc</ability>
      <abilityName>全半角检查</abilityName>
      <candidateList>
        <item>－</item>
      </candidateList>
      <explain>文本全半角错误。</explain>
      <paraID>34160A2A</paraID>
      <start>90</start>
      <end>91</end>
      <status>unmodified</status>
      <modifiedWord/>
      <trackRevisions>false</trackRevisions>
    </reviewItem>
    <reviewItem>
      <errorID>eb0d0876-8608-48d6-8e8e-3cfacf9a76c5</errorID>
      <errorWord>、</errorWord>
      <group>L1_Word</group>
      <groupName>字词问题</groupName>
      <ability>L2_Typo</ability>
      <abilityName>字词错误</abilityName>
      <candidateList>
        <item>、以</item>
      </candidateList>
      <explain/>
      <paraID>2D9FD0D2</paraID>
      <start>196</start>
      <end>197</end>
      <status>unmodified</status>
      <modifiedWord/>
      <trackRevisions>false</trackRevisions>
    </reviewItem>
    <reviewItem>
      <errorID>3b10b318-e20b-4ba3-8b0f-5253e14429d9</errorID>
      <errorWord>提速</errorWord>
      <group>L1_Word</group>
      <groupName>字词问题</groupName>
      <ability>L2_Typo</ability>
      <abilityName>字词错误</abilityName>
      <candidateList>
        <item>提升</item>
      </candidateList>
      <explain/>
      <paraID> 9FFBAE9</paraID>
      <start>4</start>
      <end>6</end>
      <status>unmodified</status>
      <modifiedWord/>
      <trackRevisions>false</trackRevisions>
    </reviewItem>
    <reviewItem>
      <errorID>3db1d123-0609-4ad5-a590-dd7a57b94bc0</errorID>
      <errorWord>龙船赛</errorWord>
      <group>L1_Word</group>
      <groupName>字词问题</groupName>
      <ability>L2_Typo</ability>
      <abilityName>字词错误</abilityName>
      <candidateList>
        <item>龙舟赛</item>
      </candidateList>
      <explain/>
      <paraID>7CC8C79C</paraID>
      <start>340</start>
      <end>343</end>
      <status>unmodified</status>
      <modifiedWord/>
      <trackRevisions>false</trackRevisions>
    </reviewItem>
    <reviewItem>
      <errorID>64953150-e4ba-4133-b69b-0b347d0ecdd3</errorID>
      <errorWord>(</errorWord>
      <group>L1_Format</group>
      <groupName>格式问题</groupName>
      <ability>L2_HalfPunc</ability>
      <abilityName>全半角检查</abilityName>
      <candidateList>
        <item>（</item>
      </candidateList>
      <explain>文本全半角错误。</explain>
      <paraID> A9F08DA</paraID>
      <start>264</start>
      <end>265</end>
      <status>unmodified</status>
      <modifiedWord/>
      <trackRevisions>false</trackRevisions>
    </reviewItem>
    <reviewItem>
      <errorID>7aa83c00-0fee-4a07-af91-931984fdd1b2</errorID>
      <errorWord>)</errorWord>
      <group>L1_Format</group>
      <groupName>格式问题</groupName>
      <ability>L2_HalfPunc</ability>
      <abilityName>全半角检查</abilityName>
      <candidateList>
        <item>）</item>
      </candidateList>
      <explain>文本全半角错误。</explain>
      <paraID> A9F08DA</paraID>
      <start>267</start>
      <end>268</end>
      <status>unmodified</status>
      <modifiedWord/>
      <trackRevisions>false</trackRevisions>
    </reviewItem>
    <reviewItem>
      <errorID>f840c24c-4216-4228-a03c-cbb8000a7518</errorID>
      <errorWord>中国-东盟博览会</errorWord>
      <group>L1_Political</group>
      <groupName>政治性问题</groupName>
      <ability>L2_Keyword</ability>
      <abilityName>固定表述</abilityName>
      <candidateList>
        <item>中国—东盟博览会</item>
      </candidateList>
      <explain>注意检查当前固定表述标点是否使用规范。</explain>
      <paraID> A9F08DA</paraID>
      <start>276</start>
      <end>284</end>
      <status>unmodified</status>
      <modifiedWord/>
      <trackRevisions>false</trackRevisions>
    </reviewItem>
    <reviewItem>
      <errorID>7d4faae8-19dd-43d4-ae99-e130beb3fb5f</errorID>
      <errorWord>网店</errorWord>
      <group>L1_Word</group>
      <groupName>字词问题</groupName>
      <ability>L2_Typo</ability>
      <abilityName>字词错误</abilityName>
      <candidateList>
        <item>网点</item>
      </candidateList>
      <explain/>
      <paraID>6CF3B652</paraID>
      <start>322</start>
      <end>324</end>
      <status>unmodified</status>
      <modifiedWord/>
      <trackRevisions>false</trackRevisions>
    </reviewItem>
    <reviewItem>
      <errorID>427b1a9e-23d7-46bd-8f6f-daf13ece4acb</errorID>
      <errorWord>二十大</errorWord>
      <group>L1_Political</group>
      <groupName>政治性问题</groupName>
      <ability>L2_Unpolitical</ability>
      <abilityName>政治敏感错误</abilityName>
      <candidateList>
        <item>党的二十大</item>
      </candidateList>
      <explain/>
      <paraID>3A16C792</paraID>
      <start>139</start>
      <end>142</end>
      <status>unmodified</status>
      <modifiedWord/>
      <trackRevisions>false</trackRevisions>
    </reviewItem>
    <reviewItem>
      <errorID>f28d4c80-2a14-48af-8ce5-76cbc51735b9</errorID>
      <errorWord>体</errorWord>
      <group>L1_Word</group>
      <groupName>字词问题</groupName>
      <ability>L2_Typo</ability>
      <abilityName>字词错误</abilityName>
      <candidateList>
        <item>体化</item>
      </candidateList>
      <explain/>
      <paraID>  59244F</paraID>
      <start>237</start>
      <end>238</end>
      <status>unmodified</status>
      <modifiedWord/>
      <trackRevisions>false</trackRevisions>
    </reviewItem>
    <reviewItem>
      <errorID>6c49fbfe-1b05-4be2-a0a5-4a88252fed54</errorID>
      <errorWord>五位一体</errorWord>
      <group>L1_Political</group>
      <groupName>政治性问题</groupName>
      <ability>L2_Keyword</ability>
      <abilityName>固定表述</abilityName>
      <candidateList>
        <item>“五位一体”</item>
      </candidateList>
      <explain>注意检查当前固定表述标点是否使用规范。</explain>
      <paraID>762D6118</paraID>
      <start>56</start>
      <end>60</end>
      <status>unmodified</status>
      <modifiedWord/>
      <trackRevisions>false</trackRevisions>
    </reviewItem>
    <reviewItem>
      <errorID>b7a8a83b-0f2c-4343-b415-6fca8ce9d368</errorID>
      <errorWord>永清</errorWord>
      <group>L1_Word</group>
      <groupName>字词问题</groupName>
      <ability>L2_Typo</ability>
      <abilityName>字词错误</abilityName>
      <candidateList>
        <item>永</item>
      </candidateList>
      <explain/>
      <paraID>45FECA4E</paraID>
      <start>27</start>
      <end>29</end>
      <status>unmodified</status>
      <modifiedWord/>
      <trackRevisions>false</trackRevisions>
    </reviewItem>
    <reviewItem>
      <errorID>d195313d-5a58-4d39-b35d-1ecf3b64f8c0</errorID>
      <errorWord>永清</errorWord>
      <group>L1_Word</group>
      <groupName>字词问题</groupName>
      <ability>L2_Typo</ability>
      <abilityName>字词错误</abilityName>
      <candidateList>
        <item>永</item>
      </candidateList>
      <explain/>
      <paraID>67F777B2</paraID>
      <start>16</start>
      <end>18</end>
      <status>unmodified</status>
      <modifiedWord/>
      <trackRevisions>false</trackRevisions>
    </reviewItem>
    <reviewItem>
      <errorID>7ee6d5f4-70a0-4f9c-a305-23f0215b6a96</errorID>
      <errorWord>零冷</errorWord>
      <group>L1_Word</group>
      <groupName>字词问题</groupName>
      <ability>L2_Typo</ability>
      <abilityName>字词错误</abilityName>
      <candidateList>
        <item>平陵</item>
      </candidateList>
      <explain/>
      <paraID>69DB7142</paraID>
      <start>16</start>
      <end>18</end>
      <status>unmodified</status>
      <modifiedWord/>
      <trackRevisions>false</trackRevisions>
    </reviewItem>
    <reviewItem>
      <errorID>69a6a2ff-e2ab-488d-86d7-06cc8d05e625</errorID>
      <errorWord>永清</errorWord>
      <group>L1_Word</group>
      <groupName>字词问题</groupName>
      <ability>L2_Typo</ability>
      <abilityName>字词错误</abilityName>
      <candidateList>
        <item>永</item>
      </candidateList>
      <explain/>
      <paraID> 7933676</paraID>
      <start>244</start>
      <end>246</end>
      <status>unmodified</status>
      <modifiedWord/>
      <trackRevisions>false</trackRevisions>
    </reviewItem>
    <reviewItem>
      <errorID>73431158-2ad7-4c94-b470-99046eb9ee20</errorID>
      <errorWord>河田</errorWord>
      <group>L1_Word</group>
      <groupName>字词问题</groupName>
      <ability>L2_Typo</ability>
      <abilityName>字词错误</abilityName>
      <candidateList>
        <item>河湖</item>
      </candidateList>
      <explain/>
      <paraID>3FC22D54</paraID>
      <start>243</start>
      <end>245</end>
      <status>unmodified</status>
      <modifiedWord/>
      <trackRevisions>false</trackRevisions>
    </reviewItem>
    <reviewItem>
      <errorID>c3610486-64a0-4624-9b56-d484f47e438a</errorID>
      <errorWord>35-110千</errorWord>
      <group>L1_Knowledge</group>
      <groupName>知识性问题</groupName>
      <ability>L2_Knowledge</ability>
      <abilityName>其他知识</abilityName>
      <candidateList>
        <item>35千—110千</item>
      </candidateList>
      <explain>1. “35-110千”中的单位“千”仅出现在后一个数字上，容易引起歧义；根据《现代汉语标点符号数字用法规范手册》，数字表示范围两边需要使用统一的格式。2.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3C3F9D22</paraID>
      <start>0</start>
      <end>7</end>
      <status>unmodified</status>
      <modifiedWord/>
      <trackRevisions>false</trackRevisions>
    </reviewItem>
    <reviewItem>
      <errorID>08f84963-1f8e-428f-bcf8-93129b94177c</errorID>
      <errorWord>35-110千</errorWord>
      <group>L1_Knowledge</group>
      <groupName>知识性问题</groupName>
      <ability>L2_Knowledge</ability>
      <abilityName>其他知识</abilityName>
      <candidateList>
        <item>35千—110千</item>
      </candidateList>
      <explain>1. “35-110千”中的单位“千”仅出现在后一个数字上，容易引起歧义；根据《现代汉语标点符号数字用法规范手册》，数字表示范围两边需要使用统一的格式。2.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3C3F9D22</paraID>
      <start>13</start>
      <end>20</end>
      <status>unmodified</status>
      <modifiedWord/>
      <trackRevisions>false</trackRevisions>
    </reviewItem>
    <reviewItem>
      <errorID>c2d54395-2df8-48ba-be70-88b29d26e10d</errorID>
      <errorWord>-</errorWord>
      <group>L1_Format</group>
      <groupName>格式问题</groupName>
      <ability>L2_HalfPunc</ability>
      <abilityName>全半角检查</abilityName>
      <candidateList>
        <item>－</item>
      </candidateList>
      <explain>文本全半角错误。</explain>
      <paraID>1044558C</paraID>
      <start>84</start>
      <end>85</end>
      <status>unmodified</status>
      <modifiedWord/>
      <trackRevisions>false</trackRevisions>
    </reviewItem>
    <reviewItem>
      <errorID>b6225286-ff6d-43f7-9792-01002f2cb7c4</errorID>
      <errorWord>-</errorWord>
      <group>L1_Format</group>
      <groupName>格式问题</groupName>
      <ability>L2_HalfPunc</ability>
      <abilityName>全半角检查</abilityName>
      <candidateList>
        <item>－</item>
      </candidateList>
      <explain>文本全半角错误。</explain>
      <paraID>1044558C</paraID>
      <start>122</start>
      <end>123</end>
      <status>unmodified</status>
      <modifiedWord/>
      <trackRevisions>false</trackRevisions>
    </reviewItem>
    <reviewItem>
      <errorID>1558c20c-43c8-4e38-86e2-8c8e8afd442b</errorID>
      <errorWord>“三权分置”</errorWord>
      <group>L1_Word</group>
      <groupName>字词问题</groupName>
      <ability>L2_Typo</ability>
      <abilityName>字词错误</abilityName>
      <candidateList>
        <item>“三权”分置</item>
      </candidateList>
      <explain/>
      <paraID>6780022A</paraID>
      <start>154</start>
      <end>160</end>
      <status>unmodified</status>
      <modifiedWord/>
      <trackRevisions>false</trackRevisions>
    </reviewItem>
    <reviewItem>
      <errorID>2ca64f9c-31e7-48ee-89d4-9f86bf37f9f7</errorID>
      <errorWord>融合化</errorWord>
      <group>L1_Word</group>
      <groupName>字词问题</groupName>
      <ability>L2_Typo</ability>
      <abilityName>字词错误</abilityName>
      <candidateList>
        <item>融合</item>
      </candidateList>
      <explain>〈动〉几种不同的事物合成一体：文化～｜～各家之长。也作融和。</explain>
      <paraID>1CCFE672</paraID>
      <start>68</start>
      <end>71</end>
      <status>unmodified</status>
      <modifiedWord/>
      <trackRevisions>false</trackRevisions>
    </reviewItem>
    <reviewItem>
      <errorID>79dec162-335b-43d6-b6ce-17212aa8fead</errorID>
      <errorWord>资</errorWord>
      <group>L1_Word</group>
      <groupName>字词问题</groupName>
      <ability>L2_Typo</ability>
      <abilityName>字词错误</abilityName>
      <candidateList>
        <item>资源</item>
      </candidateList>
      <explain>〈名〉生产资料或生活资料的天然来源：地下～｜水力～｜旅游～。</explain>
      <paraID>3A9B6AD8</paraID>
      <start>60</start>
      <end>61</end>
      <status>unmodified</status>
      <modifiedWord/>
      <trackRevisions>false</trackRevisions>
    </reviewItem>
    <reviewItem>
      <errorID>d2769121-a1d2-4194-b8bf-86526c95d9e9</errorID>
      <errorWord>观</errorWord>
      <group>L1_Word</group>
      <groupName>字词问题</groupName>
      <ability>L2_Typo</ability>
      <abilityName>字词错误</abilityName>
      <candidateList>
        <item>管</item>
      </candidateList>
      <explain/>
      <paraID>33132247</paraID>
      <start>175</start>
      <end>176</end>
      <status>unmodified</status>
      <modifiedWord/>
      <trackRevisions>false</trackRevisions>
    </reviewItem>
    <reviewItem>
      <errorID>95993e22-d990-47a2-ab58-ee798ee7d41b</errorID>
      <errorWord>大思政课</errorWord>
      <group>L1_Political</group>
      <groupName>政治性问题</groupName>
      <ability>L2_Keyword</ability>
      <abilityName>固定表述</abilityName>
      <candidateList>
        <item>“大思政课”</item>
      </candidateList>
      <explain>注意检查当前固定表述标点是否使用规范。</explain>
      <paraID>1D7210B5</paraID>
      <start>291</start>
      <end>295</end>
      <status>unmodified</status>
      <modifiedWord/>
      <trackRevisions>false</trackRevisions>
    </reviewItem>
    <reviewItem>
      <errorID>27e4c1ee-7da6-42dd-a04e-73ab6d4e9977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60AD8FE5</paraID>
      <start>12</start>
      <end>13</end>
      <status>unmodified</status>
      <modifiedWord/>
      <trackRevisions>false</trackRevisions>
    </reviewItem>
    <reviewItem>
      <errorID>91ad85aa-ac78-479b-a277-ff87e6e7b1d1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60AD8FE5</paraID>
      <start>31</start>
      <end>32</end>
      <status>unmodified</status>
      <modifiedWord/>
      <trackRevisions>false</trackRevisions>
    </reviewItem>
    <reviewItem>
      <errorID>e7d78150-3bc8-4c49-a5db-d7f8061abe34</errorID>
      <errorWord>生态产品价值评价机制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词汇“生态产品价值实现机制”在特定场景下为固定表述形式，请确认此处的“生态产品价值评价机制”是否存在不当。</explain>
      <paraID>7A653B8B</paraID>
      <start>28</start>
      <end>38</end>
      <status>unmodified</status>
      <modifiedWord/>
      <trackRevisions>false</trackRevisions>
    </reviewItem>
    <reviewItem>
      <errorID>0bba2141-521a-4450-8d43-4cae6564df32</errorID>
      <errorWord>生物多样性保护工程</errorWord>
      <group>L1_Political</group>
      <groupName>政治性问题</groupName>
      <ability>L2_Keyword</ability>
      <abilityName>固定表述</abilityName>
      <candidateList>
        <item>生物多样性保护重大工程</item>
      </candidateList>
      <explain>词汇“生物多样性保护重大工程”在特定场景下为固定表述形式，请确认此处的“生物多样性保护工程”是否存在不当。</explain>
      <paraID>5C0FAC76</paraID>
      <start>0</start>
      <end>9</end>
      <status>unmodified</status>
      <modifiedWord/>
      <trackRevisions>false</trackRevisions>
    </reviewItem>
    <reviewItem>
      <errorID>5279aa2c-188b-4c18-9408-e8e4bc21d0e7</errorID>
      <errorWord>区域协同发展战略</errorWord>
      <group>L1_Political</group>
      <groupName>政治性问题</groupName>
      <ability>L2_Keyword</ability>
      <abilityName>固定表述</abilityName>
      <candidateList>
        <item>区域协调发展战略</item>
      </candidateList>
      <explain>词汇“区域协调发展战略”在特定场景下为固定表述形式，请确认此处的“区域协同发展战略”是否存在不当。</explain>
      <paraID>7FAD1A09</paraID>
      <start>283</start>
      <end>291</end>
      <status>unmodified</status>
      <modifiedWord/>
      <trackRevisions>false</trackRevisions>
    </reviewItem>
    <reviewItem>
      <errorID>e8a5a0d0-3238-4f2f-be95-13e73d044581</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5EB3E9A1</paraID>
      <start>34</start>
      <end>43</end>
      <status>unmodified</status>
      <modifiedWord/>
      <trackRevisions>false</trackRevisions>
    </reviewItem>
    <reviewItem>
      <errorID>416b3a49-0553-4476-93d8-0e7a49f2f482</errorID>
      <errorWord>、</errorWord>
      <group>L1_Word</group>
      <groupName>字词问题</groupName>
      <ability>L2_Typo</ability>
      <abilityName>字词错误</abilityName>
      <candidateList>
        <item>、更</item>
      </candidateList>
      <explain/>
      <paraID>286B7C70</paraID>
      <start>25</start>
      <end>26</end>
      <status>unmodified</status>
      <modifiedWord/>
      <trackRevisions>false</trackRevisions>
    </reviewItem>
    <reviewItem>
      <errorID>d0e122e8-8919-43fe-8e44-6fb8e016b112</errorID>
      <errorWord>一网通办</errorWord>
      <group>L1_Political</group>
      <groupName>政治性问题</groupName>
      <ability>L2_Keyword</ability>
      <abilityName>固定表述</abilityName>
      <candidateList>
        <item>“一网通办”</item>
      </candidateList>
      <explain>注意检查当前固定表述标点是否使用规范。</explain>
      <paraID>75E142B6</paraID>
      <start>238</start>
      <end>242</end>
      <status>unmodified</status>
      <modifiedWord/>
      <trackRevisions>false</trackRevisions>
    </reviewItem>
    <reviewItem>
      <errorID>d368a185-2994-40a7-ba6d-d57778d89cf3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53438022</paraID>
      <start>124</start>
      <end>125</end>
      <status>unmodified</status>
      <modifiedWord/>
      <trackRevisions>false</trackRevisions>
    </reviewItem>
    <reviewItem>
      <errorID>049d66c9-51cb-45a1-826d-09b06ef08ea9</errorID>
      <errorWord>党中央决策部署落实机制</errorWord>
      <group>L1_Political</group>
      <groupName>政治性问题</groupName>
      <ability>L2_Keyword</ability>
      <abilityName>固定表述</abilityName>
      <candidateList>
        <item>党中央重大决策部署落实机制</item>
      </candidateList>
      <explain>词汇“党中央重大决策部署落实机制”在特定场景下为固定表述形式，请确认此处的“党中央决策部署落实机制”是否存在不当。</explain>
      <paraID>65FD33B8</paraID>
      <start>2</start>
      <end>13</end>
      <status>unmodified</status>
      <modifiedWord/>
      <trackRevisions>false</trackRevisions>
    </reviewItem>
    <reviewItem>
      <errorID>33677f26-1045-4e2e-886f-2862a9ae10a8</errorID>
      <errorWord>、</errorWord>
      <group>L1_Word</group>
      <groupName>字词问题</groupName>
      <ability>L2_Typo</ability>
      <abilityName>字词错误</abilityName>
      <candidateList>
        <item>、以</item>
      </candidateList>
      <explain/>
      <paraID>5C3D3175</paraID>
      <start>23</start>
      <end>24</end>
      <status>unmodified</status>
      <modifiedWord/>
      <trackRevisions>false</trackRevisions>
    </reviewItem>
    <reviewItem>
      <errorID>be21835b-8309-4486-be8c-8b20809f21e1</errorID>
      <errorWord>，</errorWord>
      <group>L1_Word</group>
      <groupName>字词问题</groupName>
      <ability>L2_Typo</ability>
      <abilityName>字词错误</abilityName>
      <candidateList>
        <item>，以</item>
      </candidateList>
      <explain/>
      <paraID>5C3D3175</paraID>
      <start>33</start>
      <end>34</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AB8FC-C43F-43DE-ABA3-AFB45326A0CE}">
  <ds:schemaRefs/>
</ds:datastoreItem>
</file>

<file path=customXml/itemProps2.xml><?xml version="1.0" encoding="utf-8"?>
<ds:datastoreItem xmlns:ds="http://schemas.openxmlformats.org/officeDocument/2006/customXml" ds:itemID="{9E70814C-92DA-48A4-90EA-D1AACD567EAE}">
  <ds:schemaRefs/>
</ds:datastoreItem>
</file>

<file path=docProps/app.xml><?xml version="1.0" encoding="utf-8"?>
<Properties xmlns="http://schemas.openxmlformats.org/officeDocument/2006/extended-properties" xmlns:vt="http://schemas.openxmlformats.org/officeDocument/2006/docPropsVTypes">
  <Template>Normal.dotm</Template>
  <Pages>168</Pages>
  <Words>9183</Words>
  <Characters>9788</Characters>
  <Lines>652</Lines>
  <Paragraphs>183</Paragraphs>
  <TotalTime>0</TotalTime>
  <ScaleCrop>false</ScaleCrop>
  <LinksUpToDate>false</LinksUpToDate>
  <CharactersWithSpaces>10038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2026-06-11T10:20:00Z</dcterms:created>
  <dc:creator>2uc</dc:creator>
  <cp:lastModifiedBy>闲野云鹤</cp:lastModifiedBy>
  <cp:lastPrinted>2025-12-08T09:24:00Z</cp:lastPrinted>
  <dcterms:modified xsi:type="dcterms:W3CDTF">2026-06-25T06:37:35Z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eyJoZGlkIjoiMDZiMWZiMGY2MDc4OTY0ODI5MjBkNTdmMWRiODk2MjQiLCJ1c2VySWQiOiI0NDY1NzkxNzAifQ==</vt:lpwstr>
  </property>
  <property fmtid="{D5CDD505-2E9C-101B-9397-08002B2CF9AE}" pid="3" name="KSOProductBuildVer">
    <vt:lpwstr>2052-12.1.0.26895</vt:lpwstr>
  </property>
  <property fmtid="{D5CDD505-2E9C-101B-9397-08002B2CF9AE}" pid="4" name="ICV">
    <vt:lpwstr>083893AD1B7343B69F78EDE44E8DDC7A_13</vt:lpwstr>
  </property>
</Properties>
</file>