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color w:val="000000"/>
          <w:sz w:val="32"/>
          <w:szCs w:val="32"/>
        </w:rPr>
      </w:pPr>
      <w:bookmarkStart w:id="0" w:name="_GoBack"/>
      <w:bookmarkEnd w:id="0"/>
      <w:r>
        <w:rPr>
          <w:rFonts w:hint="eastAsia" w:ascii="黑体" w:hAnsi="黑体" w:eastAsia="黑体" w:cs="黑体"/>
          <w:color w:val="000000"/>
          <w:sz w:val="32"/>
          <w:szCs w:val="32"/>
        </w:rPr>
        <w:t>附件</w:t>
      </w:r>
    </w:p>
    <w:p>
      <w:pPr>
        <w:jc w:val="center"/>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kern w:val="0"/>
          <w:sz w:val="44"/>
          <w:szCs w:val="44"/>
        </w:rPr>
        <w:t>永州市优化营商环境2021年度重点工作责任分工表</w:t>
      </w:r>
    </w:p>
    <w:tbl>
      <w:tblPr>
        <w:tblStyle w:val="4"/>
        <w:tblW w:w="14798" w:type="dxa"/>
        <w:jc w:val="center"/>
        <w:shd w:val="clear" w:color="auto" w:fill="FFFFFF"/>
        <w:tblLayout w:type="autofit"/>
        <w:tblCellMar>
          <w:top w:w="0" w:type="dxa"/>
          <w:left w:w="108" w:type="dxa"/>
          <w:bottom w:w="0" w:type="dxa"/>
          <w:right w:w="108" w:type="dxa"/>
        </w:tblCellMar>
      </w:tblPr>
      <w:tblGrid>
        <w:gridCol w:w="490"/>
        <w:gridCol w:w="720"/>
        <w:gridCol w:w="8650"/>
        <w:gridCol w:w="1410"/>
        <w:gridCol w:w="1180"/>
        <w:gridCol w:w="2348"/>
      </w:tblGrid>
      <w:tr>
        <w:tblPrEx>
          <w:tblCellMar>
            <w:top w:w="0" w:type="dxa"/>
            <w:left w:w="108" w:type="dxa"/>
            <w:bottom w:w="0" w:type="dxa"/>
            <w:right w:w="108" w:type="dxa"/>
          </w:tblCellMar>
        </w:tblPrEx>
        <w:trPr>
          <w:trHeight w:val="612" w:hRule="atLeast"/>
          <w:tblHeader/>
          <w:jc w:val="center"/>
        </w:trPr>
        <w:tc>
          <w:tcPr>
            <w:tcW w:w="4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rPr>
              <w:t>序号</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rPr>
              <w:t>一级指标</w:t>
            </w: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rPr>
              <w:t>重点工作任务</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rPr>
              <w:t>完成时限</w:t>
            </w:r>
          </w:p>
        </w:tc>
        <w:tc>
          <w:tcPr>
            <w:tcW w:w="11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rPr>
              <w:t>牵头单位</w:t>
            </w:r>
          </w:p>
        </w:tc>
        <w:tc>
          <w:tcPr>
            <w:tcW w:w="234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b/>
                <w:bCs/>
                <w:color w:val="000000"/>
                <w:sz w:val="24"/>
              </w:rPr>
            </w:pPr>
            <w:r>
              <w:rPr>
                <w:rFonts w:hint="eastAsia" w:ascii="宋体" w:hAnsi="宋体" w:cs="宋体"/>
                <w:b/>
                <w:bCs/>
                <w:color w:val="000000"/>
                <w:kern w:val="0"/>
                <w:sz w:val="24"/>
              </w:rPr>
              <w:t>责任单位</w:t>
            </w:r>
          </w:p>
        </w:tc>
      </w:tr>
      <w:tr>
        <w:tblPrEx>
          <w:shd w:val="clear" w:color="auto" w:fill="FFFFFF"/>
          <w:tblCellMar>
            <w:top w:w="0" w:type="dxa"/>
            <w:left w:w="108" w:type="dxa"/>
            <w:bottom w:w="0" w:type="dxa"/>
            <w:right w:w="108" w:type="dxa"/>
          </w:tblCellMar>
        </w:tblPrEx>
        <w:trPr>
          <w:trHeight w:val="2004" w:hRule="atLeast"/>
          <w:jc w:val="center"/>
        </w:trPr>
        <w:tc>
          <w:tcPr>
            <w:tcW w:w="49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惠企政策落实</w:t>
            </w: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400" w:lineRule="exact"/>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梳理惠企政策，制定印发实施清单</w:t>
            </w:r>
            <w:r>
              <w:rPr>
                <w:rStyle w:val="6"/>
                <w:rFonts w:hint="default"/>
                <w:color w:val="000000"/>
              </w:rPr>
              <w:t>。组织开展涉企政策梳理，形成惠企政策清单。依托惠企通平台，运用大数据等信息技术向企业精准推送，帮助企业了解政策，用足用好政策。各部门在制定惠企政策时，除宏观政策外，原则上应当同步制定印发实施清单，明确实施部门、行使层级、申报条件、申报材料、办理流程、办结时限、咨询方式及监督方式等要素。县级政府出台惠企措施时要公布相关负责人及联系方式，实行政策兑现“落实到人”。</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2021年8月</w:t>
            </w:r>
          </w:p>
        </w:tc>
        <w:tc>
          <w:tcPr>
            <w:tcW w:w="118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市工信局</w:t>
            </w:r>
          </w:p>
        </w:tc>
        <w:tc>
          <w:tcPr>
            <w:tcW w:w="234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40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市行政审批服务局、市财政局、市税务局、市人社局、市发改委、市通管办、市司法局、市商务局、市自然资源和规划局等市直相关单位，各县市区政府（含管理区、经开区管委会，下同）</w:t>
            </w:r>
          </w:p>
        </w:tc>
      </w:tr>
      <w:tr>
        <w:tblPrEx>
          <w:shd w:val="clear" w:color="auto" w:fill="FFFFFF"/>
          <w:tblCellMar>
            <w:top w:w="0" w:type="dxa"/>
            <w:left w:w="108" w:type="dxa"/>
            <w:bottom w:w="0" w:type="dxa"/>
            <w:right w:w="108" w:type="dxa"/>
          </w:tblCellMar>
        </w:tblPrEx>
        <w:trPr>
          <w:trHeight w:val="744"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400" w:lineRule="exact"/>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完善公共服务平台</w:t>
            </w:r>
            <w:r>
              <w:rPr>
                <w:rStyle w:val="6"/>
                <w:rFonts w:hint="default"/>
                <w:color w:val="000000"/>
              </w:rPr>
              <w:t>。完善各县市区企业公共服务平台，根据企业需求精准推送惠企政策，加快构建中小企业服务体系。</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2021年10月</w:t>
            </w: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1300"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400" w:lineRule="exact"/>
              <w:textAlignment w:val="center"/>
              <w:rPr>
                <w:rFonts w:ascii="宋体" w:hAnsi="宋体" w:cs="宋体"/>
                <w:b/>
                <w:bCs/>
                <w:color w:val="000000"/>
                <w:sz w:val="20"/>
                <w:szCs w:val="20"/>
              </w:rPr>
            </w:pPr>
            <w:r>
              <w:rPr>
                <w:rFonts w:hint="eastAsia" w:ascii="宋体" w:hAnsi="宋体" w:cs="宋体"/>
                <w:b/>
                <w:bCs/>
                <w:color w:val="000000"/>
                <w:kern w:val="0"/>
                <w:sz w:val="20"/>
                <w:szCs w:val="20"/>
              </w:rPr>
              <w:t>加强政策兑现</w:t>
            </w:r>
            <w:r>
              <w:rPr>
                <w:rStyle w:val="6"/>
                <w:rFonts w:hint="default"/>
                <w:color w:val="000000"/>
              </w:rPr>
              <w:t>。围绕好办、易办、快办，不断梳理改造惠企政策兑现“一件事”，实行“一次告知、一次申报、一次兑现”。探索组建惠企政策兑现窗口，做到惠企政策宣传查询、申报受理、反馈兑现一窗受理。完善财政资金直达机制，确保资金精准、快速到达市场主体。开展政策执行效果评估，对评估结果予以通报。</w:t>
            </w:r>
          </w:p>
        </w:tc>
        <w:tc>
          <w:tcPr>
            <w:tcW w:w="1410" w:type="dxa"/>
            <w:vMerge w:val="restart"/>
            <w:tcBorders>
              <w:top w:val="single" w:color="000000" w:sz="4" w:space="0"/>
              <w:left w:val="single" w:color="000000" w:sz="4" w:space="0"/>
              <w:right w:val="single" w:color="000000" w:sz="4" w:space="0"/>
            </w:tcBorders>
            <w:shd w:val="clear" w:color="auto" w:fill="FFFFFF"/>
            <w:noWrap w:val="0"/>
            <w:vAlign w:val="center"/>
          </w:tcPr>
          <w:p>
            <w:pPr>
              <w:jc w:val="center"/>
              <w:textAlignment w:val="center"/>
              <w:rPr>
                <w:rFonts w:ascii="宋体" w:hAnsi="宋体" w:cs="宋体"/>
                <w:color w:val="000000"/>
                <w:sz w:val="20"/>
                <w:szCs w:val="20"/>
              </w:rPr>
            </w:pPr>
            <w:r>
              <w:rPr>
                <w:rFonts w:hint="eastAsia" w:ascii="宋体" w:hAnsi="宋体" w:cs="宋体"/>
                <w:color w:val="000000"/>
                <w:kern w:val="0"/>
                <w:sz w:val="20"/>
                <w:szCs w:val="20"/>
              </w:rPr>
              <w:t>2021年12月</w:t>
            </w: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r>
      <w:tr>
        <w:tblPrEx>
          <w:shd w:val="clear" w:color="auto" w:fill="FFFFFF"/>
          <w:tblCellMar>
            <w:top w:w="0" w:type="dxa"/>
            <w:left w:w="108" w:type="dxa"/>
            <w:bottom w:w="0" w:type="dxa"/>
            <w:right w:w="108" w:type="dxa"/>
          </w:tblCellMar>
        </w:tblPrEx>
        <w:trPr>
          <w:trHeight w:val="1656"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400" w:lineRule="exact"/>
              <w:jc w:val="left"/>
              <w:textAlignment w:val="center"/>
              <w:rPr>
                <w:rFonts w:ascii="宋体" w:hAnsi="宋体" w:cs="宋体"/>
                <w:b/>
                <w:bCs/>
                <w:color w:val="000000"/>
                <w:sz w:val="20"/>
                <w:szCs w:val="20"/>
              </w:rPr>
            </w:pPr>
            <w:r>
              <w:rPr>
                <w:rStyle w:val="7"/>
                <w:rFonts w:hint="default"/>
                <w:color w:val="000000"/>
              </w:rPr>
              <w:t>加强政策解读和宣传</w:t>
            </w:r>
            <w:r>
              <w:rPr>
                <w:rStyle w:val="8"/>
                <w:rFonts w:hint="default"/>
                <w:color w:val="000000"/>
              </w:rPr>
              <w:t>。</w:t>
            </w:r>
            <w:r>
              <w:rPr>
                <w:rStyle w:val="6"/>
                <w:rFonts w:hint="default"/>
                <w:color w:val="000000"/>
              </w:rPr>
              <w:t>使用企业和群众能理解的语言，通过多种渠道，及时、准确地推出形式直观、易懂的营商环境文件解读和政策宣传，传递权威信息和政策措施，并在“我的永州”APP开通“惠企通”模块，做好涉企政策宣传解读。</w:t>
            </w:r>
            <w:r>
              <w:rPr>
                <w:rStyle w:val="9"/>
                <w:rFonts w:hint="default"/>
                <w:color w:val="000000"/>
              </w:rPr>
              <w:t>组织有关单位对现行涉企政策落实，各单位根据实际情况，原则上要求每条政策全年至少公布2个以上落实案例。</w:t>
            </w:r>
          </w:p>
        </w:tc>
        <w:tc>
          <w:tcPr>
            <w:tcW w:w="1410" w:type="dxa"/>
            <w:vMerge w:val="continue"/>
            <w:tcBorders>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1040" w:hRule="atLeast"/>
          <w:jc w:val="center"/>
        </w:trPr>
        <w:tc>
          <w:tcPr>
            <w:tcW w:w="49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开办企业</w:t>
            </w: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精减环节</w:t>
            </w:r>
            <w:r>
              <w:rPr>
                <w:rStyle w:val="6"/>
                <w:rFonts w:hint="default"/>
                <w:color w:val="000000"/>
              </w:rPr>
              <w:t>。企业开办环节为设立登记、公章刻制、申领发票3个环节。企业银行开户由许可改为备案；税种认定、一般纳税人登记(依申请)、发票申领等整合为一个环节。所有联办事项组成“一件事”，全流程网办、实行一张表单、并联审批、一次办结，所需提交材料不超过7份。</w:t>
            </w:r>
          </w:p>
        </w:tc>
        <w:tc>
          <w:tcPr>
            <w:tcW w:w="1410" w:type="dxa"/>
            <w:vMerge w:val="restart"/>
            <w:tcBorders>
              <w:top w:val="single" w:color="000000" w:sz="4" w:space="0"/>
              <w:left w:val="single" w:color="000000" w:sz="4" w:space="0"/>
              <w:right w:val="single" w:color="000000" w:sz="4" w:space="0"/>
            </w:tcBorders>
            <w:shd w:val="clear" w:color="auto" w:fill="FFFFFF"/>
            <w:noWrap w:val="0"/>
            <w:vAlign w:val="center"/>
          </w:tcPr>
          <w:p>
            <w:pPr>
              <w:jc w:val="center"/>
              <w:textAlignment w:val="center"/>
              <w:rPr>
                <w:rFonts w:ascii="宋体" w:hAnsi="宋体" w:cs="宋体"/>
                <w:color w:val="000000"/>
                <w:sz w:val="20"/>
                <w:szCs w:val="20"/>
              </w:rPr>
            </w:pPr>
            <w:r>
              <w:rPr>
                <w:rFonts w:hint="eastAsia" w:ascii="宋体" w:hAnsi="宋体" w:cs="宋体"/>
                <w:color w:val="000000"/>
                <w:kern w:val="0"/>
                <w:sz w:val="20"/>
                <w:szCs w:val="20"/>
              </w:rPr>
              <w:t>2021年7月</w:t>
            </w:r>
          </w:p>
        </w:tc>
        <w:tc>
          <w:tcPr>
            <w:tcW w:w="118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市市场</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监管局</w:t>
            </w:r>
          </w:p>
        </w:tc>
        <w:tc>
          <w:tcPr>
            <w:tcW w:w="234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市税务局、市人社局、市公安局、市财政局、市司法局、市商务局、永州海关、人民银行永州市中心支行、市住房公积金管理中心等市直相关单位，各县市区政府</w:t>
            </w:r>
          </w:p>
        </w:tc>
      </w:tr>
      <w:tr>
        <w:tblPrEx>
          <w:shd w:val="clear" w:color="auto" w:fill="FFFFFF"/>
          <w:tblCellMar>
            <w:top w:w="0" w:type="dxa"/>
            <w:left w:w="108" w:type="dxa"/>
            <w:bottom w:w="0" w:type="dxa"/>
            <w:right w:w="108" w:type="dxa"/>
          </w:tblCellMar>
        </w:tblPrEx>
        <w:trPr>
          <w:trHeight w:val="756"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精减时间</w:t>
            </w:r>
            <w:r>
              <w:rPr>
                <w:rStyle w:val="6"/>
                <w:rFonts w:hint="default"/>
                <w:color w:val="000000"/>
              </w:rPr>
              <w:t>。企业设立登记时间压缩1个工作日，公章刻制、申领发票、员工参保登记、住房公积金缴存登记全部在设立登记核准后1天内完成，确保企业开办时间压缩到2个工作日内。</w:t>
            </w:r>
          </w:p>
        </w:tc>
        <w:tc>
          <w:tcPr>
            <w:tcW w:w="1410" w:type="dxa"/>
            <w:vMerge w:val="continue"/>
            <w:tcBorders>
              <w:left w:val="single" w:color="000000" w:sz="4" w:space="0"/>
              <w:right w:val="single" w:color="000000" w:sz="4" w:space="0"/>
            </w:tcBorders>
            <w:shd w:val="clear" w:color="auto" w:fill="FFFFFF"/>
            <w:noWrap w:val="0"/>
            <w:vAlign w:val="center"/>
          </w:tcPr>
          <w:p>
            <w:pPr>
              <w:jc w:val="center"/>
              <w:textAlignment w:val="center"/>
              <w:rPr>
                <w:rFonts w:ascii="宋体" w:hAnsi="宋体" w:cs="宋体"/>
                <w:color w:val="000000"/>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80"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精减费用</w:t>
            </w:r>
            <w:r>
              <w:rPr>
                <w:rStyle w:val="6"/>
                <w:rFonts w:hint="default"/>
                <w:color w:val="000000"/>
              </w:rPr>
              <w:t>。通过政府采购方式，统一采购寄递服务，免费为新开办企业寄递营业执行、税务发票等资料；免费为新开办企业刻制首套印章，实现企业开办“零费用”。</w:t>
            </w:r>
          </w:p>
        </w:tc>
        <w:tc>
          <w:tcPr>
            <w:tcW w:w="1410" w:type="dxa"/>
            <w:vMerge w:val="continue"/>
            <w:tcBorders>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r>
      <w:tr>
        <w:tblPrEx>
          <w:shd w:val="clear" w:color="auto" w:fill="FFFFFF"/>
          <w:tblCellMar>
            <w:top w:w="0" w:type="dxa"/>
            <w:left w:w="108" w:type="dxa"/>
            <w:bottom w:w="0" w:type="dxa"/>
            <w:right w:w="108" w:type="dxa"/>
          </w:tblCellMar>
        </w:tblPrEx>
        <w:trPr>
          <w:trHeight w:val="1560"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ascii="宋体" w:hAnsi="宋体" w:cs="宋体"/>
                <w:b/>
                <w:bCs/>
                <w:color w:val="000000"/>
                <w:sz w:val="20"/>
                <w:szCs w:val="20"/>
              </w:rPr>
            </w:pPr>
            <w:r>
              <w:rPr>
                <w:rStyle w:val="10"/>
                <w:rFonts w:hint="default"/>
                <w:color w:val="000000"/>
              </w:rPr>
              <w:t>提升企业开办便利度</w:t>
            </w:r>
            <w:r>
              <w:rPr>
                <w:rStyle w:val="9"/>
                <w:rFonts w:hint="default"/>
                <w:color w:val="000000"/>
              </w:rPr>
              <w:t>。</w:t>
            </w:r>
            <w:r>
              <w:rPr>
                <w:rStyle w:val="6"/>
                <w:rFonts w:hint="default"/>
                <w:color w:val="000000"/>
              </w:rPr>
              <w:t>升级优化企业开办全程网办系统，实现“一网提交、一次交互、数据共享、信息互认、零跑审批”。积极推广电子营业执照、电子印章、电子发票、电子档案应用，推进部门核发证照共享调用。在市场准入与退出、行业许可等领域全面推行告知承诺和“容缺受理”模式。进一步将社保登记、住房公积金开户登记、银行开户预约纳入企业开办环节并进驻企业开办“综合窗”，实现“一网通办”“一件事一次办”。</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2021年8月</w:t>
            </w: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r>
      <w:tr>
        <w:tblPrEx>
          <w:shd w:val="clear" w:color="auto" w:fill="FFFFFF"/>
          <w:tblCellMar>
            <w:top w:w="0" w:type="dxa"/>
            <w:left w:w="108" w:type="dxa"/>
            <w:bottom w:w="0" w:type="dxa"/>
            <w:right w:w="108" w:type="dxa"/>
          </w:tblCellMar>
        </w:tblPrEx>
        <w:trPr>
          <w:trHeight w:val="1694"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开展“一照多址”“一业一证”“证照分离”改革</w:t>
            </w:r>
            <w:r>
              <w:rPr>
                <w:rStyle w:val="11"/>
                <w:rFonts w:hint="default"/>
                <w:color w:val="000000"/>
              </w:rPr>
              <w:t>。降低小微企业等经营成本，开展“一照多址”改革，即一本营业执照,可登记多个经营场所地址。在更多行业、更广区域探索开展“一业一证”改革，将一个行业多个许可证加载到一张载明相关行政许可信息的行业综合执业证，实现准入后“一证准营”。企业只需提交一次材料，填写一张申请表单即可开业，实现“证照联办、许可合一”。对所有涉企经营许可事项实行分类改革，推进“照后减证”和简化审批，实现“证照分离”改革全覆盖。</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r>
      <w:tr>
        <w:tblPrEx>
          <w:shd w:val="clear" w:color="auto" w:fill="FFFFFF"/>
          <w:tblCellMar>
            <w:top w:w="0" w:type="dxa"/>
            <w:left w:w="108" w:type="dxa"/>
            <w:bottom w:w="0" w:type="dxa"/>
            <w:right w:w="108" w:type="dxa"/>
          </w:tblCellMar>
        </w:tblPrEx>
        <w:trPr>
          <w:trHeight w:val="520"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建立“八个一”工作机制。</w:t>
            </w:r>
            <w:r>
              <w:rPr>
                <w:rStyle w:val="6"/>
                <w:rFonts w:hint="default"/>
                <w:color w:val="000000"/>
              </w:rPr>
              <w:t>实行“一门进出、一次告知、一窗受理、一套表单、一次采集、一网通办、一次办好、一次送达”。</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r>
      <w:tr>
        <w:tblPrEx>
          <w:shd w:val="clear" w:color="auto" w:fill="FFFFFF"/>
          <w:tblCellMar>
            <w:top w:w="0" w:type="dxa"/>
            <w:left w:w="108" w:type="dxa"/>
            <w:bottom w:w="0" w:type="dxa"/>
            <w:right w:w="108" w:type="dxa"/>
          </w:tblCellMar>
        </w:tblPrEx>
        <w:trPr>
          <w:trHeight w:val="430"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进一步完善市场主体退出机制</w:t>
            </w:r>
            <w:r>
              <w:rPr>
                <w:rStyle w:val="6"/>
                <w:rFonts w:hint="default"/>
                <w:color w:val="000000"/>
              </w:rPr>
              <w:t>。进一步完善企业注销“一网”服务，强化税务、社保、金融、市场监管部门间数据共享和业务协同，优化税务注销等程序，完善“僵尸企业”、破产企业注销流程，实现注销申请跨部门预检、办理进度及结果实时共享。探索拓展企业简易注销程序适用范围，进一步压缩企业简易注销办理时间。</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1928" w:hRule="atLeast"/>
          <w:jc w:val="center"/>
        </w:trPr>
        <w:tc>
          <w:tcPr>
            <w:tcW w:w="49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办理建筑许可</w:t>
            </w: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left"/>
              <w:textAlignment w:val="center"/>
              <w:rPr>
                <w:rFonts w:ascii="宋体" w:hAnsi="宋体" w:cs="宋体"/>
                <w:b/>
                <w:bCs/>
                <w:color w:val="000000"/>
                <w:sz w:val="20"/>
                <w:szCs w:val="20"/>
              </w:rPr>
            </w:pPr>
            <w:r>
              <w:rPr>
                <w:rStyle w:val="10"/>
                <w:rFonts w:hint="default"/>
                <w:color w:val="000000"/>
              </w:rPr>
              <w:t>精简办理流程</w:t>
            </w:r>
            <w:r>
              <w:rPr>
                <w:rStyle w:val="9"/>
                <w:rFonts w:hint="default"/>
                <w:color w:val="000000"/>
              </w:rPr>
              <w:t>。</w:t>
            </w:r>
            <w:r>
              <w:rPr>
                <w:rStyle w:val="6"/>
                <w:rFonts w:hint="default"/>
                <w:color w:val="000000"/>
              </w:rPr>
              <w:t>一是全面推广“拿地即开工”。各地新供应土地必须符合“净地”标准，拆迁到位、配套到位、规划到位。实现工业项目带方案出让拿地即开工常态化。实现工业企业签订土地出让合同后，在1个工作日内获得建设用地规划许可证、建设工程规划许可证，一次性缴清土地出让金和相关税费的可同步申办获得不动产权证。二是推行工程建设项目风险分级分类审批和质量安全监管制度，探索试行清单式的标准化审批。优化“多测合一”“多规合一”协同审批机制，实行联合验收全覆盖，充分运用“多规合一”平台统筹协调项目前期策划生成，进一步压缩施工许可办理前手续办理流程。</w:t>
            </w:r>
          </w:p>
        </w:tc>
        <w:tc>
          <w:tcPr>
            <w:tcW w:w="1410" w:type="dxa"/>
            <w:vMerge w:val="restart"/>
            <w:tcBorders>
              <w:top w:val="single" w:color="000000" w:sz="4" w:space="0"/>
              <w:left w:val="single" w:color="000000" w:sz="4" w:space="0"/>
              <w:right w:val="single" w:color="000000" w:sz="4" w:space="0"/>
            </w:tcBorders>
            <w:shd w:val="clear" w:color="auto" w:fill="FFFFFF"/>
            <w:noWrap w:val="0"/>
            <w:vAlign w:val="center"/>
          </w:tcPr>
          <w:p>
            <w:pPr>
              <w:spacing w:line="280" w:lineRule="exact"/>
              <w:jc w:val="center"/>
              <w:rPr>
                <w:rFonts w:ascii="宋体" w:hAnsi="宋体" w:cs="宋体"/>
                <w:color w:val="000000"/>
                <w:sz w:val="20"/>
                <w:szCs w:val="20"/>
              </w:rPr>
            </w:pPr>
            <w:r>
              <w:rPr>
                <w:rFonts w:hint="eastAsia" w:ascii="宋体" w:hAnsi="宋体" w:cs="宋体"/>
                <w:color w:val="000000"/>
                <w:kern w:val="0"/>
                <w:sz w:val="20"/>
                <w:szCs w:val="20"/>
              </w:rPr>
              <w:t>2021年8月</w:t>
            </w:r>
          </w:p>
        </w:tc>
        <w:tc>
          <w:tcPr>
            <w:tcW w:w="1180" w:type="dxa"/>
            <w:vMerge w:val="restart"/>
            <w:tcBorders>
              <w:top w:val="single" w:color="000000" w:sz="4" w:space="0"/>
              <w:left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r>
              <w:rPr>
                <w:rFonts w:hint="eastAsia" w:ascii="宋体" w:hAnsi="宋体" w:cs="宋体"/>
                <w:color w:val="000000"/>
                <w:kern w:val="0"/>
                <w:sz w:val="20"/>
                <w:szCs w:val="20"/>
              </w:rPr>
              <w:t>市住建局</w:t>
            </w:r>
          </w:p>
        </w:tc>
        <w:tc>
          <w:tcPr>
            <w:tcW w:w="234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市行政审批服务局、市自然资源和规划局、市城管执法局、市发改委、市市场监管局、市财政局、市工信局、市税务局、国网永州供电公司、市水务运营公司、永州新奥燃气公司、市通管办，各县市区政府</w:t>
            </w:r>
          </w:p>
        </w:tc>
      </w:tr>
      <w:tr>
        <w:tblPrEx>
          <w:tblCellMar>
            <w:top w:w="0" w:type="dxa"/>
            <w:left w:w="108" w:type="dxa"/>
            <w:bottom w:w="0" w:type="dxa"/>
            <w:right w:w="108" w:type="dxa"/>
          </w:tblCellMar>
        </w:tblPrEx>
        <w:trPr>
          <w:trHeight w:val="280"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left"/>
              <w:textAlignment w:val="center"/>
              <w:rPr>
                <w:rFonts w:ascii="宋体" w:hAnsi="宋体" w:cs="宋体"/>
                <w:b/>
                <w:bCs/>
                <w:color w:val="000000"/>
                <w:sz w:val="20"/>
                <w:szCs w:val="20"/>
              </w:rPr>
            </w:pPr>
            <w:r>
              <w:rPr>
                <w:rStyle w:val="10"/>
                <w:rFonts w:hint="default"/>
                <w:color w:val="000000"/>
              </w:rPr>
              <w:t>压缩办理时限。</w:t>
            </w:r>
            <w:r>
              <w:rPr>
                <w:rStyle w:val="6"/>
                <w:rFonts w:hint="default"/>
                <w:color w:val="000000"/>
              </w:rPr>
              <w:t>深化“多图联审”，加快区域评估成果运用。</w:t>
            </w:r>
          </w:p>
        </w:tc>
        <w:tc>
          <w:tcPr>
            <w:tcW w:w="1410" w:type="dxa"/>
            <w:vMerge w:val="continue"/>
            <w:tcBorders>
              <w:left w:val="single" w:color="000000" w:sz="4" w:space="0"/>
              <w:right w:val="single" w:color="000000" w:sz="4" w:space="0"/>
            </w:tcBorders>
            <w:shd w:val="clear" w:color="auto" w:fill="FFFFFF"/>
            <w:noWrap w:val="0"/>
            <w:vAlign w:val="center"/>
          </w:tcPr>
          <w:p>
            <w:pPr>
              <w:spacing w:line="280" w:lineRule="exact"/>
              <w:jc w:val="center"/>
              <w:rPr>
                <w:rFonts w:ascii="宋体" w:hAnsi="宋体" w:cs="宋体"/>
                <w:color w:val="000000"/>
                <w:sz w:val="20"/>
                <w:szCs w:val="20"/>
              </w:rPr>
            </w:pPr>
          </w:p>
        </w:tc>
        <w:tc>
          <w:tcPr>
            <w:tcW w:w="1180" w:type="dxa"/>
            <w:vMerge w:val="continue"/>
            <w:tcBorders>
              <w:left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r>
      <w:tr>
        <w:trPr>
          <w:trHeight w:val="1304"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提升办理建筑许可便利度。</w:t>
            </w:r>
            <w:r>
              <w:rPr>
                <w:rStyle w:val="6"/>
                <w:rFonts w:hint="default"/>
                <w:color w:val="000000"/>
              </w:rPr>
              <w:t>一是按照项目类型、投资类别、规模大小等情况，制订更加精准的分类改革措施和要求，实现精细化、差别化管理，各类社会投资工程建设项目总历时压缩30%以上，分类制定一般社会投资项目、带方案出让等项目耗时目标。二是全面落实工程建设项目帮代办服务，进一步扩展告知承诺制事项范围，推行施工许可告知承诺；开展责任保险试点，防范和化解工程质量风险，保证工程质量。</w:t>
            </w:r>
          </w:p>
        </w:tc>
        <w:tc>
          <w:tcPr>
            <w:tcW w:w="1410" w:type="dxa"/>
            <w:vMerge w:val="continue"/>
            <w:tcBorders>
              <w:left w:val="single" w:color="000000" w:sz="4" w:space="0"/>
              <w:right w:val="single" w:color="000000" w:sz="4" w:space="0"/>
            </w:tcBorders>
            <w:shd w:val="clear" w:color="auto" w:fill="FFFFFF"/>
            <w:noWrap w:val="0"/>
            <w:vAlign w:val="center"/>
          </w:tcPr>
          <w:p>
            <w:pPr>
              <w:spacing w:line="280" w:lineRule="exact"/>
              <w:jc w:val="center"/>
              <w:rPr>
                <w:rFonts w:ascii="宋体" w:hAnsi="宋体" w:cs="宋体"/>
                <w:color w:val="000000"/>
                <w:sz w:val="20"/>
                <w:szCs w:val="20"/>
              </w:rPr>
            </w:pPr>
          </w:p>
        </w:tc>
        <w:tc>
          <w:tcPr>
            <w:tcW w:w="1180" w:type="dxa"/>
            <w:vMerge w:val="continue"/>
            <w:tcBorders>
              <w:left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r>
      <w:tr>
        <w:tblPrEx>
          <w:shd w:val="clear" w:color="auto" w:fill="FFFFFF"/>
          <w:tblCellMar>
            <w:top w:w="0" w:type="dxa"/>
            <w:left w:w="108" w:type="dxa"/>
            <w:bottom w:w="0" w:type="dxa"/>
            <w:right w:w="108" w:type="dxa"/>
          </w:tblCellMar>
        </w:tblPrEx>
        <w:trPr>
          <w:trHeight w:val="1077"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进一步减免办理费用</w:t>
            </w:r>
            <w:r>
              <w:rPr>
                <w:rStyle w:val="6"/>
                <w:rFonts w:hint="default"/>
                <w:color w:val="000000"/>
              </w:rPr>
              <w:t>。鼓励参照先进做法，采取政府购买服务方式减免施工图审查费用；出台相关政策，引导工程勘察行业提升质量水平，优化服务流程，以达到降低费用的目的。鼓励有条件的园区依法减免本园区范围内工业项目建设工程（工业地产项目除外）报建等相关行政事业性收费，鼓励通过购买服务形式为企业提供免费中介服务。</w:t>
            </w:r>
          </w:p>
        </w:tc>
        <w:tc>
          <w:tcPr>
            <w:tcW w:w="1410" w:type="dxa"/>
            <w:vMerge w:val="continue"/>
            <w:tcBorders>
              <w:left w:val="single" w:color="000000" w:sz="4" w:space="0"/>
              <w:right w:val="single" w:color="000000" w:sz="4" w:space="0"/>
            </w:tcBorders>
            <w:shd w:val="clear" w:color="auto" w:fill="FFFFFF"/>
            <w:noWrap w:val="0"/>
            <w:vAlign w:val="center"/>
          </w:tcPr>
          <w:p>
            <w:pPr>
              <w:spacing w:line="280" w:lineRule="exact"/>
              <w:jc w:val="center"/>
              <w:rPr>
                <w:rFonts w:ascii="宋体" w:hAnsi="宋体" w:cs="宋体"/>
                <w:color w:val="000000"/>
                <w:sz w:val="20"/>
                <w:szCs w:val="20"/>
              </w:rPr>
            </w:pPr>
          </w:p>
        </w:tc>
        <w:tc>
          <w:tcPr>
            <w:tcW w:w="1180" w:type="dxa"/>
            <w:vMerge w:val="continue"/>
            <w:tcBorders>
              <w:left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1020"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left"/>
              <w:textAlignment w:val="center"/>
              <w:rPr>
                <w:rFonts w:ascii="宋体" w:hAnsi="宋体" w:cs="宋体"/>
                <w:b/>
                <w:bCs/>
                <w:color w:val="000000"/>
                <w:sz w:val="20"/>
                <w:szCs w:val="20"/>
              </w:rPr>
            </w:pPr>
            <w:r>
              <w:rPr>
                <w:rStyle w:val="10"/>
                <w:rFonts w:hint="default"/>
                <w:color w:val="000000"/>
              </w:rPr>
              <w:t>深化区域评估成果应用</w:t>
            </w:r>
            <w:r>
              <w:rPr>
                <w:rStyle w:val="9"/>
                <w:rFonts w:hint="default"/>
                <w:color w:val="000000"/>
              </w:rPr>
              <w:t>。</w:t>
            </w:r>
            <w:r>
              <w:rPr>
                <w:rStyle w:val="6"/>
                <w:rFonts w:hint="default"/>
                <w:color w:val="000000"/>
              </w:rPr>
              <w:t>道县完成水土保持成果发布。市直相关部门分别就专项区域评估成果应用组织培训，制定工作导则或规程，省厅（局）已发布专项工作导则的，可以不再制定。省级及以上产业园区内新建工程建设项目全面免费共享区域评估评审结果，评估评价事项对应的审批部门按规定落实相应审批事项的告知承诺制。</w:t>
            </w:r>
          </w:p>
        </w:tc>
        <w:tc>
          <w:tcPr>
            <w:tcW w:w="1410" w:type="dxa"/>
            <w:vMerge w:val="continue"/>
            <w:tcBorders>
              <w:left w:val="single" w:color="000000" w:sz="4" w:space="0"/>
              <w:right w:val="single" w:color="000000" w:sz="4" w:space="0"/>
            </w:tcBorders>
            <w:shd w:val="clear" w:color="auto" w:fill="FFFFFF"/>
            <w:noWrap w:val="0"/>
            <w:vAlign w:val="center"/>
          </w:tcPr>
          <w:p>
            <w:pPr>
              <w:spacing w:line="280" w:lineRule="exact"/>
              <w:jc w:val="center"/>
              <w:rPr>
                <w:rFonts w:ascii="宋体" w:hAnsi="宋体" w:cs="宋体"/>
                <w:color w:val="000000"/>
                <w:sz w:val="20"/>
                <w:szCs w:val="20"/>
              </w:rPr>
            </w:pPr>
          </w:p>
        </w:tc>
        <w:tc>
          <w:tcPr>
            <w:tcW w:w="1180" w:type="dxa"/>
            <w:vMerge w:val="continue"/>
            <w:tcBorders>
              <w:left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1247"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优化水电气网业务报装服务</w:t>
            </w:r>
            <w:r>
              <w:rPr>
                <w:rStyle w:val="6"/>
                <w:rFonts w:hint="default"/>
                <w:color w:val="000000"/>
              </w:rPr>
              <w:t>。在政务服务中心设立水电气网业务报装综合受理窗口，“一站式”办理用水、用电、用气、用网服务。对涉及的市政基础设施建设类审批，工程建设涉及城市绿地、树木审批，因工程建设需要拆除、改动、迁移供水、排水与污水处理设施审核等环节实行并联审批。清理取消供水供电供气通信行业不合理收费，严格按程序、按标准收取城市道路挖掘修复等费用。</w:t>
            </w:r>
          </w:p>
        </w:tc>
        <w:tc>
          <w:tcPr>
            <w:tcW w:w="1410" w:type="dxa"/>
            <w:vMerge w:val="continue"/>
            <w:tcBorders>
              <w:left w:val="single" w:color="000000" w:sz="4" w:space="0"/>
              <w:bottom w:val="single" w:color="000000" w:sz="4" w:space="0"/>
              <w:right w:val="single" w:color="000000" w:sz="4" w:space="0"/>
            </w:tcBorders>
            <w:shd w:val="clear" w:color="auto" w:fill="FFFFFF"/>
            <w:noWrap w:val="0"/>
            <w:vAlign w:val="center"/>
          </w:tcPr>
          <w:p>
            <w:pPr>
              <w:spacing w:line="280" w:lineRule="exact"/>
              <w:jc w:val="center"/>
              <w:rPr>
                <w:rFonts w:ascii="宋体" w:hAnsi="宋体" w:cs="宋体"/>
                <w:color w:val="000000"/>
                <w:sz w:val="20"/>
                <w:szCs w:val="20"/>
              </w:rPr>
            </w:pPr>
          </w:p>
        </w:tc>
        <w:tc>
          <w:tcPr>
            <w:tcW w:w="1180" w:type="dxa"/>
            <w:vMerge w:val="continue"/>
            <w:tcBorders>
              <w:left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907"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继续加强湖南省工程审批系统应用</w:t>
            </w:r>
            <w:r>
              <w:rPr>
                <w:rStyle w:val="6"/>
                <w:rFonts w:hint="default"/>
                <w:color w:val="000000"/>
              </w:rPr>
              <w:t>。全面应用湖南省工程审批系统，杜绝线下审批、线上补录现象，推进工程建设项目并联审批和告知承诺制审批。选聘一批帮办代办人员，通过考核、培训等提升窗口人员咨询引导和帮办代办服务水平。</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8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2021年7月</w:t>
            </w:r>
          </w:p>
        </w:tc>
        <w:tc>
          <w:tcPr>
            <w:tcW w:w="1180" w:type="dxa"/>
            <w:vMerge w:val="continue"/>
            <w:tcBorders>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r>
      <w:tr>
        <w:tblPrEx>
          <w:shd w:val="clear" w:color="auto" w:fill="FFFFFF"/>
          <w:tblCellMar>
            <w:top w:w="0" w:type="dxa"/>
            <w:left w:w="108" w:type="dxa"/>
            <w:bottom w:w="0" w:type="dxa"/>
            <w:right w:w="108" w:type="dxa"/>
          </w:tblCellMar>
        </w:tblPrEx>
        <w:trPr>
          <w:trHeight w:val="794" w:hRule="atLeast"/>
          <w:jc w:val="center"/>
        </w:trPr>
        <w:tc>
          <w:tcPr>
            <w:tcW w:w="49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获得电力</w:t>
            </w: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精简获得电力流程</w:t>
            </w:r>
            <w:r>
              <w:rPr>
                <w:rStyle w:val="6"/>
                <w:rFonts w:hint="default"/>
                <w:color w:val="000000"/>
              </w:rPr>
              <w:t>。在可开放容量范围内的高压客户办理环节压减为3个，低压客户办理环节压减为2个;有外线工程项目，加快“并联审批”，全面实行占掘路（不含高速 公路、普通国道）</w:t>
            </w:r>
            <w:r>
              <w:rPr>
                <w:rStyle w:val="6"/>
                <w:rFonts w:hint="default"/>
                <w:color w:val="000000"/>
                <w:spacing w:val="-6"/>
              </w:rPr>
              <w:t>审批容缺受理制和承诺备案制，确保建设工程（工程管线类）规划许可证批复2个工作日以内完成。</w:t>
            </w:r>
          </w:p>
        </w:tc>
        <w:tc>
          <w:tcPr>
            <w:tcW w:w="1410" w:type="dxa"/>
            <w:vMerge w:val="restart"/>
            <w:tcBorders>
              <w:top w:val="single" w:color="000000" w:sz="4" w:space="0"/>
              <w:left w:val="single" w:color="000000" w:sz="4" w:space="0"/>
              <w:right w:val="single" w:color="000000" w:sz="4" w:space="0"/>
            </w:tcBorders>
            <w:shd w:val="clear" w:color="auto" w:fill="FFFFFF"/>
            <w:noWrap w:val="0"/>
            <w:vAlign w:val="center"/>
          </w:tcPr>
          <w:p>
            <w:pPr>
              <w:jc w:val="center"/>
              <w:textAlignment w:val="center"/>
              <w:rPr>
                <w:rFonts w:ascii="宋体" w:hAnsi="宋体" w:cs="宋体"/>
                <w:color w:val="000000"/>
                <w:sz w:val="20"/>
                <w:szCs w:val="20"/>
              </w:rPr>
            </w:pPr>
            <w:r>
              <w:rPr>
                <w:rFonts w:hint="eastAsia" w:ascii="宋体" w:hAnsi="宋体" w:cs="宋体"/>
                <w:color w:val="000000"/>
                <w:kern w:val="0"/>
                <w:sz w:val="20"/>
                <w:szCs w:val="20"/>
              </w:rPr>
              <w:t>2021年8月</w:t>
            </w:r>
          </w:p>
        </w:tc>
        <w:tc>
          <w:tcPr>
            <w:tcW w:w="1180" w:type="dxa"/>
            <w:vMerge w:val="restart"/>
            <w:tcBorders>
              <w:top w:val="single" w:color="000000" w:sz="4" w:space="0"/>
              <w:left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r>
              <w:rPr>
                <w:rFonts w:hint="eastAsia" w:ascii="宋体" w:hAnsi="宋体" w:cs="宋体"/>
                <w:color w:val="000000"/>
                <w:kern w:val="0"/>
                <w:sz w:val="20"/>
                <w:szCs w:val="20"/>
              </w:rPr>
              <w:t>国网永州供电公司</w:t>
            </w:r>
          </w:p>
        </w:tc>
        <w:tc>
          <w:tcPr>
            <w:tcW w:w="2348" w:type="dxa"/>
            <w:vMerge w:val="restart"/>
            <w:tcBorders>
              <w:top w:val="single" w:color="000000" w:sz="4" w:space="0"/>
              <w:left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r>
              <w:rPr>
                <w:rFonts w:hint="eastAsia" w:ascii="宋体" w:hAnsi="宋体" w:cs="宋体"/>
                <w:color w:val="000000"/>
                <w:kern w:val="0"/>
                <w:sz w:val="20"/>
                <w:szCs w:val="20"/>
              </w:rPr>
              <w:t>市发改委、市市场监管局、市工信局，各县市区政府</w:t>
            </w:r>
          </w:p>
        </w:tc>
      </w:tr>
      <w:tr>
        <w:tblPrEx>
          <w:tblCellMar>
            <w:top w:w="0" w:type="dxa"/>
            <w:left w:w="108" w:type="dxa"/>
            <w:bottom w:w="0" w:type="dxa"/>
            <w:right w:w="108" w:type="dxa"/>
          </w:tblCellMar>
        </w:tblPrEx>
        <w:trPr>
          <w:trHeight w:val="780"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压缩办电时限</w:t>
            </w:r>
            <w:r>
              <w:rPr>
                <w:rStyle w:val="6"/>
                <w:rFonts w:hint="default"/>
                <w:color w:val="000000"/>
              </w:rPr>
              <w:t>。未实行“三零”服务的低压非居民用户、高压单电源用户、高压双电源用户的业务环节合计时间分别压减至6个、22个、32个工作日以内。</w:t>
            </w:r>
          </w:p>
        </w:tc>
        <w:tc>
          <w:tcPr>
            <w:tcW w:w="1410" w:type="dxa"/>
            <w:vMerge w:val="continue"/>
            <w:tcBorders>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0"/>
                <w:szCs w:val="20"/>
              </w:rPr>
            </w:pPr>
          </w:p>
        </w:tc>
        <w:tc>
          <w:tcPr>
            <w:tcW w:w="1180" w:type="dxa"/>
            <w:vMerge w:val="continue"/>
            <w:tcBorders>
              <w:left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left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r>
      <w:tr>
        <w:tblPrEx>
          <w:shd w:val="clear" w:color="auto" w:fill="FFFFFF"/>
          <w:tblCellMar>
            <w:top w:w="0" w:type="dxa"/>
            <w:left w:w="108" w:type="dxa"/>
            <w:bottom w:w="0" w:type="dxa"/>
            <w:right w:w="108" w:type="dxa"/>
          </w:tblCellMar>
        </w:tblPrEx>
        <w:trPr>
          <w:trHeight w:val="740"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压减办电费用</w:t>
            </w:r>
            <w:r>
              <w:rPr>
                <w:rStyle w:val="6"/>
                <w:rFonts w:hint="default"/>
                <w:color w:val="000000"/>
              </w:rPr>
              <w:t>。自2021年3月1日起，取消向用户收取移表费、计量装置赔偿费、环境监测费、高压电缆介损试验费、高压电缆震荡波试验费、低压电缆试验费、低压计量检测费、互感器试验费、网络自动化费、配电室试验费、开闭站集资费、调试费等类似名目费用。自2021年3月1日起，取消向终端用户收取用电计量装置费用。广泛宣传转供电价格政策，推广使用“转供电费码”。研究制定大工业转供电最高限价政策，从制度上规范工业园区转供电价。进一步完善配电建设标准，有序推进“一户一表”改造。健全“转供电加价”清理工作机制，强化对违法违规行为监督检查。</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2021年7月</w:t>
            </w:r>
          </w:p>
        </w:tc>
        <w:tc>
          <w:tcPr>
            <w:tcW w:w="1180" w:type="dxa"/>
            <w:vMerge w:val="continue"/>
            <w:tcBorders>
              <w:left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left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567"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提升供电可靠性</w:t>
            </w:r>
            <w:r>
              <w:rPr>
                <w:rStyle w:val="6"/>
                <w:rFonts w:hint="default"/>
                <w:color w:val="000000"/>
              </w:rPr>
              <w:t>。2021年底前，永州中心区、市区、城镇、农村地区用户年均停电时间分别压减至2个、5个、9个、15个小时以内，或年均同比压缩8%以上。</w:t>
            </w:r>
          </w:p>
        </w:tc>
        <w:tc>
          <w:tcPr>
            <w:tcW w:w="1410" w:type="dxa"/>
            <w:vMerge w:val="restart"/>
            <w:tcBorders>
              <w:top w:val="single" w:color="000000" w:sz="4" w:space="0"/>
              <w:left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r>
              <w:rPr>
                <w:rFonts w:hint="eastAsia" w:ascii="宋体" w:hAnsi="宋体" w:cs="宋体"/>
                <w:color w:val="000000"/>
                <w:kern w:val="0"/>
                <w:sz w:val="20"/>
                <w:szCs w:val="20"/>
              </w:rPr>
              <w:t>2021年12月</w:t>
            </w:r>
          </w:p>
        </w:tc>
        <w:tc>
          <w:tcPr>
            <w:tcW w:w="1180" w:type="dxa"/>
            <w:vMerge w:val="continue"/>
            <w:tcBorders>
              <w:left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left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624"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left"/>
              <w:textAlignment w:val="center"/>
              <w:rPr>
                <w:rFonts w:ascii="宋体" w:hAnsi="宋体" w:cs="宋体"/>
                <w:color w:val="000000"/>
                <w:sz w:val="20"/>
                <w:szCs w:val="20"/>
              </w:rPr>
            </w:pPr>
            <w:r>
              <w:rPr>
                <w:rFonts w:hint="eastAsia" w:ascii="宋体" w:hAnsi="宋体" w:cs="宋体"/>
                <w:b/>
                <w:bCs/>
                <w:color w:val="000000"/>
                <w:kern w:val="0"/>
                <w:sz w:val="20"/>
                <w:szCs w:val="20"/>
              </w:rPr>
              <w:t>提高电费透明度。</w:t>
            </w:r>
            <w:r>
              <w:rPr>
                <w:rStyle w:val="6"/>
                <w:rFonts w:hint="default"/>
                <w:color w:val="000000"/>
              </w:rPr>
              <w:t>推行线上全业务公开办理各流程的节点信息。至少提前1个月制定和调整本市电力用户销售电价等有关电价政策信息，并以多种形式对社会公布。</w:t>
            </w:r>
          </w:p>
        </w:tc>
        <w:tc>
          <w:tcPr>
            <w:tcW w:w="1410" w:type="dxa"/>
            <w:vMerge w:val="continue"/>
            <w:tcBorders>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1180" w:type="dxa"/>
            <w:vMerge w:val="continue"/>
            <w:tcBorders>
              <w:left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left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r>
      <w:tr>
        <w:tblPrEx>
          <w:shd w:val="clear" w:color="auto" w:fill="FFFFFF"/>
          <w:tblCellMar>
            <w:top w:w="0" w:type="dxa"/>
            <w:left w:w="108" w:type="dxa"/>
            <w:bottom w:w="0" w:type="dxa"/>
            <w:right w:w="108" w:type="dxa"/>
          </w:tblCellMar>
        </w:tblPrEx>
        <w:trPr>
          <w:trHeight w:val="567"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降低用电成本</w:t>
            </w:r>
            <w:r>
              <w:rPr>
                <w:rStyle w:val="6"/>
                <w:rFonts w:hint="default"/>
                <w:color w:val="000000"/>
              </w:rPr>
              <w:t>。通过市场机制进一步降低用电成本，严格落实省发展改革委电力市场交易准入条件，扩大直购电交易规模。</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2021年7月</w:t>
            </w:r>
          </w:p>
        </w:tc>
        <w:tc>
          <w:tcPr>
            <w:tcW w:w="1180" w:type="dxa"/>
            <w:vMerge w:val="continue"/>
            <w:tcBorders>
              <w:left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left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1020"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left"/>
              <w:textAlignment w:val="center"/>
              <w:rPr>
                <w:rFonts w:ascii="宋体" w:hAnsi="宋体" w:cs="宋体"/>
                <w:b/>
                <w:bCs/>
                <w:color w:val="000000"/>
                <w:sz w:val="20"/>
                <w:szCs w:val="20"/>
              </w:rPr>
            </w:pPr>
            <w:r>
              <w:rPr>
                <w:rStyle w:val="10"/>
                <w:rFonts w:hint="default"/>
                <w:color w:val="000000"/>
              </w:rPr>
              <w:t>持续推广线上服务</w:t>
            </w:r>
            <w:r>
              <w:rPr>
                <w:rStyle w:val="9"/>
                <w:rFonts w:hint="default"/>
                <w:color w:val="000000"/>
              </w:rPr>
              <w:t>。</w:t>
            </w:r>
            <w:r>
              <w:rPr>
                <w:rStyle w:val="6"/>
                <w:rFonts w:hint="default"/>
                <w:color w:val="000000"/>
              </w:rPr>
              <w:t>持续推广“网上国网”、微信公众号等多类线上报装渠道，实现客户线上提交用电申请、查询业务办理进程、评价服务质量，客户报装在线化、定制化、透明化。创新勘察设计移动作业终端，实时响应客户接电需求，压减现场勘察时间。全面实行免费预约服务，建立网上缴费渠道和开通电子发票。</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2021年12月</w:t>
            </w:r>
          </w:p>
        </w:tc>
        <w:tc>
          <w:tcPr>
            <w:tcW w:w="1180" w:type="dxa"/>
            <w:vMerge w:val="continue"/>
            <w:tcBorders>
              <w:left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left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40"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实行接电工程双经理负责制</w:t>
            </w:r>
            <w:r>
              <w:rPr>
                <w:rStyle w:val="6"/>
                <w:rFonts w:hint="default"/>
                <w:color w:val="000000"/>
              </w:rPr>
              <w:t>。实现“受理业务、施工准备、工程实施、计划排定”责任到人。</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1180" w:type="dxa"/>
            <w:vMerge w:val="continue"/>
            <w:tcBorders>
              <w:left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left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501"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推动房电联动过户。</w:t>
            </w:r>
            <w:r>
              <w:rPr>
                <w:rStyle w:val="6"/>
                <w:rFonts w:hint="default"/>
                <w:color w:val="000000"/>
              </w:rPr>
              <w:t>加强办电信息与政府部门数据共享，实现客户凭身份信息即可办电，并同步推进房电联动过户工作。</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1180" w:type="dxa"/>
            <w:vMerge w:val="continue"/>
            <w:tcBorders>
              <w:left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left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80"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推广“三零”服务</w:t>
            </w:r>
            <w:r>
              <w:rPr>
                <w:rStyle w:val="6"/>
                <w:rFonts w:hint="default"/>
                <w:color w:val="000000"/>
              </w:rPr>
              <w:t>。全面推广小微企业电力接入“三零”服务（零上门、零审批、零投资）。2021年底前实现中心城区“零投资”低压接入容量扩大至160千伏安。</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1180" w:type="dxa"/>
            <w:vMerge w:val="continue"/>
            <w:tcBorders>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624" w:hRule="atLeast"/>
          <w:jc w:val="center"/>
        </w:trPr>
        <w:tc>
          <w:tcPr>
            <w:tcW w:w="49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获得用水</w:t>
            </w: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80" w:lineRule="exact"/>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优化报装流程</w:t>
            </w:r>
            <w:r>
              <w:rPr>
                <w:rStyle w:val="6"/>
                <w:rFonts w:hint="default"/>
                <w:color w:val="000000"/>
              </w:rPr>
              <w:t>。简化供水企业报装办理程序，用水报装流程为“受理报装”“勘测签约”“装表通水”3个环节。</w:t>
            </w:r>
          </w:p>
        </w:tc>
        <w:tc>
          <w:tcPr>
            <w:tcW w:w="1410" w:type="dxa"/>
            <w:vMerge w:val="restart"/>
            <w:tcBorders>
              <w:top w:val="single" w:color="000000" w:sz="4" w:space="0"/>
              <w:left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r>
              <w:rPr>
                <w:rFonts w:hint="eastAsia" w:ascii="宋体" w:hAnsi="宋体" w:cs="宋体"/>
                <w:color w:val="000000"/>
                <w:kern w:val="0"/>
                <w:sz w:val="20"/>
                <w:szCs w:val="20"/>
              </w:rPr>
              <w:t>2021年8月</w:t>
            </w:r>
          </w:p>
        </w:tc>
        <w:tc>
          <w:tcPr>
            <w:tcW w:w="1180" w:type="dxa"/>
            <w:vMerge w:val="restart"/>
            <w:tcBorders>
              <w:top w:val="single" w:color="000000" w:sz="4" w:space="0"/>
              <w:left w:val="single" w:color="000000" w:sz="4" w:space="0"/>
              <w:right w:val="single" w:color="000000" w:sz="4" w:space="0"/>
            </w:tcBorders>
            <w:shd w:val="clear" w:color="auto" w:fill="FFFFFF"/>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市城管</w:t>
            </w:r>
          </w:p>
          <w:p>
            <w:pPr>
              <w:jc w:val="center"/>
              <w:rPr>
                <w:rFonts w:ascii="宋体" w:hAnsi="宋体" w:cs="宋体"/>
                <w:color w:val="000000"/>
                <w:sz w:val="20"/>
                <w:szCs w:val="20"/>
              </w:rPr>
            </w:pPr>
            <w:r>
              <w:rPr>
                <w:rFonts w:hint="eastAsia" w:ascii="宋体" w:hAnsi="宋体" w:cs="宋体"/>
                <w:color w:val="000000"/>
                <w:kern w:val="0"/>
                <w:sz w:val="20"/>
                <w:szCs w:val="20"/>
              </w:rPr>
              <w:t>执法局</w:t>
            </w:r>
          </w:p>
        </w:tc>
        <w:tc>
          <w:tcPr>
            <w:tcW w:w="2348" w:type="dxa"/>
            <w:vMerge w:val="restart"/>
            <w:tcBorders>
              <w:top w:val="single" w:color="000000" w:sz="4" w:space="0"/>
              <w:left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r>
              <w:rPr>
                <w:rFonts w:hint="eastAsia" w:ascii="宋体" w:hAnsi="宋体" w:cs="宋体"/>
                <w:color w:val="000000"/>
                <w:kern w:val="0"/>
                <w:sz w:val="20"/>
                <w:szCs w:val="20"/>
              </w:rPr>
              <w:t>市水务运营公司，各县市区政府</w:t>
            </w:r>
          </w:p>
        </w:tc>
      </w:tr>
      <w:tr>
        <w:tblPrEx>
          <w:tblCellMar>
            <w:top w:w="0" w:type="dxa"/>
            <w:left w:w="108" w:type="dxa"/>
            <w:bottom w:w="0" w:type="dxa"/>
            <w:right w:w="108" w:type="dxa"/>
          </w:tblCellMar>
        </w:tblPrEx>
        <w:trPr>
          <w:trHeight w:val="567"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80" w:lineRule="exact"/>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压缩审批时间</w:t>
            </w:r>
            <w:r>
              <w:rPr>
                <w:rStyle w:val="6"/>
                <w:rFonts w:hint="default"/>
                <w:color w:val="000000"/>
              </w:rPr>
              <w:t>。获得用水报装办理时间不超过3个工作日，行政审批均实行并联审批，办理时间不超过3个工作日。</w:t>
            </w:r>
          </w:p>
        </w:tc>
        <w:tc>
          <w:tcPr>
            <w:tcW w:w="1410" w:type="dxa"/>
            <w:vMerge w:val="continue"/>
            <w:tcBorders>
              <w:left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1180" w:type="dxa"/>
            <w:vMerge w:val="continue"/>
            <w:tcBorders>
              <w:left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left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1361"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80" w:lineRule="exact"/>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规范报装费用</w:t>
            </w:r>
            <w:r>
              <w:rPr>
                <w:rStyle w:val="6"/>
                <w:rFonts w:hint="default"/>
                <w:color w:val="000000"/>
              </w:rPr>
              <w:t>。对非居民类用水项目（包括商业、立项项目、产业项目、政府项目等），根据《湖南省建设工程计价办法》《湖南省建设工程消耗量标准》及相关造价文件编制预算，实行预算包干或按实结算。清理取消供水行业不合理收费，在城镇规划建设用地范围内，供水企业的投资界面应延伸至用户建筑区划红线，除法律法规和相关政策另有规定外，不得由用户承担建筑区划红线外发生的任何费用。</w:t>
            </w:r>
          </w:p>
        </w:tc>
        <w:tc>
          <w:tcPr>
            <w:tcW w:w="1410" w:type="dxa"/>
            <w:vMerge w:val="continue"/>
            <w:tcBorders>
              <w:left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1180" w:type="dxa"/>
            <w:vMerge w:val="continue"/>
            <w:tcBorders>
              <w:left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left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397"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80" w:lineRule="exact"/>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降低用水成本</w:t>
            </w:r>
            <w:r>
              <w:rPr>
                <w:rStyle w:val="6"/>
                <w:rFonts w:hint="default"/>
                <w:color w:val="000000"/>
              </w:rPr>
              <w:t>。通过市场机制进一步降低用水成本。</w:t>
            </w:r>
          </w:p>
        </w:tc>
        <w:tc>
          <w:tcPr>
            <w:tcW w:w="1410" w:type="dxa"/>
            <w:vMerge w:val="continue"/>
            <w:tcBorders>
              <w:left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1180" w:type="dxa"/>
            <w:vMerge w:val="continue"/>
            <w:tcBorders>
              <w:left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left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r>
      <w:tr>
        <w:tblPrEx>
          <w:shd w:val="clear" w:color="auto" w:fill="FFFFFF"/>
          <w:tblCellMar>
            <w:top w:w="0" w:type="dxa"/>
            <w:left w:w="108" w:type="dxa"/>
            <w:bottom w:w="0" w:type="dxa"/>
            <w:right w:w="108" w:type="dxa"/>
          </w:tblCellMar>
        </w:tblPrEx>
        <w:trPr>
          <w:trHeight w:val="567"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80" w:lineRule="exact"/>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推广线上服务</w:t>
            </w:r>
            <w:r>
              <w:rPr>
                <w:rStyle w:val="6"/>
                <w:rFonts w:hint="default"/>
                <w:color w:val="000000"/>
              </w:rPr>
              <w:t>。全面应用湖南省工程建设项目审批管理系统市政公用服务平台进行业务办理，做到所有工程建设项目必须在该系统平台进行报装办理。</w:t>
            </w:r>
          </w:p>
        </w:tc>
        <w:tc>
          <w:tcPr>
            <w:tcW w:w="1410" w:type="dxa"/>
            <w:vMerge w:val="continue"/>
            <w:tcBorders>
              <w:left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1180" w:type="dxa"/>
            <w:vMerge w:val="continue"/>
            <w:tcBorders>
              <w:left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left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r>
      <w:tr>
        <w:tblPrEx>
          <w:shd w:val="clear" w:color="auto" w:fill="FFFFFF"/>
          <w:tblCellMar>
            <w:top w:w="0" w:type="dxa"/>
            <w:left w:w="108" w:type="dxa"/>
            <w:bottom w:w="0" w:type="dxa"/>
            <w:right w:w="108" w:type="dxa"/>
          </w:tblCellMar>
        </w:tblPrEx>
        <w:trPr>
          <w:trHeight w:val="397"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80" w:lineRule="exact"/>
              <w:jc w:val="left"/>
              <w:textAlignment w:val="center"/>
              <w:rPr>
                <w:rFonts w:ascii="宋体" w:hAnsi="宋体" w:cs="宋体"/>
                <w:color w:val="000000"/>
                <w:sz w:val="20"/>
                <w:szCs w:val="20"/>
              </w:rPr>
            </w:pPr>
            <w:r>
              <w:rPr>
                <w:rFonts w:hint="eastAsia" w:ascii="宋体" w:hAnsi="宋体" w:cs="宋体"/>
                <w:b/>
                <w:bCs/>
                <w:color w:val="000000"/>
                <w:kern w:val="0"/>
                <w:sz w:val="20"/>
                <w:szCs w:val="20"/>
              </w:rPr>
              <w:t>代办行政审批手续。</w:t>
            </w:r>
            <w:r>
              <w:rPr>
                <w:rStyle w:val="6"/>
                <w:rFonts w:hint="default"/>
                <w:color w:val="000000"/>
              </w:rPr>
              <w:t>有外线工程涉及行政审批的由水务公司全程代办。</w:t>
            </w:r>
          </w:p>
        </w:tc>
        <w:tc>
          <w:tcPr>
            <w:tcW w:w="1410" w:type="dxa"/>
            <w:vMerge w:val="continue"/>
            <w:tcBorders>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1180" w:type="dxa"/>
            <w:vMerge w:val="continue"/>
            <w:tcBorders>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454" w:hRule="atLeast"/>
          <w:jc w:val="center"/>
        </w:trPr>
        <w:tc>
          <w:tcPr>
            <w:tcW w:w="49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获得用气</w:t>
            </w: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80" w:lineRule="exact"/>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优化办理流程</w:t>
            </w:r>
            <w:r>
              <w:rPr>
                <w:rStyle w:val="6"/>
                <w:rFonts w:hint="default"/>
                <w:color w:val="000000"/>
              </w:rPr>
              <w:t>。用气报装流程压缩为“受理报装”“验收通气”2个环节。</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2021年8月</w:t>
            </w:r>
          </w:p>
        </w:tc>
        <w:tc>
          <w:tcPr>
            <w:tcW w:w="118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市城管</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执法局</w:t>
            </w:r>
          </w:p>
        </w:tc>
        <w:tc>
          <w:tcPr>
            <w:tcW w:w="234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永州新奥燃气公司</w:t>
            </w:r>
          </w:p>
        </w:tc>
      </w:tr>
      <w:tr>
        <w:tblPrEx>
          <w:shd w:val="clear" w:color="auto" w:fill="FFFFFF"/>
          <w:tblCellMar>
            <w:top w:w="0" w:type="dxa"/>
            <w:left w:w="108" w:type="dxa"/>
            <w:bottom w:w="0" w:type="dxa"/>
            <w:right w:w="108" w:type="dxa"/>
          </w:tblCellMar>
        </w:tblPrEx>
        <w:trPr>
          <w:trHeight w:val="680"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80" w:lineRule="exact"/>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压缩办理时限</w:t>
            </w:r>
            <w:r>
              <w:rPr>
                <w:rStyle w:val="6"/>
                <w:rFonts w:hint="default"/>
                <w:color w:val="000000"/>
              </w:rPr>
              <w:t>。获得用气报装由原来的10个工作日压缩至2个工作日。具备燃气系统安装条件的低压、中压（不涉及外线施工）客户平均用气报装时间压缩至10个、30个工作日。</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510"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80" w:lineRule="exact"/>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降低用气成本</w:t>
            </w:r>
            <w:r>
              <w:rPr>
                <w:rStyle w:val="6"/>
                <w:rFonts w:hint="default"/>
                <w:color w:val="000000"/>
              </w:rPr>
              <w:t>。实施燃气企业编制预算，实行预算包干或按实决算。</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680"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80" w:lineRule="exact"/>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规范用气价格</w:t>
            </w:r>
            <w:r>
              <w:rPr>
                <w:rStyle w:val="6"/>
                <w:rFonts w:hint="default"/>
                <w:color w:val="000000"/>
              </w:rPr>
              <w:t>。按发改部门定价文件执行，对重点工业用气大户可实行优惠。推进输配价格改革，降低部分县市区偏高的配气价格。</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r>
      <w:tr>
        <w:tblPrEx>
          <w:shd w:val="clear" w:color="auto" w:fill="FFFFFF"/>
          <w:tblCellMar>
            <w:top w:w="0" w:type="dxa"/>
            <w:left w:w="108" w:type="dxa"/>
            <w:bottom w:w="0" w:type="dxa"/>
            <w:right w:w="108" w:type="dxa"/>
          </w:tblCellMar>
        </w:tblPrEx>
        <w:trPr>
          <w:trHeight w:val="1587"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left"/>
              <w:textAlignment w:val="center"/>
              <w:rPr>
                <w:rFonts w:ascii="宋体" w:hAnsi="宋体" w:cs="宋体"/>
                <w:b/>
                <w:bCs/>
                <w:color w:val="000000"/>
                <w:sz w:val="20"/>
                <w:szCs w:val="20"/>
              </w:rPr>
            </w:pPr>
            <w:r>
              <w:rPr>
                <w:rStyle w:val="10"/>
                <w:rFonts w:hint="default"/>
                <w:color w:val="000000"/>
              </w:rPr>
              <w:t>推广线上服务</w:t>
            </w:r>
            <w:r>
              <w:rPr>
                <w:rStyle w:val="9"/>
                <w:rFonts w:hint="default"/>
                <w:color w:val="000000"/>
              </w:rPr>
              <w:t>。</w:t>
            </w:r>
            <w:r>
              <w:rPr>
                <w:rStyle w:val="6"/>
                <w:rFonts w:hint="default"/>
                <w:color w:val="000000"/>
              </w:rPr>
              <w:t>为用户提供便捷服务，实现从报装到用气一次解决，全面推广物联网表，完善线上平台智能化，让用户足不出户办理业务。用户只需在线上、线下报装，现场查勘、合同签订、验收通气环节均由永州新奥燃气公司上门办理。推行“智慧燃气”，实行线上管理</w:t>
            </w:r>
            <w:r>
              <w:rPr>
                <w:rStyle w:val="9"/>
                <w:rFonts w:hint="default"/>
                <w:color w:val="000000"/>
              </w:rPr>
              <w:t>，对冷水滩区网点进行24</w:t>
            </w:r>
            <w:r>
              <w:rPr>
                <w:rStyle w:val="6"/>
                <w:rFonts w:hint="default"/>
                <w:color w:val="000000"/>
              </w:rPr>
              <w:t>小时实时监控，保障群众用气安全。</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r>
      <w:tr>
        <w:tblPrEx>
          <w:shd w:val="clear" w:color="auto" w:fill="FFFFFF"/>
          <w:tblCellMar>
            <w:top w:w="0" w:type="dxa"/>
            <w:left w:w="108" w:type="dxa"/>
            <w:bottom w:w="0" w:type="dxa"/>
            <w:right w:w="108" w:type="dxa"/>
          </w:tblCellMar>
        </w:tblPrEx>
        <w:trPr>
          <w:trHeight w:val="624" w:hRule="atLeast"/>
          <w:jc w:val="center"/>
        </w:trPr>
        <w:tc>
          <w:tcPr>
            <w:tcW w:w="49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登记财产</w:t>
            </w: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80" w:lineRule="exact"/>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减少申请材料</w:t>
            </w:r>
            <w:r>
              <w:rPr>
                <w:rStyle w:val="6"/>
                <w:rFonts w:hint="default"/>
                <w:color w:val="000000"/>
              </w:rPr>
              <w:t>。减少不动产登记申请材料，申报材料压缩在5件以内，《不动产入场交易合同》等重复性资料不再要求提供，实现提交一套资料、提出一次申请、事项一窗办结。</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2021年7月</w:t>
            </w:r>
          </w:p>
        </w:tc>
        <w:tc>
          <w:tcPr>
            <w:tcW w:w="118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市自然</w:t>
            </w:r>
          </w:p>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资源和</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规划局</w:t>
            </w:r>
          </w:p>
        </w:tc>
        <w:tc>
          <w:tcPr>
            <w:tcW w:w="234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市住建局、市税务局、</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市行政审批服务局、市不动产登记中心，各县市区政府</w:t>
            </w:r>
          </w:p>
        </w:tc>
      </w:tr>
      <w:tr>
        <w:tblPrEx>
          <w:shd w:val="clear" w:color="auto" w:fill="FFFFFF"/>
          <w:tblCellMar>
            <w:top w:w="0" w:type="dxa"/>
            <w:left w:w="108" w:type="dxa"/>
            <w:bottom w:w="0" w:type="dxa"/>
            <w:right w:w="108" w:type="dxa"/>
          </w:tblCellMar>
        </w:tblPrEx>
        <w:trPr>
          <w:trHeight w:val="907"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80" w:lineRule="exact"/>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压减登记环节</w:t>
            </w:r>
            <w:r>
              <w:rPr>
                <w:rStyle w:val="6"/>
                <w:rFonts w:hint="default"/>
                <w:color w:val="000000"/>
              </w:rPr>
              <w:t>。对新建商品房（一手房）办理不动产登记，由住建部门将网签备案实时全量推送税务部门，由税务部门将已税信息推送给不动产登记机构。重点突破税务节点，推动工作提速。将不动产登记核定、登簿环节合并为一个环节。</w:t>
            </w:r>
          </w:p>
        </w:tc>
        <w:tc>
          <w:tcPr>
            <w:tcW w:w="1410" w:type="dxa"/>
            <w:vMerge w:val="restart"/>
            <w:tcBorders>
              <w:top w:val="single" w:color="000000" w:sz="4" w:space="0"/>
              <w:left w:val="single" w:color="000000" w:sz="4" w:space="0"/>
              <w:right w:val="single" w:color="000000" w:sz="4" w:space="0"/>
            </w:tcBorders>
            <w:shd w:val="clear" w:color="auto" w:fill="FFFFFF"/>
            <w:noWrap w:val="0"/>
            <w:vAlign w:val="center"/>
          </w:tcPr>
          <w:p>
            <w:pPr>
              <w:jc w:val="center"/>
              <w:textAlignment w:val="center"/>
              <w:rPr>
                <w:rFonts w:ascii="宋体" w:hAnsi="宋体" w:cs="宋体"/>
                <w:color w:val="000000"/>
                <w:sz w:val="20"/>
                <w:szCs w:val="20"/>
              </w:rPr>
            </w:pPr>
            <w:r>
              <w:rPr>
                <w:rFonts w:hint="eastAsia" w:ascii="宋体" w:hAnsi="宋体" w:cs="宋体"/>
                <w:color w:val="000000"/>
                <w:kern w:val="0"/>
                <w:sz w:val="20"/>
                <w:szCs w:val="20"/>
              </w:rPr>
              <w:t>2021年8月</w:t>
            </w: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r>
      <w:tr>
        <w:tblPrEx>
          <w:shd w:val="clear" w:color="auto" w:fill="FFFFFF"/>
          <w:tblCellMar>
            <w:top w:w="0" w:type="dxa"/>
            <w:left w:w="108" w:type="dxa"/>
            <w:bottom w:w="0" w:type="dxa"/>
            <w:right w:w="108" w:type="dxa"/>
          </w:tblCellMar>
        </w:tblPrEx>
        <w:trPr>
          <w:trHeight w:val="2098"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80" w:lineRule="exact"/>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压缩办理时限</w:t>
            </w:r>
            <w:r>
              <w:rPr>
                <w:rStyle w:val="6"/>
                <w:rFonts w:hint="default"/>
                <w:color w:val="000000"/>
              </w:rPr>
              <w:t>。分类压缩不动产登记办理时限，市本级推动实现土地使用权、商品房首次登记办理时间缩减至3个工作日内，抵押权首次、在建建筑物抵押权首次、变更、更正、两证合一、转移登记3个工作日，查封、解查封、抵押权注销登记等即时办结。涉二手房交易、税收和登记事项实现3个工作日内办结（税务、不动产窗口并联受理0.5个工作日内；不动产审核1.5个工作日内；登簿、缮证1个工作日内），房屋评估数据缺失和涉税优惠办理等特殊情形除外；县市区抵押权首次、变更、转移登记3 个工作日办结，一般登记5个工作日办结，挂牌拍卖土地使用权首次登记1个工作日办结。</w:t>
            </w:r>
          </w:p>
        </w:tc>
        <w:tc>
          <w:tcPr>
            <w:tcW w:w="1410" w:type="dxa"/>
            <w:vMerge w:val="continue"/>
            <w:tcBorders>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r>
      <w:tr>
        <w:tblPrEx>
          <w:shd w:val="clear" w:color="auto" w:fill="FFFFFF"/>
          <w:tblCellMar>
            <w:top w:w="0" w:type="dxa"/>
            <w:left w:w="108" w:type="dxa"/>
            <w:bottom w:w="0" w:type="dxa"/>
            <w:right w:w="108" w:type="dxa"/>
          </w:tblCellMar>
        </w:tblPrEx>
        <w:trPr>
          <w:trHeight w:val="501"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80" w:lineRule="exact"/>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减免办理费用</w:t>
            </w:r>
            <w:r>
              <w:rPr>
                <w:rStyle w:val="6"/>
                <w:rFonts w:hint="default"/>
                <w:color w:val="000000"/>
              </w:rPr>
              <w:t>。实现小微企业免缴登记费。</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2021年7月</w:t>
            </w: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r>
      <w:tr>
        <w:tblPrEx>
          <w:shd w:val="clear" w:color="auto" w:fill="FFFFFF"/>
          <w:tblCellMar>
            <w:top w:w="0" w:type="dxa"/>
            <w:left w:w="108" w:type="dxa"/>
            <w:bottom w:w="0" w:type="dxa"/>
            <w:right w:w="108" w:type="dxa"/>
          </w:tblCellMar>
        </w:tblPrEx>
        <w:trPr>
          <w:trHeight w:val="850"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80" w:lineRule="exact"/>
              <w:jc w:val="left"/>
              <w:textAlignment w:val="center"/>
              <w:rPr>
                <w:rFonts w:ascii="宋体" w:hAnsi="宋体" w:cs="宋体"/>
                <w:b/>
                <w:bCs/>
                <w:color w:val="000000"/>
                <w:sz w:val="20"/>
                <w:szCs w:val="20"/>
              </w:rPr>
            </w:pPr>
            <w:r>
              <w:rPr>
                <w:rStyle w:val="10"/>
                <w:rFonts w:hint="default"/>
                <w:color w:val="000000"/>
              </w:rPr>
              <w:t>推进不动产专窗实现“一件事一次办”</w:t>
            </w:r>
            <w:r>
              <w:rPr>
                <w:rStyle w:val="9"/>
                <w:rFonts w:hint="default"/>
                <w:color w:val="000000"/>
              </w:rPr>
              <w:t>。</w:t>
            </w:r>
            <w:r>
              <w:rPr>
                <w:rStyle w:val="6"/>
                <w:rFonts w:hint="default"/>
                <w:color w:val="000000"/>
              </w:rPr>
              <w:t>优化不动产登记、交易、缴税“一窗受理、集成服务”，设立综合窗口，进一步完善“一件事一次办”服务，推进“就近办”“一城通办”工作模式，更好地服务群众和企业。</w:t>
            </w:r>
          </w:p>
        </w:tc>
        <w:tc>
          <w:tcPr>
            <w:tcW w:w="1410" w:type="dxa"/>
            <w:vMerge w:val="restart"/>
            <w:tcBorders>
              <w:top w:val="single" w:color="000000" w:sz="4" w:space="0"/>
              <w:left w:val="single" w:color="000000" w:sz="4" w:space="0"/>
              <w:right w:val="single" w:color="000000" w:sz="4" w:space="0"/>
            </w:tcBorders>
            <w:shd w:val="clear" w:color="auto" w:fill="FFFFFF"/>
            <w:noWrap w:val="0"/>
            <w:vAlign w:val="center"/>
          </w:tcPr>
          <w:p>
            <w:pPr>
              <w:jc w:val="center"/>
              <w:textAlignment w:val="center"/>
              <w:rPr>
                <w:rFonts w:ascii="宋体" w:hAnsi="宋体" w:cs="宋体"/>
                <w:color w:val="000000"/>
                <w:sz w:val="20"/>
                <w:szCs w:val="20"/>
              </w:rPr>
            </w:pPr>
            <w:r>
              <w:rPr>
                <w:rFonts w:hint="eastAsia" w:ascii="宋体" w:hAnsi="宋体" w:cs="宋体"/>
                <w:color w:val="000000"/>
                <w:kern w:val="0"/>
                <w:sz w:val="20"/>
                <w:szCs w:val="20"/>
              </w:rPr>
              <w:t>2021年12月</w:t>
            </w: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r>
      <w:tr>
        <w:tblPrEx>
          <w:shd w:val="clear" w:color="auto" w:fill="FFFFFF"/>
          <w:tblCellMar>
            <w:top w:w="0" w:type="dxa"/>
            <w:left w:w="108" w:type="dxa"/>
            <w:bottom w:w="0" w:type="dxa"/>
            <w:right w:w="108" w:type="dxa"/>
          </w:tblCellMar>
        </w:tblPrEx>
        <w:trPr>
          <w:trHeight w:val="1928"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80" w:lineRule="exact"/>
              <w:jc w:val="left"/>
              <w:textAlignment w:val="center"/>
              <w:rPr>
                <w:rFonts w:ascii="宋体" w:hAnsi="宋体" w:cs="宋体"/>
                <w:b/>
                <w:bCs/>
                <w:color w:val="000000"/>
                <w:sz w:val="20"/>
                <w:szCs w:val="20"/>
              </w:rPr>
            </w:pPr>
            <w:r>
              <w:rPr>
                <w:rStyle w:val="10"/>
                <w:rFonts w:hint="default"/>
                <w:color w:val="000000"/>
              </w:rPr>
              <w:t>强化信息共享应用</w:t>
            </w:r>
            <w:r>
              <w:rPr>
                <w:rStyle w:val="9"/>
                <w:rFonts w:hint="default"/>
                <w:color w:val="000000"/>
              </w:rPr>
              <w:t>。</w:t>
            </w:r>
            <w:r>
              <w:rPr>
                <w:rStyle w:val="6"/>
                <w:rFonts w:hint="default"/>
                <w:color w:val="000000"/>
              </w:rPr>
              <w:t>深入实施“互联网+不动产登记”，加快构建“全流程、全网域、全天候”的不动产登记便民服务体系；积极参与湖南省不动产登记统一平台建设，配合省厅实现全省“一个平台、一个数据库、一套登记发证系统”；对接湖南省不动产登记网上“一窗办事”平台，实现不动产一般登记业务网上受理、审批、缮证。加强不动产抵押贷款和登记业务协同，在银行等金融机构推广应用不动产登记电子证明；将不动产登记服务端口延伸至银行网点，对符合条件的银行业金融机构实现“互联网+不动产抵押登记”智能网办。2021年底前实现不动产抵押登记全程网上办。</w:t>
            </w:r>
          </w:p>
        </w:tc>
        <w:tc>
          <w:tcPr>
            <w:tcW w:w="1410" w:type="dxa"/>
            <w:vMerge w:val="continue"/>
            <w:tcBorders>
              <w:left w:val="single" w:color="000000" w:sz="4" w:space="0"/>
              <w:right w:val="single" w:color="000000" w:sz="4" w:space="0"/>
            </w:tcBorders>
            <w:shd w:val="clear" w:color="auto" w:fill="FFFFFF"/>
            <w:noWrap w:val="0"/>
            <w:vAlign w:val="center"/>
          </w:tcPr>
          <w:p>
            <w:pPr>
              <w:jc w:val="center"/>
              <w:textAlignment w:val="center"/>
              <w:rPr>
                <w:rFonts w:ascii="宋体" w:hAnsi="宋体" w:cs="宋体"/>
                <w:color w:val="000000"/>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r>
      <w:tr>
        <w:tblPrEx>
          <w:shd w:val="clear" w:color="auto" w:fill="FFFFFF"/>
          <w:tblCellMar>
            <w:top w:w="0" w:type="dxa"/>
            <w:left w:w="108" w:type="dxa"/>
            <w:bottom w:w="0" w:type="dxa"/>
            <w:right w:w="108" w:type="dxa"/>
          </w:tblCellMar>
        </w:tblPrEx>
        <w:trPr>
          <w:trHeight w:val="360"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80" w:lineRule="exact"/>
              <w:jc w:val="left"/>
              <w:textAlignment w:val="center"/>
              <w:rPr>
                <w:rFonts w:ascii="宋体" w:hAnsi="宋体" w:cs="宋体"/>
                <w:b/>
                <w:bCs/>
                <w:color w:val="000000"/>
                <w:sz w:val="20"/>
                <w:szCs w:val="20"/>
              </w:rPr>
            </w:pPr>
            <w:r>
              <w:rPr>
                <w:rStyle w:val="10"/>
                <w:rFonts w:hint="default"/>
                <w:color w:val="000000"/>
              </w:rPr>
              <w:t>实施“交房即交证”改革</w:t>
            </w:r>
            <w:r>
              <w:rPr>
                <w:rStyle w:val="9"/>
                <w:rFonts w:hint="default"/>
                <w:color w:val="000000"/>
              </w:rPr>
              <w:t>。</w:t>
            </w:r>
            <w:r>
              <w:rPr>
                <w:rStyle w:val="6"/>
                <w:rFonts w:hint="default"/>
                <w:color w:val="000000"/>
              </w:rPr>
              <w:t>缩短建设项目从竣工验收到办理不动产首次登记及转移登记的全过程时限，逐步实现新建商品房交房的同时即可为购房人办理不动产权证。积极开展房地产办证遗留问题清理处置。</w:t>
            </w:r>
          </w:p>
        </w:tc>
        <w:tc>
          <w:tcPr>
            <w:tcW w:w="1410" w:type="dxa"/>
            <w:vMerge w:val="continue"/>
            <w:tcBorders>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1040" w:hRule="atLeast"/>
          <w:jc w:val="center"/>
        </w:trPr>
        <w:tc>
          <w:tcPr>
            <w:tcW w:w="49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纳税</w:t>
            </w: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textAlignment w:val="center"/>
              <w:rPr>
                <w:rFonts w:ascii="宋体" w:hAnsi="宋体" w:cs="宋体"/>
                <w:b/>
                <w:bCs/>
                <w:color w:val="000000"/>
                <w:sz w:val="20"/>
                <w:szCs w:val="20"/>
              </w:rPr>
            </w:pPr>
            <w:r>
              <w:rPr>
                <w:rFonts w:hint="eastAsia" w:ascii="宋体" w:hAnsi="宋体" w:cs="宋体"/>
                <w:b/>
                <w:bCs/>
                <w:color w:val="000000"/>
                <w:kern w:val="0"/>
                <w:sz w:val="20"/>
                <w:szCs w:val="20"/>
              </w:rPr>
              <w:t>缩减纳税时间</w:t>
            </w:r>
            <w:r>
              <w:rPr>
                <w:rStyle w:val="6"/>
                <w:rFonts w:hint="default"/>
                <w:color w:val="000000"/>
              </w:rPr>
              <w:t>。全力配合湖南省税务局做好电子税务局的功能优化，不断提升网上办税率和即办事项率，减少纳税人准备时间和申报时间。大力推进增值税专用发票电子化。全面规范办税服务厅管理，推出预约办税，减少纳税人排队等候时间，提升办税服务质效。</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2021年12月</w:t>
            </w:r>
          </w:p>
        </w:tc>
        <w:tc>
          <w:tcPr>
            <w:tcW w:w="118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市税务局</w:t>
            </w:r>
          </w:p>
        </w:tc>
        <w:tc>
          <w:tcPr>
            <w:tcW w:w="234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市行政审批服务局、市人社局、市医保局、市住房公积金管理中心、人民银行永州市中心支行，各县市区政府</w:t>
            </w:r>
          </w:p>
        </w:tc>
      </w:tr>
      <w:tr>
        <w:tblPrEx>
          <w:shd w:val="clear" w:color="auto" w:fill="FFFFFF"/>
          <w:tblCellMar>
            <w:top w:w="0" w:type="dxa"/>
            <w:left w:w="108" w:type="dxa"/>
            <w:bottom w:w="0" w:type="dxa"/>
            <w:right w:w="108" w:type="dxa"/>
          </w:tblCellMar>
        </w:tblPrEx>
        <w:trPr>
          <w:trHeight w:val="520"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textAlignment w:val="center"/>
              <w:rPr>
                <w:rFonts w:ascii="宋体" w:hAnsi="宋体" w:cs="宋体"/>
                <w:b/>
                <w:bCs/>
                <w:color w:val="000000"/>
                <w:sz w:val="20"/>
                <w:szCs w:val="20"/>
              </w:rPr>
            </w:pPr>
            <w:r>
              <w:rPr>
                <w:rStyle w:val="10"/>
                <w:rFonts w:hint="default"/>
                <w:color w:val="000000"/>
              </w:rPr>
              <w:t>推进涉税服务“掌上办”。</w:t>
            </w:r>
            <w:r>
              <w:rPr>
                <w:rStyle w:val="6"/>
                <w:rFonts w:hint="default"/>
                <w:color w:val="000000"/>
              </w:rPr>
              <w:t>进一步拓展“非接触式”办税缴费渠道，积极推广应用电子税务局移动端，实现“网上办”“掌上办”。</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r>
      <w:tr>
        <w:tblPrEx>
          <w:tblCellMar>
            <w:top w:w="0" w:type="dxa"/>
            <w:left w:w="108" w:type="dxa"/>
            <w:bottom w:w="0" w:type="dxa"/>
            <w:right w:w="108" w:type="dxa"/>
          </w:tblCellMar>
        </w:tblPrEx>
        <w:trPr>
          <w:trHeight w:val="1134"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textAlignment w:val="center"/>
              <w:rPr>
                <w:rFonts w:ascii="宋体" w:hAnsi="宋体" w:cs="宋体"/>
                <w:b/>
                <w:bCs/>
                <w:color w:val="000000"/>
                <w:sz w:val="20"/>
                <w:szCs w:val="20"/>
              </w:rPr>
            </w:pPr>
            <w:r>
              <w:rPr>
                <w:rFonts w:hint="eastAsia" w:ascii="宋体" w:hAnsi="宋体" w:cs="宋体"/>
                <w:b/>
                <w:bCs/>
                <w:color w:val="000000"/>
                <w:kern w:val="0"/>
                <w:sz w:val="20"/>
                <w:szCs w:val="20"/>
              </w:rPr>
              <w:t>减少纳税次数</w:t>
            </w:r>
            <w:r>
              <w:rPr>
                <w:rStyle w:val="6"/>
                <w:rFonts w:hint="default"/>
                <w:color w:val="000000"/>
              </w:rPr>
              <w:t>。推进“一网、一门、一次”办税，持续推进办税服务厅整体进驻市民服务中心。结合永州实际，完善办税事项“最多跑一次”清单范围，发布办税指南和标准化材料清单。推进城镇土地使用税和房产税合并申报，合并城镇土地使用税和房产税申报表，统一纳税期限，减少纳税人申报次数，全年纳税次数减少至6次。</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r>
      <w:tr>
        <w:tblPrEx>
          <w:shd w:val="clear" w:color="auto" w:fill="FFFFFF"/>
          <w:tblCellMar>
            <w:top w:w="0" w:type="dxa"/>
            <w:left w:w="108" w:type="dxa"/>
            <w:bottom w:w="0" w:type="dxa"/>
            <w:right w:w="108" w:type="dxa"/>
          </w:tblCellMar>
        </w:tblPrEx>
        <w:trPr>
          <w:trHeight w:val="850"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textAlignment w:val="center"/>
              <w:rPr>
                <w:rFonts w:ascii="宋体" w:hAnsi="宋体" w:cs="宋体"/>
                <w:b/>
                <w:bCs/>
                <w:color w:val="000000"/>
                <w:sz w:val="20"/>
                <w:szCs w:val="20"/>
              </w:rPr>
            </w:pPr>
            <w:r>
              <w:rPr>
                <w:rFonts w:hint="eastAsia" w:ascii="宋体" w:hAnsi="宋体" w:cs="宋体"/>
                <w:b/>
                <w:bCs/>
                <w:color w:val="000000"/>
                <w:kern w:val="0"/>
                <w:sz w:val="20"/>
                <w:szCs w:val="20"/>
              </w:rPr>
              <w:t>优化总税收和缴费率</w:t>
            </w:r>
            <w:r>
              <w:rPr>
                <w:rStyle w:val="6"/>
                <w:rFonts w:hint="default"/>
                <w:color w:val="000000"/>
              </w:rPr>
              <w:t>。无法律授权收税事项一律不允许执行，落实税收优惠政策“清单式”管理，除依法须税务机关核准和向税务机关备案的特定情形外，一律由纳税人“自行判别、申报享受”。依法简化税收优惠政策申报程序。</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r>
      <w:tr>
        <w:tblPrEx>
          <w:shd w:val="clear" w:color="auto" w:fill="FFFFFF"/>
          <w:tblCellMar>
            <w:top w:w="0" w:type="dxa"/>
            <w:left w:w="108" w:type="dxa"/>
            <w:bottom w:w="0" w:type="dxa"/>
            <w:right w:w="108" w:type="dxa"/>
          </w:tblCellMar>
        </w:tblPrEx>
        <w:trPr>
          <w:trHeight w:val="1077"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textAlignment w:val="center"/>
              <w:rPr>
                <w:rFonts w:ascii="宋体" w:hAnsi="宋体" w:cs="宋体"/>
                <w:b/>
                <w:bCs/>
                <w:color w:val="000000"/>
                <w:sz w:val="20"/>
                <w:szCs w:val="20"/>
              </w:rPr>
            </w:pPr>
            <w:r>
              <w:rPr>
                <w:rFonts w:hint="eastAsia" w:ascii="宋体" w:hAnsi="宋体" w:cs="宋体"/>
                <w:b/>
                <w:bCs/>
                <w:color w:val="000000"/>
                <w:kern w:val="0"/>
                <w:sz w:val="20"/>
                <w:szCs w:val="20"/>
              </w:rPr>
              <w:t>优化报税后流程指数</w:t>
            </w:r>
            <w:r>
              <w:rPr>
                <w:rStyle w:val="6"/>
                <w:rFonts w:hint="default"/>
                <w:color w:val="000000"/>
              </w:rPr>
              <w:t>。全面落实增值税期末留抵退税政策，纳税人符合留抵退税条件且不存在增值税涉税风险疑点情形的，税务机关应自受理留抵退税申请之日起10个工作日内办结；依托湖南省电子税务局，实现纳税人网上申请增值税留抵退税业务，畅通电子退税渠道，A级纳税人留抵退税办结时限提速至5个工作日。</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r>
      <w:tr>
        <w:tblPrEx>
          <w:shd w:val="clear" w:color="auto" w:fill="FFFFFF"/>
          <w:tblCellMar>
            <w:top w:w="0" w:type="dxa"/>
            <w:left w:w="108" w:type="dxa"/>
            <w:bottom w:w="0" w:type="dxa"/>
            <w:right w:w="108" w:type="dxa"/>
          </w:tblCellMar>
        </w:tblPrEx>
        <w:trPr>
          <w:trHeight w:val="1077" w:hRule="atLeast"/>
          <w:jc w:val="center"/>
        </w:trPr>
        <w:tc>
          <w:tcPr>
            <w:tcW w:w="49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跨境贸易</w:t>
            </w: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textAlignment w:val="center"/>
              <w:rPr>
                <w:rFonts w:ascii="宋体" w:hAnsi="宋体" w:cs="宋体"/>
                <w:b/>
                <w:bCs/>
                <w:color w:val="000000"/>
                <w:sz w:val="20"/>
                <w:szCs w:val="20"/>
              </w:rPr>
            </w:pPr>
            <w:r>
              <w:rPr>
                <w:rFonts w:hint="eastAsia" w:ascii="宋体" w:hAnsi="宋体" w:cs="宋体"/>
                <w:b/>
                <w:bCs/>
                <w:color w:val="000000"/>
                <w:kern w:val="0"/>
                <w:sz w:val="20"/>
                <w:szCs w:val="20"/>
              </w:rPr>
              <w:t>压缩进出口耗时</w:t>
            </w:r>
            <w:r>
              <w:rPr>
                <w:rStyle w:val="6"/>
                <w:rFonts w:hint="default"/>
                <w:color w:val="000000"/>
              </w:rPr>
              <w:t>。健全容错纠错和应急处置机制，鼓励支持符合条件的企业提前申报，进、出口提前申报比例分别达到40%、70%。优化进口产品强制性认证免办申请审核流程，实施申请材料先行审核，落实按时办结制度，实现进口、出口整体通关时间分别压缩至30小时以内和10小时以内，特殊需要的当日申请当日办结。</w:t>
            </w:r>
          </w:p>
        </w:tc>
        <w:tc>
          <w:tcPr>
            <w:tcW w:w="1410" w:type="dxa"/>
            <w:vMerge w:val="restart"/>
            <w:tcBorders>
              <w:top w:val="single" w:color="000000" w:sz="4" w:space="0"/>
              <w:left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r>
              <w:rPr>
                <w:rFonts w:hint="eastAsia" w:ascii="宋体" w:hAnsi="宋体" w:cs="宋体"/>
                <w:color w:val="000000"/>
                <w:kern w:val="0"/>
                <w:sz w:val="20"/>
                <w:szCs w:val="20"/>
              </w:rPr>
              <w:t>2021年10月</w:t>
            </w:r>
          </w:p>
        </w:tc>
        <w:tc>
          <w:tcPr>
            <w:tcW w:w="1180" w:type="dxa"/>
            <w:vMerge w:val="restart"/>
            <w:tcBorders>
              <w:top w:val="single" w:color="000000" w:sz="4" w:space="0"/>
              <w:left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r>
              <w:rPr>
                <w:rFonts w:hint="eastAsia" w:ascii="宋体" w:hAnsi="宋体" w:cs="宋体"/>
                <w:color w:val="000000"/>
                <w:kern w:val="0"/>
                <w:sz w:val="20"/>
                <w:szCs w:val="20"/>
              </w:rPr>
              <w:t>市商务局</w:t>
            </w:r>
          </w:p>
        </w:tc>
        <w:tc>
          <w:tcPr>
            <w:tcW w:w="2348" w:type="dxa"/>
            <w:vMerge w:val="restart"/>
            <w:tcBorders>
              <w:top w:val="single" w:color="000000" w:sz="4" w:space="0"/>
              <w:left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r>
              <w:rPr>
                <w:rFonts w:hint="eastAsia" w:ascii="宋体" w:hAnsi="宋体" w:cs="宋体"/>
                <w:color w:val="000000"/>
                <w:kern w:val="0"/>
                <w:sz w:val="20"/>
                <w:szCs w:val="20"/>
              </w:rPr>
              <w:t>永州海关，各县市区政府</w:t>
            </w:r>
          </w:p>
        </w:tc>
      </w:tr>
      <w:tr>
        <w:tblPrEx>
          <w:shd w:val="clear" w:color="auto" w:fill="FFFFFF"/>
          <w:tblCellMar>
            <w:top w:w="0" w:type="dxa"/>
            <w:left w:w="108" w:type="dxa"/>
            <w:bottom w:w="0" w:type="dxa"/>
            <w:right w:w="108" w:type="dxa"/>
          </w:tblCellMar>
        </w:tblPrEx>
        <w:trPr>
          <w:trHeight w:val="680"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降低通关成本</w:t>
            </w:r>
            <w:r>
              <w:rPr>
                <w:rStyle w:val="6"/>
                <w:rFonts w:hint="default"/>
                <w:color w:val="000000"/>
              </w:rPr>
              <w:t>。进一步推动口岸降费、规范收费，强化口岸收费目录清单管理，公开口岸经营服务收费清单，做到清单之外无收费，减轻进出口企业负担，降低通关成本。</w:t>
            </w:r>
          </w:p>
        </w:tc>
        <w:tc>
          <w:tcPr>
            <w:tcW w:w="1410" w:type="dxa"/>
            <w:vMerge w:val="continue"/>
            <w:tcBorders>
              <w:left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1180" w:type="dxa"/>
            <w:vMerge w:val="continue"/>
            <w:tcBorders>
              <w:left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2348" w:type="dxa"/>
            <w:vMerge w:val="continue"/>
            <w:tcBorders>
              <w:left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r>
      <w:tr>
        <w:tblPrEx>
          <w:tblCellMar>
            <w:top w:w="0" w:type="dxa"/>
            <w:left w:w="108" w:type="dxa"/>
            <w:bottom w:w="0" w:type="dxa"/>
            <w:right w:w="108" w:type="dxa"/>
          </w:tblCellMar>
        </w:tblPrEx>
        <w:trPr>
          <w:trHeight w:val="1531"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left"/>
              <w:textAlignment w:val="center"/>
              <w:rPr>
                <w:rFonts w:ascii="宋体" w:hAnsi="宋体" w:cs="宋体"/>
                <w:b/>
                <w:bCs/>
                <w:color w:val="000000"/>
                <w:sz w:val="20"/>
                <w:szCs w:val="20"/>
              </w:rPr>
            </w:pPr>
            <w:r>
              <w:rPr>
                <w:rStyle w:val="10"/>
                <w:rFonts w:hint="default"/>
                <w:color w:val="000000"/>
              </w:rPr>
              <w:t>提高跨境贸易便利度</w:t>
            </w:r>
            <w:r>
              <w:rPr>
                <w:rStyle w:val="9"/>
                <w:rFonts w:hint="default"/>
                <w:color w:val="000000"/>
              </w:rPr>
              <w:t>。推行进出口货物“提前申报”，进一步推进“两步申报”改革，年内“两步申报”、提前申报率高于长沙海关平均水平。持续优化无纸化通关、单一窗口“关检合一”等措施，开展“单一窗口”本地特色应用建设，拓展通关信息共享功能，实行进口许可证件申领和通关作业无纸化。实行“先放行后改单”模式，对海关查验发现异常，而又不涉证、不涉税、不涉及检验检疫风险，仅涉及查验后改单放行的报关单，允许在海关放行后修改报关单数据。</w:t>
            </w:r>
          </w:p>
        </w:tc>
        <w:tc>
          <w:tcPr>
            <w:tcW w:w="1410" w:type="dxa"/>
            <w:vMerge w:val="continue"/>
            <w:tcBorders>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1180" w:type="dxa"/>
            <w:vMerge w:val="continue"/>
            <w:tcBorders>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2348" w:type="dxa"/>
            <w:vMerge w:val="continue"/>
            <w:tcBorders>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r>
      <w:tr>
        <w:tblPrEx>
          <w:tblCellMar>
            <w:top w:w="0" w:type="dxa"/>
            <w:left w:w="108" w:type="dxa"/>
            <w:bottom w:w="0" w:type="dxa"/>
            <w:right w:w="108" w:type="dxa"/>
          </w:tblCellMar>
        </w:tblPrEx>
        <w:trPr>
          <w:trHeight w:val="907" w:hRule="atLeast"/>
          <w:jc w:val="center"/>
        </w:trPr>
        <w:tc>
          <w:tcPr>
            <w:tcW w:w="49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办理破产</w:t>
            </w: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exact"/>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畅通破产启动程序，完善并落实执行案件移送破产审查考核机制</w:t>
            </w:r>
            <w:r>
              <w:rPr>
                <w:rStyle w:val="6"/>
                <w:rFonts w:hint="default"/>
                <w:color w:val="000000"/>
              </w:rPr>
              <w:t>。优化破产案件审理各环节，提高破产审判信息化工作水平，完善快速审理程序的适用，提高案件审理效率。充分发挥破产拯救司法效能，完善和统一重整识别标准，加强庭外重组与庭内重整的衔接，探索预重整实践经验，拓</w:t>
            </w:r>
            <w:r>
              <w:rPr>
                <w:rStyle w:val="6"/>
                <w:rFonts w:hint="default"/>
                <w:color w:val="000000"/>
                <w:spacing w:val="-6"/>
              </w:rPr>
              <w:t>展战略投资人招募渠道，鼓励国有企业发挥引领作用，不断提高重整案件办理效率和重整成功率。</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2021年12月</w:t>
            </w:r>
          </w:p>
        </w:tc>
        <w:tc>
          <w:tcPr>
            <w:tcW w:w="118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市中级</w:t>
            </w:r>
          </w:p>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人民法院</w:t>
            </w:r>
          </w:p>
        </w:tc>
        <w:tc>
          <w:tcPr>
            <w:tcW w:w="234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市直相关单位，各县市区政府</w:t>
            </w:r>
          </w:p>
        </w:tc>
      </w:tr>
      <w:tr>
        <w:tblPrEx>
          <w:tblCellMar>
            <w:top w:w="0" w:type="dxa"/>
            <w:left w:w="108" w:type="dxa"/>
            <w:bottom w:w="0" w:type="dxa"/>
            <w:right w:w="108" w:type="dxa"/>
          </w:tblCellMar>
        </w:tblPrEx>
        <w:trPr>
          <w:trHeight w:val="737"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exact"/>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简化办理流程，压减办理耗时</w:t>
            </w:r>
            <w:r>
              <w:rPr>
                <w:rStyle w:val="6"/>
                <w:rFonts w:hint="default"/>
                <w:color w:val="000000"/>
              </w:rPr>
              <w:t>。出台办理破产便利化专门改革方案，有效简化办理破产流程、提高程序效率，推动和保障管理人在破产程序中依法履职，破产案件平均审理周期缩短60天，无产可破等适用简易程序审理的破产案件一般在6个月内办结，三年以上未结破产案件减少30%。</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r>
      <w:tr>
        <w:tblPrEx>
          <w:tblCellMar>
            <w:top w:w="0" w:type="dxa"/>
            <w:left w:w="108" w:type="dxa"/>
            <w:bottom w:w="0" w:type="dxa"/>
            <w:right w:w="108" w:type="dxa"/>
          </w:tblCellMar>
        </w:tblPrEx>
        <w:trPr>
          <w:trHeight w:val="520"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exact"/>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健全破产费用多元化保障机制</w:t>
            </w:r>
            <w:r>
              <w:rPr>
                <w:rStyle w:val="6"/>
                <w:rFonts w:hint="default"/>
                <w:color w:val="000000"/>
              </w:rPr>
              <w:t>。规范破产案件中审计、评估等费用收取，切实降低破产案件税费成本。</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r>
      <w:tr>
        <w:tblPrEx>
          <w:tblCellMar>
            <w:top w:w="0" w:type="dxa"/>
            <w:left w:w="108" w:type="dxa"/>
            <w:bottom w:w="0" w:type="dxa"/>
            <w:right w:w="108" w:type="dxa"/>
          </w:tblCellMar>
        </w:tblPrEx>
        <w:trPr>
          <w:trHeight w:val="680"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exact"/>
              <w:jc w:val="left"/>
              <w:textAlignment w:val="center"/>
              <w:rPr>
                <w:rFonts w:ascii="宋体" w:hAnsi="宋体" w:cs="宋体"/>
                <w:b/>
                <w:bCs/>
                <w:color w:val="000000"/>
                <w:sz w:val="20"/>
                <w:szCs w:val="20"/>
              </w:rPr>
            </w:pPr>
            <w:r>
              <w:rPr>
                <w:rStyle w:val="10"/>
                <w:rFonts w:hint="default"/>
                <w:color w:val="000000"/>
              </w:rPr>
              <w:t>开展破产案件专项清理活动</w:t>
            </w:r>
            <w:r>
              <w:rPr>
                <w:rStyle w:val="9"/>
                <w:rFonts w:hint="default"/>
                <w:color w:val="000000"/>
              </w:rPr>
              <w:t>。</w:t>
            </w:r>
            <w:r>
              <w:rPr>
                <w:rStyle w:val="6"/>
                <w:rFonts w:hint="default"/>
                <w:color w:val="000000"/>
              </w:rPr>
              <w:t>推动与市政府建立府院联动机制。建立破产税务便捷处理机制、破产企业注销和征信监管机制和破产援助资金制度；推动政府相关部门向破产管理人开放各登记系统便于管理人查询。</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r>
      <w:tr>
        <w:tblPrEx>
          <w:tblCellMar>
            <w:top w:w="0" w:type="dxa"/>
            <w:left w:w="108" w:type="dxa"/>
            <w:bottom w:w="0" w:type="dxa"/>
            <w:right w:w="108" w:type="dxa"/>
          </w:tblCellMar>
        </w:tblPrEx>
        <w:trPr>
          <w:trHeight w:val="1077" w:hRule="atLeast"/>
          <w:jc w:val="center"/>
        </w:trPr>
        <w:tc>
          <w:tcPr>
            <w:tcW w:w="49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获得信贷</w:t>
            </w: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exact"/>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提高贷款审批和发放效率</w:t>
            </w:r>
            <w:r>
              <w:rPr>
                <w:rStyle w:val="6"/>
                <w:rFonts w:hint="default"/>
                <w:color w:val="000000"/>
              </w:rPr>
              <w:t>。支持金融机构在有效防控风险前提下，合理下放审批权限，运用大数据等技术建立风险定价和管控模型，优化信贷审批流程和模式，推行线上服务、“不见面”审批等便捷信贷服务，力争对中小微企业融资需求的响应时间不超过3个工作日。指导金融机构科学安排授信期限和还款方式，适当提高中长期贷款比例。</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2021年12月</w:t>
            </w:r>
          </w:p>
        </w:tc>
        <w:tc>
          <w:tcPr>
            <w:tcW w:w="118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市政府办</w:t>
            </w:r>
          </w:p>
        </w:tc>
        <w:tc>
          <w:tcPr>
            <w:tcW w:w="234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人民银行永州市中心支行、永州银保监分局、市市场监管局、市行政审批服务局，各县市区政府</w:t>
            </w:r>
          </w:p>
        </w:tc>
      </w:tr>
      <w:tr>
        <w:tblPrEx>
          <w:tblCellMar>
            <w:top w:w="0" w:type="dxa"/>
            <w:left w:w="108" w:type="dxa"/>
            <w:bottom w:w="0" w:type="dxa"/>
            <w:right w:w="108" w:type="dxa"/>
          </w:tblCellMar>
        </w:tblPrEx>
        <w:trPr>
          <w:trHeight w:val="1077"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40" w:lineRule="exact"/>
              <w:jc w:val="left"/>
              <w:textAlignment w:val="center"/>
              <w:rPr>
                <w:rFonts w:ascii="宋体" w:hAnsi="宋体" w:cs="宋体"/>
                <w:b/>
                <w:bCs/>
                <w:color w:val="000000"/>
                <w:sz w:val="20"/>
                <w:szCs w:val="20"/>
              </w:rPr>
            </w:pPr>
            <w:r>
              <w:rPr>
                <w:rStyle w:val="10"/>
                <w:rFonts w:hint="default"/>
                <w:color w:val="000000"/>
              </w:rPr>
              <w:t>优化信贷融资服务，简化担保流程</w:t>
            </w:r>
            <w:r>
              <w:rPr>
                <w:rStyle w:val="9"/>
                <w:rFonts w:hint="default"/>
                <w:color w:val="000000"/>
              </w:rPr>
              <w:t>。</w:t>
            </w:r>
            <w:r>
              <w:rPr>
                <w:rStyle w:val="6"/>
                <w:rFonts w:hint="default"/>
                <w:color w:val="000000"/>
              </w:rPr>
              <w:t>完善政府性融资担保体系，通过实施政银担三方风险共担、再担保体系建设、加大风险补偿等措施，推动政府性融资担保业务县域全覆盖，简化担保流程，到2021年底，实现全市政府性融资担保在保余额24亿元以上，支小支农支新占比80%以上，力争将小微企业综合融资担保费率降至1%以下。</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r>
      <w:tr>
        <w:tblPrEx>
          <w:shd w:val="clear" w:color="auto" w:fill="FFFFFF"/>
          <w:tblCellMar>
            <w:top w:w="0" w:type="dxa"/>
            <w:left w:w="108" w:type="dxa"/>
            <w:bottom w:w="0" w:type="dxa"/>
            <w:right w:w="108" w:type="dxa"/>
          </w:tblCellMar>
        </w:tblPrEx>
        <w:trPr>
          <w:trHeight w:val="794"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降低企业融资中间环节费用</w:t>
            </w:r>
            <w:r>
              <w:rPr>
                <w:rStyle w:val="6"/>
                <w:rFonts w:hint="default"/>
                <w:color w:val="000000"/>
              </w:rPr>
              <w:t>。清理规范中小企业融资中的不合理附加费用，推行依清单收费，强化落实“两禁两限”规定，整治克扣放款金额、以贷转存、存贷挂钩、浮利分费、借贷搭售等违规行为。推动银行机构全额承担小微企业申请贷款的抵质押物评估费用。</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r>
      <w:tr>
        <w:tblPrEx>
          <w:shd w:val="clear" w:color="auto" w:fill="FFFFFF"/>
          <w:tblCellMar>
            <w:top w:w="0" w:type="dxa"/>
            <w:left w:w="108" w:type="dxa"/>
            <w:bottom w:w="0" w:type="dxa"/>
            <w:right w:w="108" w:type="dxa"/>
          </w:tblCellMar>
        </w:tblPrEx>
        <w:trPr>
          <w:trHeight w:val="624"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降低小微企业贷款利率</w:t>
            </w:r>
            <w:r>
              <w:rPr>
                <w:rStyle w:val="6"/>
                <w:rFonts w:hint="default"/>
                <w:color w:val="000000"/>
              </w:rPr>
              <w:t>。严格执行关于优化信贷营商环境相关政策和措施，鼓励、引导金融机构开发、推广惠及中小微企业的金融产品，合理降低小微企业贷款利率。</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r>
      <w:tr>
        <w:tblPrEx>
          <w:shd w:val="clear" w:color="auto" w:fill="FFFFFF"/>
          <w:tblCellMar>
            <w:top w:w="0" w:type="dxa"/>
            <w:left w:w="108" w:type="dxa"/>
            <w:bottom w:w="0" w:type="dxa"/>
            <w:right w:w="108" w:type="dxa"/>
          </w:tblCellMar>
        </w:tblPrEx>
        <w:trPr>
          <w:trHeight w:val="1417"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加大信用贷款支持力度</w:t>
            </w:r>
            <w:r>
              <w:rPr>
                <w:rStyle w:val="6"/>
                <w:rFonts w:hint="default"/>
                <w:color w:val="000000"/>
              </w:rPr>
              <w:t>。推进“信易贷”工作，加强企业信用信息归集，鼓励银行机构入驻全国信易贷平台并发布金融产品信息，缓解银企信息不对称问题，帮助企业更高效、低成本地融资。2021年实现辖内市级银行及其分支机构、县域法人银行机构全部入驻全国信易贷平台永州站。加强与金融机构数据信息归集共享，督促商业银行优化风险评估机制，注重审核第一还款来源，减少对抵押担保的依赖，提高新发放信用贷款占比，小微企业信用贷款余额较年初保持增长。</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r>
      <w:tr>
        <w:tblPrEx>
          <w:shd w:val="clear" w:color="auto" w:fill="FFFFFF"/>
          <w:tblCellMar>
            <w:top w:w="0" w:type="dxa"/>
            <w:left w:w="108" w:type="dxa"/>
            <w:bottom w:w="0" w:type="dxa"/>
            <w:right w:w="108" w:type="dxa"/>
          </w:tblCellMar>
        </w:tblPrEx>
        <w:trPr>
          <w:trHeight w:val="964" w:hRule="atLeast"/>
          <w:jc w:val="center"/>
        </w:trPr>
        <w:tc>
          <w:tcPr>
            <w:tcW w:w="49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12</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执行合同</w:t>
            </w: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建立“切实解决执行难”联动机制</w:t>
            </w:r>
            <w:r>
              <w:rPr>
                <w:rStyle w:val="6"/>
                <w:rFonts w:hint="default"/>
                <w:color w:val="000000"/>
              </w:rPr>
              <w:t>。加大对拒不执行判决、裁定以及妨害公务等涉执犯罪行为的打击力度，保持对抗拒执行的强大震慑力。加强与联动单位的协调与沟通，促使信息反馈效率进一步提升，实现信息实时共享，发挥执行联动机制功能的最大优势。</w:t>
            </w:r>
          </w:p>
        </w:tc>
        <w:tc>
          <w:tcPr>
            <w:tcW w:w="1410" w:type="dxa"/>
            <w:vMerge w:val="restart"/>
            <w:tcBorders>
              <w:top w:val="single" w:color="000000" w:sz="4" w:space="0"/>
              <w:left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r>
              <w:rPr>
                <w:rFonts w:hint="eastAsia" w:ascii="宋体" w:hAnsi="宋体" w:cs="宋体"/>
                <w:color w:val="000000"/>
                <w:kern w:val="0"/>
                <w:sz w:val="20"/>
                <w:szCs w:val="20"/>
              </w:rPr>
              <w:t>2021年12月</w:t>
            </w:r>
          </w:p>
        </w:tc>
        <w:tc>
          <w:tcPr>
            <w:tcW w:w="1180" w:type="dxa"/>
            <w:vMerge w:val="restart"/>
            <w:tcBorders>
              <w:top w:val="single" w:color="000000" w:sz="4" w:space="0"/>
              <w:left w:val="single" w:color="000000" w:sz="4" w:space="0"/>
              <w:right w:val="single" w:color="000000" w:sz="4" w:space="0"/>
            </w:tcBorders>
            <w:shd w:val="clear" w:color="auto" w:fill="FFFFFF"/>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市中级</w:t>
            </w:r>
          </w:p>
          <w:p>
            <w:pPr>
              <w:jc w:val="center"/>
              <w:rPr>
                <w:rFonts w:ascii="宋体" w:hAnsi="宋体" w:cs="宋体"/>
                <w:color w:val="000000"/>
                <w:sz w:val="20"/>
                <w:szCs w:val="20"/>
              </w:rPr>
            </w:pPr>
            <w:r>
              <w:rPr>
                <w:rFonts w:hint="eastAsia" w:ascii="宋体" w:hAnsi="宋体" w:cs="宋体"/>
                <w:color w:val="000000"/>
                <w:kern w:val="0"/>
                <w:sz w:val="20"/>
                <w:szCs w:val="20"/>
              </w:rPr>
              <w:t>人民法院</w:t>
            </w:r>
          </w:p>
        </w:tc>
        <w:tc>
          <w:tcPr>
            <w:tcW w:w="2348" w:type="dxa"/>
            <w:vMerge w:val="restart"/>
            <w:tcBorders>
              <w:top w:val="single" w:color="000000" w:sz="4" w:space="0"/>
              <w:left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r>
              <w:rPr>
                <w:rFonts w:hint="eastAsia" w:ascii="宋体" w:hAnsi="宋体" w:cs="宋体"/>
                <w:color w:val="000000"/>
                <w:kern w:val="0"/>
                <w:sz w:val="20"/>
                <w:szCs w:val="20"/>
              </w:rPr>
              <w:t>市直相关单位，各县市区政府</w:t>
            </w:r>
          </w:p>
        </w:tc>
      </w:tr>
      <w:tr>
        <w:tblPrEx>
          <w:tblCellMar>
            <w:top w:w="0" w:type="dxa"/>
            <w:left w:w="108" w:type="dxa"/>
            <w:bottom w:w="0" w:type="dxa"/>
            <w:right w:w="108" w:type="dxa"/>
          </w:tblCellMar>
        </w:tblPrEx>
        <w:trPr>
          <w:trHeight w:val="1134"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提升司法效率</w:t>
            </w:r>
            <w:r>
              <w:rPr>
                <w:rStyle w:val="6"/>
                <w:rFonts w:hint="default"/>
                <w:color w:val="000000"/>
              </w:rPr>
              <w:t>。强化民商事案件司法保障，围绕调解、取证、鉴定、审判、执行等关键环节，着力提升司法效率。严格规范延长审限和延期开庭工作流程，原则上一审简单案件4个月、疑难案件6个月内审结。涉产权纠纷案件，需要再次开庭的，依法告知当事人下次开庭时间，两次开庭间隔时间不得超过1个月(因不可抗力或当事人同意的除外)。</w:t>
            </w:r>
          </w:p>
        </w:tc>
        <w:tc>
          <w:tcPr>
            <w:tcW w:w="1410" w:type="dxa"/>
            <w:vMerge w:val="continue"/>
            <w:tcBorders>
              <w:left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1180" w:type="dxa"/>
            <w:vMerge w:val="continue"/>
            <w:tcBorders>
              <w:left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left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1417"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提升执行合同质效</w:t>
            </w:r>
            <w:r>
              <w:rPr>
                <w:rStyle w:val="6"/>
                <w:rFonts w:hint="default"/>
                <w:color w:val="000000"/>
              </w:rPr>
              <w:t>。制定进一步提升执行合同办理质效的政策措施，明确执行各阶段时间节点，提升执行效率，减少执行时间。依法促进市场交易，最大限度尊重当事人关于合同履行期限、违约责任等内容的约定，严格审查合同纠纷中的解除条件，依法审慎判断。存在违约情形的合同，依法保障守约方的合同权益，谨慎调整违约金标准；依法支持实际损失和可得利益损失，保障守约方的合同权利。</w:t>
            </w:r>
          </w:p>
        </w:tc>
        <w:tc>
          <w:tcPr>
            <w:tcW w:w="1410" w:type="dxa"/>
            <w:vMerge w:val="continue"/>
            <w:tcBorders>
              <w:left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1180" w:type="dxa"/>
            <w:vMerge w:val="continue"/>
            <w:tcBorders>
              <w:left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left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1417"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提升合同纠纷解决便利度</w:t>
            </w:r>
            <w:r>
              <w:rPr>
                <w:rStyle w:val="6"/>
                <w:rFonts w:hint="default"/>
                <w:color w:val="000000"/>
              </w:rPr>
              <w:t>。积极推进网上立案、跨域立案、跨境立案，解决异地诉讼不便问题，不得以提高结案率、执结率等为由，拒绝立案、拖延立案。全面落实“随机分案”，实现繁简分流、“简案”快办、“繁案”精审。切实做到案件审判主要流程节点信息实体公开，进一步强化电子送达应用。深入开展全省组织的“三湘风暴”专项执行行动，稳步提升各类案件执行到位率、执行完毕率。</w:t>
            </w:r>
          </w:p>
        </w:tc>
        <w:tc>
          <w:tcPr>
            <w:tcW w:w="1410" w:type="dxa"/>
            <w:vMerge w:val="continue"/>
            <w:tcBorders>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1180" w:type="dxa"/>
            <w:vMerge w:val="continue"/>
            <w:tcBorders>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r>
      <w:tr>
        <w:tblPrEx>
          <w:shd w:val="clear" w:color="auto" w:fill="FFFFFF"/>
          <w:tblCellMar>
            <w:top w:w="0" w:type="dxa"/>
            <w:left w:w="108" w:type="dxa"/>
            <w:bottom w:w="0" w:type="dxa"/>
            <w:right w:w="108" w:type="dxa"/>
          </w:tblCellMar>
        </w:tblPrEx>
        <w:trPr>
          <w:trHeight w:val="907" w:hRule="atLeast"/>
          <w:jc w:val="center"/>
        </w:trPr>
        <w:tc>
          <w:tcPr>
            <w:tcW w:w="49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13</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招标投标</w:t>
            </w: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left"/>
              <w:textAlignment w:val="center"/>
              <w:rPr>
                <w:rFonts w:ascii="宋体" w:hAnsi="宋体" w:cs="宋体"/>
                <w:b/>
                <w:bCs/>
                <w:color w:val="000000"/>
                <w:sz w:val="20"/>
                <w:szCs w:val="20"/>
              </w:rPr>
            </w:pPr>
            <w:r>
              <w:rPr>
                <w:rStyle w:val="10"/>
                <w:rFonts w:hint="default"/>
                <w:color w:val="000000"/>
              </w:rPr>
              <w:t>优化公共资源交易服务流程</w:t>
            </w:r>
            <w:r>
              <w:rPr>
                <w:rStyle w:val="9"/>
                <w:rFonts w:hint="default"/>
                <w:color w:val="000000"/>
              </w:rPr>
              <w:t>。</w:t>
            </w:r>
            <w:r>
              <w:rPr>
                <w:rStyle w:val="6"/>
                <w:rFonts w:hint="default"/>
                <w:color w:val="000000"/>
              </w:rPr>
              <w:t>按照省里的统一安排部署，完善全市交易服务流程和规则，推广多项业务合并申请、一表申请，推行市场主体基本资料一次收集、后续重复使用并及时更新等，加快完善“一网通办”交易服务功能。</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2021年10月</w:t>
            </w:r>
          </w:p>
        </w:tc>
        <w:tc>
          <w:tcPr>
            <w:tcW w:w="118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市发改委</w:t>
            </w:r>
          </w:p>
        </w:tc>
        <w:tc>
          <w:tcPr>
            <w:tcW w:w="234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市公共资源交易中心、各招投标行政监督部门等，各县市区政府</w:t>
            </w:r>
          </w:p>
        </w:tc>
      </w:tr>
      <w:tr>
        <w:tblPrEx>
          <w:tblCellMar>
            <w:top w:w="0" w:type="dxa"/>
            <w:left w:w="108" w:type="dxa"/>
            <w:bottom w:w="0" w:type="dxa"/>
            <w:right w:w="108" w:type="dxa"/>
          </w:tblCellMar>
        </w:tblPrEx>
        <w:trPr>
          <w:trHeight w:val="794"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持续推进全流程电子化交易</w:t>
            </w:r>
            <w:r>
              <w:rPr>
                <w:rStyle w:val="6"/>
                <w:rFonts w:hint="default"/>
                <w:color w:val="000000"/>
              </w:rPr>
              <w:t>。优化完善工程建设项目招标投标文件范本和评标办法。配合省交易中心和省直行政监督部门加快远程异地评标综合调度系统、开评标远程监督系统、视频会议系统的改造升级，实现全市工程建设项目远程异地评标常态化，积极探索与外市开展远程异地评标。</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1040"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8650" w:type="dxa"/>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widowControl/>
              <w:spacing w:line="260" w:lineRule="exact"/>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全面推行投标担保承诺制、保函制，加大电子保函应用</w:t>
            </w:r>
            <w:r>
              <w:rPr>
                <w:rStyle w:val="6"/>
                <w:rFonts w:hint="default"/>
                <w:color w:val="000000"/>
              </w:rPr>
              <w:t>。严格按照招标投标法等法律法规落实投标保证金、履约保证金的收退工作。扩充金融服务支撑平台开具电子保函的金融机构数量，提供在线提交投标保证金和电子保函服务，减轻企业现金流压力，提高企业投标便利度。</w:t>
            </w:r>
          </w:p>
        </w:tc>
        <w:tc>
          <w:tcPr>
            <w:tcW w:w="1410" w:type="dxa"/>
            <w:vMerge w:val="continue"/>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1180" w:type="dxa"/>
            <w:vMerge w:val="continue"/>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top w:val="single" w:color="000000" w:sz="4" w:space="0"/>
              <w:left w:val="single" w:color="000000" w:sz="4" w:space="0"/>
              <w:bottom w:val="single" w:color="auto" w:sz="4" w:space="0"/>
              <w:right w:val="single" w:color="000000" w:sz="4" w:space="0"/>
            </w:tcBorders>
            <w:shd w:val="clear" w:color="auto" w:fill="FFFFFF"/>
            <w:noWrap w:val="0"/>
            <w:vAlign w:val="center"/>
          </w:tcPr>
          <w:p>
            <w:pPr>
              <w:jc w:val="center"/>
              <w:rPr>
                <w:rFonts w:ascii="宋体" w:hAnsi="宋体" w:cs="宋体"/>
                <w:color w:val="000000"/>
                <w:sz w:val="20"/>
                <w:szCs w:val="20"/>
              </w:rPr>
            </w:pPr>
          </w:p>
        </w:tc>
      </w:tr>
      <w:tr>
        <w:tblPrEx>
          <w:shd w:val="clear" w:color="auto" w:fill="FFFFFF"/>
          <w:tblCellMar>
            <w:top w:w="0" w:type="dxa"/>
            <w:left w:w="108" w:type="dxa"/>
            <w:bottom w:w="0" w:type="dxa"/>
            <w:right w:w="108" w:type="dxa"/>
          </w:tblCellMar>
        </w:tblPrEx>
        <w:trPr>
          <w:trHeight w:val="850" w:hRule="atLeast"/>
          <w:jc w:val="center"/>
        </w:trPr>
        <w:tc>
          <w:tcPr>
            <w:tcW w:w="49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14</w:t>
            </w:r>
          </w:p>
        </w:tc>
        <w:tc>
          <w:tcPr>
            <w:tcW w:w="720" w:type="dxa"/>
            <w:vMerge w:val="restart"/>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政务服务</w:t>
            </w:r>
          </w:p>
        </w:tc>
        <w:tc>
          <w:tcPr>
            <w:tcW w:w="86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60" w:lineRule="exact"/>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加快实现政务服务事项标准化</w:t>
            </w:r>
            <w:r>
              <w:rPr>
                <w:rStyle w:val="6"/>
                <w:rFonts w:hint="default"/>
                <w:color w:val="000000"/>
              </w:rPr>
              <w:t>。采取“条线为主、条块互动、各级协同”方式，统一规范市、县、乡、村同一政务服务事项的办理条件、办理流程、办理时限、申请材料等要素，实现政务服务无差别受理、同标准办理。</w:t>
            </w:r>
          </w:p>
        </w:tc>
        <w:tc>
          <w:tcPr>
            <w:tcW w:w="14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2021年7月</w:t>
            </w:r>
          </w:p>
        </w:tc>
        <w:tc>
          <w:tcPr>
            <w:tcW w:w="1180" w:type="dxa"/>
            <w:vMerge w:val="restart"/>
            <w:tcBorders>
              <w:top w:val="single" w:color="auto" w:sz="4" w:space="0"/>
              <w:left w:val="single" w:color="auto" w:sz="4" w:space="0"/>
              <w:right w:val="single" w:color="auto" w:sz="4" w:space="0"/>
            </w:tcBorders>
            <w:shd w:val="clear" w:color="auto" w:fill="FFFFFF"/>
            <w:noWrap w:val="0"/>
            <w:vAlign w:val="center"/>
          </w:tcPr>
          <w:p>
            <w:pPr>
              <w:jc w:val="center"/>
              <w:rPr>
                <w:rFonts w:ascii="宋体" w:hAnsi="宋体" w:cs="宋体"/>
                <w:color w:val="000000"/>
                <w:sz w:val="20"/>
                <w:szCs w:val="20"/>
              </w:rPr>
            </w:pPr>
            <w:r>
              <w:rPr>
                <w:rFonts w:hint="eastAsia" w:ascii="宋体" w:hAnsi="宋体" w:cs="宋体"/>
                <w:color w:val="000000"/>
                <w:kern w:val="0"/>
                <w:sz w:val="20"/>
                <w:szCs w:val="20"/>
              </w:rPr>
              <w:t>市行政审批服务局</w:t>
            </w:r>
          </w:p>
        </w:tc>
        <w:tc>
          <w:tcPr>
            <w:tcW w:w="2348" w:type="dxa"/>
            <w:vMerge w:val="restart"/>
            <w:tcBorders>
              <w:top w:val="single" w:color="auto" w:sz="4" w:space="0"/>
              <w:left w:val="single" w:color="auto" w:sz="4" w:space="0"/>
              <w:right w:val="single" w:color="auto" w:sz="4" w:space="0"/>
            </w:tcBorders>
            <w:shd w:val="clear" w:color="auto" w:fill="FFFFFF"/>
            <w:noWrap w:val="0"/>
            <w:vAlign w:val="center"/>
          </w:tcPr>
          <w:p>
            <w:pPr>
              <w:jc w:val="center"/>
              <w:rPr>
                <w:rFonts w:ascii="宋体" w:hAnsi="宋体" w:cs="宋体"/>
                <w:color w:val="000000"/>
                <w:sz w:val="20"/>
                <w:szCs w:val="20"/>
              </w:rPr>
            </w:pPr>
            <w:r>
              <w:rPr>
                <w:rFonts w:hint="eastAsia" w:ascii="宋体" w:hAnsi="宋体" w:cs="宋体"/>
                <w:color w:val="000000"/>
                <w:kern w:val="0"/>
                <w:sz w:val="20"/>
                <w:szCs w:val="20"/>
              </w:rPr>
              <w:t>市直相关单位，各县市区政府</w:t>
            </w:r>
          </w:p>
        </w:tc>
      </w:tr>
      <w:tr>
        <w:tblPrEx>
          <w:tblCellMar>
            <w:top w:w="0" w:type="dxa"/>
            <w:left w:w="108" w:type="dxa"/>
            <w:bottom w:w="0" w:type="dxa"/>
            <w:right w:w="108" w:type="dxa"/>
          </w:tblCellMar>
        </w:tblPrEx>
        <w:trPr>
          <w:trHeight w:val="624"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86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60" w:lineRule="exact"/>
              <w:jc w:val="left"/>
              <w:textAlignment w:val="center"/>
              <w:rPr>
                <w:rFonts w:ascii="宋体" w:hAnsi="宋体" w:cs="宋体"/>
                <w:color w:val="000000"/>
                <w:sz w:val="20"/>
                <w:szCs w:val="20"/>
              </w:rPr>
            </w:pPr>
            <w:r>
              <w:rPr>
                <w:rFonts w:hint="eastAsia" w:ascii="宋体" w:hAnsi="宋体" w:cs="宋体"/>
                <w:b/>
                <w:bCs/>
                <w:color w:val="000000"/>
                <w:kern w:val="0"/>
                <w:sz w:val="20"/>
                <w:szCs w:val="20"/>
              </w:rPr>
              <w:t>推进高频政务服务事项全程网上办理。</w:t>
            </w:r>
            <w:r>
              <w:rPr>
                <w:rStyle w:val="6"/>
                <w:rFonts w:hint="default"/>
                <w:color w:val="000000"/>
              </w:rPr>
              <w:t>力争市、县市区政务服务事项网上可办率达到100%，网上办理深度三级以上（含三级）事项比例达到85%以上。建成运行中介服务超市。</w:t>
            </w:r>
          </w:p>
        </w:tc>
        <w:tc>
          <w:tcPr>
            <w:tcW w:w="14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2021年12月</w:t>
            </w:r>
          </w:p>
        </w:tc>
        <w:tc>
          <w:tcPr>
            <w:tcW w:w="1180" w:type="dxa"/>
            <w:vMerge w:val="continue"/>
            <w:tcBorders>
              <w:left w:val="single" w:color="auto" w:sz="4" w:space="0"/>
              <w:right w:val="single" w:color="auto"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left w:val="single" w:color="auto" w:sz="4" w:space="0"/>
              <w:right w:val="single" w:color="auto" w:sz="4" w:space="0"/>
            </w:tcBorders>
            <w:shd w:val="clear" w:color="auto" w:fill="FFFFFF"/>
            <w:noWrap w:val="0"/>
            <w:vAlign w:val="center"/>
          </w:tcPr>
          <w:p>
            <w:pPr>
              <w:jc w:val="center"/>
              <w:rPr>
                <w:rFonts w:ascii="宋体" w:hAnsi="宋体" w:cs="宋体"/>
                <w:color w:val="000000"/>
                <w:sz w:val="20"/>
                <w:szCs w:val="20"/>
              </w:rPr>
            </w:pPr>
          </w:p>
        </w:tc>
      </w:tr>
      <w:tr>
        <w:tblPrEx>
          <w:shd w:val="clear" w:color="auto" w:fill="FFFFFF"/>
          <w:tblCellMar>
            <w:top w:w="0" w:type="dxa"/>
            <w:left w:w="108" w:type="dxa"/>
            <w:bottom w:w="0" w:type="dxa"/>
            <w:right w:w="108" w:type="dxa"/>
          </w:tblCellMar>
        </w:tblPrEx>
        <w:trPr>
          <w:trHeight w:val="567"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86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60" w:lineRule="exact"/>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加快放权赋能</w:t>
            </w:r>
            <w:r>
              <w:rPr>
                <w:rStyle w:val="6"/>
                <w:rFonts w:hint="default"/>
                <w:color w:val="000000"/>
              </w:rPr>
              <w:t>。推进开展精准放权“回头看”和制定符合园区实际的赋权园区事项清单、办理指南，确保高频事项精准下放到乡镇（街道）、村（社区）和园区。</w:t>
            </w:r>
          </w:p>
        </w:tc>
        <w:tc>
          <w:tcPr>
            <w:tcW w:w="14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2021年9月</w:t>
            </w:r>
          </w:p>
        </w:tc>
        <w:tc>
          <w:tcPr>
            <w:tcW w:w="1180" w:type="dxa"/>
            <w:vMerge w:val="continue"/>
            <w:tcBorders>
              <w:left w:val="single" w:color="auto" w:sz="4" w:space="0"/>
              <w:right w:val="single" w:color="auto"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left w:val="single" w:color="auto" w:sz="4" w:space="0"/>
              <w:right w:val="single" w:color="auto" w:sz="4" w:space="0"/>
            </w:tcBorders>
            <w:shd w:val="clear" w:color="auto" w:fill="FFFFFF"/>
            <w:noWrap w:val="0"/>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1247"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86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全面推进第三批“一件事一次办”事项落实落地</w:t>
            </w:r>
            <w:r>
              <w:rPr>
                <w:rStyle w:val="6"/>
                <w:rFonts w:hint="default"/>
                <w:color w:val="000000"/>
              </w:rPr>
              <w:t>。创新企业群众生命周期“一件事一次办”，重点推进“出生”“就医”“入学”“就业”“结婚”“退休”“身后事”7个“一件事一次办”事项流程优化。推进“一件事一次办”小程序应用，汇聚更多高频便民服务事项“掌上办”。深化流程再造，大幅度“减环节、减材料、减时限”，建立“一事一导”标准模板，推进简单事项</w:t>
            </w:r>
            <w:r>
              <w:rPr>
                <w:rStyle w:val="6"/>
                <w:rFonts w:hint="default"/>
                <w:color w:val="000000"/>
                <w:spacing w:val="-6"/>
              </w:rPr>
              <w:t>“即时办”。持续推进政策兑现“一件事一次办”，探索推进人才引进、政府采购“一件事一次办”。</w:t>
            </w:r>
          </w:p>
        </w:tc>
        <w:tc>
          <w:tcPr>
            <w:tcW w:w="14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2021年7月</w:t>
            </w:r>
          </w:p>
        </w:tc>
        <w:tc>
          <w:tcPr>
            <w:tcW w:w="1180" w:type="dxa"/>
            <w:vMerge w:val="continue"/>
            <w:tcBorders>
              <w:left w:val="single" w:color="auto" w:sz="4" w:space="0"/>
              <w:right w:val="single" w:color="auto"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left w:val="single" w:color="auto" w:sz="4" w:space="0"/>
              <w:right w:val="single" w:color="auto" w:sz="4" w:space="0"/>
            </w:tcBorders>
            <w:shd w:val="clear" w:color="auto" w:fill="FFFFFF"/>
            <w:noWrap w:val="0"/>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624"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86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left"/>
              <w:textAlignment w:val="center"/>
              <w:rPr>
                <w:rFonts w:ascii="宋体" w:hAnsi="宋体" w:cs="宋体"/>
                <w:b/>
                <w:bCs/>
                <w:color w:val="000000"/>
                <w:sz w:val="20"/>
                <w:szCs w:val="20"/>
              </w:rPr>
            </w:pPr>
            <w:r>
              <w:rPr>
                <w:rStyle w:val="10"/>
                <w:rFonts w:hint="default"/>
                <w:color w:val="000000"/>
              </w:rPr>
              <w:t>推行多种通办模式。</w:t>
            </w:r>
            <w:r>
              <w:rPr>
                <w:rStyle w:val="10"/>
                <w:rFonts w:hint="default"/>
                <w:b w:val="0"/>
                <w:bCs w:val="0"/>
                <w:color w:val="000000"/>
              </w:rPr>
              <w:t>完善“全程网办”“异地代收代办”“多地连办”等通办模式。加快推进政务服务事项“全省通办”“跨省通办”，2021年底前实现高频政务服务事项“跨省通办”。</w:t>
            </w:r>
          </w:p>
        </w:tc>
        <w:tc>
          <w:tcPr>
            <w:tcW w:w="14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2021年12月</w:t>
            </w:r>
          </w:p>
        </w:tc>
        <w:tc>
          <w:tcPr>
            <w:tcW w:w="1180" w:type="dxa"/>
            <w:vMerge w:val="continue"/>
            <w:tcBorders>
              <w:left w:val="single" w:color="auto" w:sz="4" w:space="0"/>
              <w:right w:val="single" w:color="auto"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left w:val="single" w:color="auto" w:sz="4" w:space="0"/>
              <w:right w:val="single" w:color="auto" w:sz="4" w:space="0"/>
            </w:tcBorders>
            <w:shd w:val="clear" w:color="auto" w:fill="FFFFFF"/>
            <w:noWrap w:val="0"/>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80"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86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提升政务服务满意度</w:t>
            </w:r>
            <w:r>
              <w:rPr>
                <w:rStyle w:val="6"/>
                <w:rFonts w:hint="default"/>
                <w:color w:val="000000"/>
              </w:rPr>
              <w:t>。依托“互联网+政务服务”一体化平台，健全完善政务服务“好差评”工作机制，完善电子监察系统，实行“积分管理”，做到“一事一评”“大众点评”，促进政务服务好办快办。</w:t>
            </w:r>
          </w:p>
        </w:tc>
        <w:tc>
          <w:tcPr>
            <w:tcW w:w="14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2021年9月</w:t>
            </w:r>
          </w:p>
        </w:tc>
        <w:tc>
          <w:tcPr>
            <w:tcW w:w="1180" w:type="dxa"/>
            <w:vMerge w:val="continue"/>
            <w:tcBorders>
              <w:left w:val="single" w:color="auto" w:sz="4" w:space="0"/>
              <w:right w:val="single" w:color="auto"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left w:val="single" w:color="auto" w:sz="4" w:space="0"/>
              <w:right w:val="single" w:color="auto" w:sz="4" w:space="0"/>
            </w:tcBorders>
            <w:shd w:val="clear" w:color="auto" w:fill="FFFFFF"/>
            <w:noWrap w:val="0"/>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94"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86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left"/>
              <w:textAlignment w:val="center"/>
              <w:rPr>
                <w:rFonts w:ascii="宋体" w:hAnsi="宋体" w:cs="宋体"/>
                <w:b/>
                <w:bCs/>
                <w:color w:val="000000"/>
                <w:sz w:val="20"/>
                <w:szCs w:val="20"/>
              </w:rPr>
            </w:pPr>
            <w:r>
              <w:rPr>
                <w:rStyle w:val="10"/>
                <w:rFonts w:hint="default"/>
                <w:color w:val="000000"/>
              </w:rPr>
              <w:t>抓实“互联网+政务服务”改革。</w:t>
            </w:r>
            <w:r>
              <w:rPr>
                <w:rStyle w:val="6"/>
                <w:rFonts w:hint="default"/>
                <w:color w:val="000000"/>
              </w:rPr>
              <w:t>完善“我的永州”APP，推动用户数突破200万，实现100项政务服务、300项公共服务“指尖办”。推广政务服务自助一体机铺设使用，梳理更多自助办理事项，实现群众便捷办理、打印证照。</w:t>
            </w:r>
          </w:p>
        </w:tc>
        <w:tc>
          <w:tcPr>
            <w:tcW w:w="1410" w:type="dxa"/>
            <w:vMerge w:val="restart"/>
            <w:tcBorders>
              <w:top w:val="single" w:color="auto" w:sz="4" w:space="0"/>
              <w:left w:val="single" w:color="auto" w:sz="4" w:space="0"/>
              <w:right w:val="single" w:color="auto" w:sz="4" w:space="0"/>
            </w:tcBorders>
            <w:shd w:val="clear" w:color="auto" w:fill="FFFFFF"/>
            <w:noWrap w:val="0"/>
            <w:vAlign w:val="center"/>
          </w:tcPr>
          <w:p>
            <w:pPr>
              <w:jc w:val="center"/>
              <w:textAlignment w:val="center"/>
              <w:rPr>
                <w:rFonts w:ascii="宋体" w:hAnsi="宋体" w:cs="宋体"/>
                <w:color w:val="000000"/>
                <w:sz w:val="20"/>
                <w:szCs w:val="20"/>
              </w:rPr>
            </w:pPr>
            <w:r>
              <w:rPr>
                <w:rFonts w:hint="eastAsia" w:ascii="宋体" w:hAnsi="宋体" w:cs="宋体"/>
                <w:color w:val="000000"/>
                <w:kern w:val="0"/>
                <w:sz w:val="20"/>
                <w:szCs w:val="20"/>
              </w:rPr>
              <w:t>2021年12月</w:t>
            </w:r>
          </w:p>
        </w:tc>
        <w:tc>
          <w:tcPr>
            <w:tcW w:w="1180" w:type="dxa"/>
            <w:vMerge w:val="continue"/>
            <w:tcBorders>
              <w:left w:val="single" w:color="auto" w:sz="4" w:space="0"/>
              <w:right w:val="single" w:color="auto"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left w:val="single" w:color="auto" w:sz="4" w:space="0"/>
              <w:right w:val="single" w:color="auto" w:sz="4" w:space="0"/>
            </w:tcBorders>
            <w:shd w:val="clear" w:color="auto" w:fill="FFFFFF"/>
            <w:noWrap w:val="0"/>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94"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86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left"/>
              <w:textAlignment w:val="center"/>
              <w:rPr>
                <w:rStyle w:val="10"/>
                <w:rFonts w:hint="default"/>
                <w:color w:val="000000"/>
              </w:rPr>
            </w:pPr>
            <w:r>
              <w:rPr>
                <w:rFonts w:hint="eastAsia" w:ascii="宋体" w:hAnsi="宋体" w:cs="宋体"/>
                <w:b/>
                <w:color w:val="000000"/>
                <w:kern w:val="0"/>
                <w:sz w:val="20"/>
                <w:szCs w:val="20"/>
              </w:rPr>
              <w:t>落实“一次登录、全网通办”</w:t>
            </w:r>
            <w:r>
              <w:rPr>
                <w:rStyle w:val="12"/>
                <w:rFonts w:hint="default"/>
                <w:color w:val="000000"/>
              </w:rPr>
              <w:t>。配合做好省一体化平台升级迭代，强化平台支撑能力，实现“系统通、数据通、业务通”，着力解决“二次录入”、多系统办理等突出问题。优化统一身份认证系统应用，提升统一身份认证体系覆盖面，实现“一次登录、全网通办”。</w:t>
            </w:r>
          </w:p>
        </w:tc>
        <w:tc>
          <w:tcPr>
            <w:tcW w:w="1410" w:type="dxa"/>
            <w:vMerge w:val="continue"/>
            <w:tcBorders>
              <w:left w:val="single" w:color="auto" w:sz="4" w:space="0"/>
              <w:right w:val="single" w:color="auto" w:sz="4" w:space="0"/>
            </w:tcBorders>
            <w:shd w:val="clear" w:color="auto" w:fill="FFFFFF"/>
            <w:noWrap w:val="0"/>
            <w:vAlign w:val="center"/>
          </w:tcPr>
          <w:p>
            <w:pPr>
              <w:jc w:val="center"/>
              <w:textAlignment w:val="center"/>
              <w:rPr>
                <w:rFonts w:ascii="宋体" w:hAnsi="宋体" w:cs="宋体"/>
                <w:color w:val="000000"/>
                <w:kern w:val="0"/>
                <w:sz w:val="20"/>
                <w:szCs w:val="20"/>
              </w:rPr>
            </w:pPr>
          </w:p>
        </w:tc>
        <w:tc>
          <w:tcPr>
            <w:tcW w:w="1180" w:type="dxa"/>
            <w:vMerge w:val="continue"/>
            <w:tcBorders>
              <w:left w:val="single" w:color="auto" w:sz="4" w:space="0"/>
              <w:right w:val="single" w:color="auto"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left w:val="single" w:color="auto" w:sz="4" w:space="0"/>
              <w:right w:val="single" w:color="auto" w:sz="4" w:space="0"/>
            </w:tcBorders>
            <w:shd w:val="clear" w:color="auto" w:fill="FFFFFF"/>
            <w:noWrap w:val="0"/>
            <w:vAlign w:val="center"/>
          </w:tcPr>
          <w:p>
            <w:pPr>
              <w:jc w:val="center"/>
              <w:rPr>
                <w:rFonts w:ascii="宋体" w:hAnsi="宋体" w:cs="宋体"/>
                <w:color w:val="000000"/>
                <w:sz w:val="20"/>
                <w:szCs w:val="20"/>
              </w:rPr>
            </w:pPr>
          </w:p>
        </w:tc>
      </w:tr>
      <w:tr>
        <w:tblPrEx>
          <w:shd w:val="clear" w:color="auto" w:fill="FFFFFF"/>
          <w:tblCellMar>
            <w:top w:w="0" w:type="dxa"/>
            <w:left w:w="108" w:type="dxa"/>
            <w:bottom w:w="0" w:type="dxa"/>
            <w:right w:w="108" w:type="dxa"/>
          </w:tblCellMar>
        </w:tblPrEx>
        <w:trPr>
          <w:trHeight w:val="1077"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86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推行审批结果电子化</w:t>
            </w:r>
            <w:r>
              <w:rPr>
                <w:rStyle w:val="6"/>
                <w:rFonts w:hint="default"/>
                <w:color w:val="000000"/>
              </w:rPr>
              <w:t>。出台电子证照管理办法，推动电子证照基本覆盖行政机关签发的各类证件、执（牌）照、证明文件、批文、鉴定报告，实现50%以上依申请政务服务事项办理结果电子化，60种高频电子证照标准化应用。运用电子印章在涉税事项、社保登记、公积金等领域率先实现无纸化。加强电子印章和电子证照应用和跨省互认。</w:t>
            </w:r>
          </w:p>
        </w:tc>
        <w:tc>
          <w:tcPr>
            <w:tcW w:w="1410" w:type="dxa"/>
            <w:vMerge w:val="continue"/>
            <w:tcBorders>
              <w:left w:val="single" w:color="auto" w:sz="4" w:space="0"/>
              <w:right w:val="single" w:color="auto" w:sz="4" w:space="0"/>
            </w:tcBorders>
            <w:shd w:val="clear" w:color="auto" w:fill="FFFFFF"/>
            <w:noWrap w:val="0"/>
            <w:vAlign w:val="center"/>
          </w:tcPr>
          <w:p>
            <w:pPr>
              <w:widowControl/>
              <w:jc w:val="center"/>
              <w:textAlignment w:val="center"/>
              <w:rPr>
                <w:rFonts w:ascii="宋体" w:hAnsi="宋体" w:cs="宋体"/>
                <w:color w:val="000000"/>
                <w:sz w:val="20"/>
                <w:szCs w:val="20"/>
              </w:rPr>
            </w:pPr>
          </w:p>
        </w:tc>
        <w:tc>
          <w:tcPr>
            <w:tcW w:w="1180" w:type="dxa"/>
            <w:vMerge w:val="continue"/>
            <w:tcBorders>
              <w:left w:val="single" w:color="auto" w:sz="4" w:space="0"/>
              <w:right w:val="single" w:color="auto"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left w:val="single" w:color="auto" w:sz="4" w:space="0"/>
              <w:right w:val="single" w:color="auto" w:sz="4" w:space="0"/>
            </w:tcBorders>
            <w:shd w:val="clear" w:color="auto" w:fill="FFFFFF"/>
            <w:noWrap w:val="0"/>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567"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auto"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865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60" w:lineRule="exact"/>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升级12345热线服务平台</w:t>
            </w:r>
            <w:r>
              <w:rPr>
                <w:rStyle w:val="6"/>
                <w:rFonts w:hint="default"/>
                <w:color w:val="000000"/>
              </w:rPr>
              <w:t>。贯彻落实《国务院办公厅关于进一步优化地方政务服务便民热线的指导意见》，加快推进除紧急热线外的政务服务便民热线归并，年内实现“12345”一个号码服务。</w:t>
            </w:r>
          </w:p>
        </w:tc>
        <w:tc>
          <w:tcPr>
            <w:tcW w:w="1410" w:type="dxa"/>
            <w:vMerge w:val="continue"/>
            <w:tcBorders>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ascii="宋体" w:hAnsi="宋体" w:cs="宋体"/>
                <w:color w:val="000000"/>
                <w:sz w:val="20"/>
                <w:szCs w:val="20"/>
              </w:rPr>
            </w:pPr>
          </w:p>
        </w:tc>
        <w:tc>
          <w:tcPr>
            <w:tcW w:w="1180" w:type="dxa"/>
            <w:vMerge w:val="continue"/>
            <w:tcBorders>
              <w:left w:val="single" w:color="auto" w:sz="4" w:space="0"/>
              <w:bottom w:val="single" w:color="auto" w:sz="4" w:space="0"/>
              <w:right w:val="single" w:color="auto"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left w:val="single" w:color="auto" w:sz="4" w:space="0"/>
              <w:bottom w:val="single" w:color="auto" w:sz="4" w:space="0"/>
              <w:right w:val="single" w:color="auto" w:sz="4" w:space="0"/>
            </w:tcBorders>
            <w:shd w:val="clear" w:color="auto" w:fill="FFFFFF"/>
            <w:noWrap w:val="0"/>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80" w:hRule="atLeast"/>
          <w:jc w:val="center"/>
        </w:trPr>
        <w:tc>
          <w:tcPr>
            <w:tcW w:w="49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15</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知识产权运用和保护</w:t>
            </w:r>
          </w:p>
        </w:tc>
        <w:tc>
          <w:tcPr>
            <w:tcW w:w="8650"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鼓励和支持企业加强知识产权创造、保护和运用，提升企业核心竞争力</w:t>
            </w:r>
            <w:r>
              <w:rPr>
                <w:rStyle w:val="6"/>
                <w:rFonts w:hint="default"/>
                <w:color w:val="000000"/>
              </w:rPr>
              <w:t>。加大支持知识产权培育和资助奖励力度，支持企业开展国内外知识产权布局，进一步提高企业专利申请数量和质量。</w:t>
            </w:r>
          </w:p>
        </w:tc>
        <w:tc>
          <w:tcPr>
            <w:tcW w:w="1410" w:type="dxa"/>
            <w:vMerge w:val="restart"/>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2021年10月</w:t>
            </w:r>
          </w:p>
        </w:tc>
        <w:tc>
          <w:tcPr>
            <w:tcW w:w="1180" w:type="dxa"/>
            <w:vMerge w:val="restart"/>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市市场</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监管局</w:t>
            </w:r>
          </w:p>
        </w:tc>
        <w:tc>
          <w:tcPr>
            <w:tcW w:w="2348" w:type="dxa"/>
            <w:vMerge w:val="restart"/>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市直相关单位，各县市区政府</w:t>
            </w:r>
          </w:p>
        </w:tc>
      </w:tr>
      <w:tr>
        <w:tblPrEx>
          <w:tblCellMar>
            <w:top w:w="0" w:type="dxa"/>
            <w:left w:w="108" w:type="dxa"/>
            <w:bottom w:w="0" w:type="dxa"/>
            <w:right w:w="108" w:type="dxa"/>
          </w:tblCellMar>
        </w:tblPrEx>
        <w:trPr>
          <w:trHeight w:val="1020"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加大知识产权保护力度</w:t>
            </w:r>
            <w:r>
              <w:rPr>
                <w:rStyle w:val="6"/>
                <w:rFonts w:hint="default"/>
                <w:color w:val="000000"/>
              </w:rPr>
              <w:t>。申报湖南省专利侵权纠纷行政裁决试点项目。拓宽维权、确权咨询渠道，加强知识产权维权援助工作。加大新业态知识产权保护力度，加大对侵犯知识产权案件的办理力度。</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r>
      <w:tr>
        <w:tblPrEx>
          <w:shd w:val="clear" w:color="auto" w:fill="FFFFFF"/>
          <w:tblCellMar>
            <w:top w:w="0" w:type="dxa"/>
            <w:left w:w="108" w:type="dxa"/>
            <w:bottom w:w="0" w:type="dxa"/>
            <w:right w:w="108" w:type="dxa"/>
          </w:tblCellMar>
        </w:tblPrEx>
        <w:trPr>
          <w:trHeight w:val="1560" w:hRule="atLeast"/>
          <w:jc w:val="center"/>
        </w:trPr>
        <w:tc>
          <w:tcPr>
            <w:tcW w:w="49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16</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市场监管</w:t>
            </w: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提高监管覆盖率</w:t>
            </w:r>
            <w:r>
              <w:rPr>
                <w:rStyle w:val="6"/>
                <w:rFonts w:hint="default"/>
                <w:color w:val="000000"/>
              </w:rPr>
              <w:t>。健全完善市场监管领域部门联合抽查“一单两库”及相关制度，统一抽查平台操作应用，推进市场监管领域部门联合“双随机、一公开”监管常态化运行，实现“进一次门、查多项事”，双随机监管事100%覆盖，检查结果100%公示，切实减少涉企检查频次和提高涉企检查效率。持续推进“互联网+监管”，建立以信息归集共享为基础，以信息公示为手段，以信用监管为核心的新型监管机制。</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2021年7月</w:t>
            </w:r>
          </w:p>
        </w:tc>
        <w:tc>
          <w:tcPr>
            <w:tcW w:w="1180" w:type="dxa"/>
            <w:vMerge w:val="restart"/>
            <w:tcBorders>
              <w:top w:val="single" w:color="000000" w:sz="4" w:space="0"/>
              <w:left w:val="single" w:color="000000" w:sz="4" w:space="0"/>
              <w:right w:val="single" w:color="000000" w:sz="4" w:space="0"/>
            </w:tcBorders>
            <w:shd w:val="clear" w:color="auto" w:fill="FFFFFF"/>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市市场</w:t>
            </w:r>
          </w:p>
          <w:p>
            <w:pPr>
              <w:jc w:val="center"/>
              <w:rPr>
                <w:rFonts w:ascii="宋体" w:hAnsi="宋体" w:cs="宋体"/>
                <w:color w:val="000000"/>
                <w:sz w:val="20"/>
                <w:szCs w:val="20"/>
              </w:rPr>
            </w:pPr>
            <w:r>
              <w:rPr>
                <w:rFonts w:hint="eastAsia" w:ascii="宋体" w:hAnsi="宋体" w:cs="宋体"/>
                <w:color w:val="000000"/>
                <w:kern w:val="0"/>
                <w:sz w:val="20"/>
                <w:szCs w:val="20"/>
              </w:rPr>
              <w:t>监管局</w:t>
            </w:r>
          </w:p>
        </w:tc>
        <w:tc>
          <w:tcPr>
            <w:tcW w:w="2348" w:type="dxa"/>
            <w:vMerge w:val="restart"/>
            <w:tcBorders>
              <w:top w:val="single" w:color="000000" w:sz="4" w:space="0"/>
              <w:left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r>
              <w:rPr>
                <w:rFonts w:hint="eastAsia" w:ascii="宋体" w:hAnsi="宋体" w:cs="宋体"/>
                <w:color w:val="000000"/>
                <w:kern w:val="0"/>
                <w:sz w:val="20"/>
                <w:szCs w:val="20"/>
              </w:rPr>
              <w:t>市司法局、市行政审批服务局、市发改委等市直相关单位，各县市区政府</w:t>
            </w:r>
          </w:p>
        </w:tc>
      </w:tr>
      <w:tr>
        <w:tblPrEx>
          <w:tblCellMar>
            <w:top w:w="0" w:type="dxa"/>
            <w:left w:w="108" w:type="dxa"/>
            <w:bottom w:w="0" w:type="dxa"/>
            <w:right w:w="108" w:type="dxa"/>
          </w:tblCellMar>
        </w:tblPrEx>
        <w:trPr>
          <w:trHeight w:val="1701"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提高执法结果公开率</w:t>
            </w:r>
            <w:r>
              <w:rPr>
                <w:rStyle w:val="6"/>
                <w:rFonts w:hint="default"/>
                <w:color w:val="000000"/>
              </w:rPr>
              <w:t>。深入推进行政执法公示制度、执法全过程记录制度、重大执法决定法制审核制度“三项制度”落实，严格规范执法行为，规范自由裁量权；将“双公示”数据标准纳入目录，确保政府部门通过市政务数据资源共享平台全量提供涉企监管执法信息，依托市政务数据资源共享平台实现各部门提供的涉企监管执法信息全量归集入库，信息数据标准、共享平台统一，依法依规可公开的涉企监管执法信息公开率达到100%。</w:t>
            </w:r>
          </w:p>
        </w:tc>
        <w:tc>
          <w:tcPr>
            <w:tcW w:w="1410" w:type="dxa"/>
            <w:vMerge w:val="restart"/>
            <w:tcBorders>
              <w:top w:val="single" w:color="000000" w:sz="4" w:space="0"/>
              <w:left w:val="single" w:color="000000" w:sz="4" w:space="0"/>
              <w:right w:val="single" w:color="000000" w:sz="4" w:space="0"/>
            </w:tcBorders>
            <w:shd w:val="clear" w:color="auto" w:fill="FFFFFF"/>
            <w:noWrap w:val="0"/>
            <w:vAlign w:val="center"/>
          </w:tcPr>
          <w:p>
            <w:pPr>
              <w:jc w:val="center"/>
              <w:textAlignment w:val="center"/>
              <w:rPr>
                <w:rFonts w:ascii="宋体" w:hAnsi="宋体" w:cs="宋体"/>
                <w:color w:val="000000"/>
                <w:sz w:val="20"/>
                <w:szCs w:val="20"/>
              </w:rPr>
            </w:pPr>
            <w:r>
              <w:rPr>
                <w:rFonts w:hint="eastAsia" w:ascii="宋体" w:hAnsi="宋体" w:cs="宋体"/>
                <w:color w:val="000000"/>
                <w:kern w:val="0"/>
                <w:sz w:val="20"/>
                <w:szCs w:val="20"/>
              </w:rPr>
              <w:t>2021年9月</w:t>
            </w:r>
          </w:p>
        </w:tc>
        <w:tc>
          <w:tcPr>
            <w:tcW w:w="1180" w:type="dxa"/>
            <w:vMerge w:val="continue"/>
            <w:tcBorders>
              <w:left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left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1644"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开展信用监管</w:t>
            </w:r>
            <w:r>
              <w:rPr>
                <w:rStyle w:val="6"/>
                <w:rFonts w:hint="default"/>
                <w:color w:val="000000"/>
              </w:rPr>
              <w:t>。切实解决瞒报、漏报、迟报、不报等问题，实现数据100%准确。加强全流程信用监管，建立政务失信记录，做到司法裁决、行政处罚、纪律处分、问责处理等信息全覆盖。建立企业行业信用档案和行业信用评价模型，实施信用评价。开展分级分类，并在招标投标、政府采购、行政许可、行政审批、“双随机、一公开”监管、评优评先、政府性资金安排、荣誉奖励等方面全面应用。</w:t>
            </w:r>
          </w:p>
        </w:tc>
        <w:tc>
          <w:tcPr>
            <w:tcW w:w="1410" w:type="dxa"/>
            <w:vMerge w:val="continue"/>
            <w:tcBorders>
              <w:left w:val="single" w:color="000000" w:sz="4" w:space="0"/>
              <w:right w:val="single" w:color="000000" w:sz="4" w:space="0"/>
            </w:tcBorders>
            <w:shd w:val="clear" w:color="auto" w:fill="FFFFFF"/>
            <w:noWrap w:val="0"/>
            <w:vAlign w:val="center"/>
          </w:tcPr>
          <w:p>
            <w:pPr>
              <w:jc w:val="center"/>
              <w:textAlignment w:val="center"/>
              <w:rPr>
                <w:rFonts w:ascii="宋体" w:hAnsi="宋体" w:cs="宋体"/>
                <w:color w:val="000000"/>
                <w:sz w:val="20"/>
                <w:szCs w:val="20"/>
              </w:rPr>
            </w:pPr>
          </w:p>
        </w:tc>
        <w:tc>
          <w:tcPr>
            <w:tcW w:w="1180" w:type="dxa"/>
            <w:vMerge w:val="continue"/>
            <w:tcBorders>
              <w:left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left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1134"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集中整治转供电加价问题。</w:t>
            </w:r>
            <w:r>
              <w:rPr>
                <w:rFonts w:hint="eastAsia" w:ascii="宋体" w:hAnsi="宋体" w:cs="宋体"/>
                <w:bCs/>
                <w:color w:val="000000"/>
                <w:kern w:val="0"/>
                <w:sz w:val="20"/>
                <w:szCs w:val="20"/>
              </w:rPr>
              <w:t>开展转供电环节收费专项检查，依法依规从严查处违规收费行为，对性质严重的典型案例公开曝光。广泛宣传转供电价格政策，推广使用“转供电费码”。研究制定大工业转供电最高限价政策，从制度上规范工业园区转供电价。</w:t>
            </w:r>
          </w:p>
        </w:tc>
        <w:tc>
          <w:tcPr>
            <w:tcW w:w="1410" w:type="dxa"/>
            <w:vMerge w:val="continue"/>
            <w:tcBorders>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0"/>
                <w:szCs w:val="20"/>
              </w:rPr>
            </w:pPr>
          </w:p>
        </w:tc>
        <w:tc>
          <w:tcPr>
            <w:tcW w:w="1180" w:type="dxa"/>
            <w:vMerge w:val="continue"/>
            <w:tcBorders>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r>
      <w:tr>
        <w:tblPrEx>
          <w:shd w:val="clear" w:color="auto" w:fill="FFFFFF"/>
          <w:tblCellMar>
            <w:top w:w="0" w:type="dxa"/>
            <w:left w:w="108" w:type="dxa"/>
            <w:bottom w:w="0" w:type="dxa"/>
            <w:right w:w="108" w:type="dxa"/>
          </w:tblCellMar>
        </w:tblPrEx>
        <w:trPr>
          <w:trHeight w:val="1928" w:hRule="atLeast"/>
          <w:jc w:val="center"/>
        </w:trPr>
        <w:tc>
          <w:tcPr>
            <w:tcW w:w="49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17</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包容普惠创新</w:t>
            </w: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鼓励创新创业</w:t>
            </w:r>
            <w:r>
              <w:rPr>
                <w:rStyle w:val="6"/>
                <w:rFonts w:hint="default"/>
                <w:color w:val="000000"/>
              </w:rPr>
              <w:t>。加强优势产业技术攻关，实施省“5个100”工程重大科技创新项目3项、市“5个10”工程项目30项，争取省以上科技计划项目40项，实现技术合同交易10亿元以上。鼓励企业与科研院所、高等院校开展研发合作，与粤港澳大湾区联合设立研发机构或技术转移机构，新建省级以上科技创新平台5家以上、市级10家以上。依托市农科五所资源，与中国农科院“院市共建”现代农业产业发展研究机构。推进永州农科园创建国家农业高新技术产业示范区。建立健全微成长、小升高、高壮大的创新型企业梯度培育体系，新认定高新技术企业110家以上、科技型中小企业330家以上。支持科技企业引进培育30名科技创新人才。</w:t>
            </w:r>
          </w:p>
        </w:tc>
        <w:tc>
          <w:tcPr>
            <w:tcW w:w="1410" w:type="dxa"/>
            <w:vMerge w:val="restart"/>
            <w:tcBorders>
              <w:top w:val="single" w:color="000000" w:sz="4" w:space="0"/>
              <w:left w:val="single" w:color="000000" w:sz="4" w:space="0"/>
              <w:right w:val="single" w:color="000000" w:sz="4" w:space="0"/>
            </w:tcBorders>
            <w:shd w:val="clear" w:color="auto" w:fill="FFFFFF"/>
            <w:noWrap w:val="0"/>
            <w:vAlign w:val="center"/>
          </w:tcPr>
          <w:p>
            <w:pPr>
              <w:widowControl/>
              <w:spacing w:line="260" w:lineRule="exact"/>
              <w:jc w:val="center"/>
              <w:textAlignment w:val="center"/>
              <w:rPr>
                <w:rFonts w:ascii="宋体" w:hAnsi="宋体" w:cs="宋体"/>
                <w:color w:val="000000"/>
                <w:sz w:val="20"/>
                <w:szCs w:val="20"/>
              </w:rPr>
            </w:pPr>
            <w:r>
              <w:rPr>
                <w:rFonts w:ascii="宋体" w:hAnsi="宋体" w:cs="宋体"/>
                <w:color w:val="000000"/>
                <w:sz w:val="20"/>
                <w:szCs w:val="20"/>
              </w:rPr>
              <w:t xml:space="preserve"> </w:t>
            </w:r>
          </w:p>
          <w:p>
            <w:pPr>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2021年12月</w:t>
            </w:r>
          </w:p>
        </w:tc>
        <w:tc>
          <w:tcPr>
            <w:tcW w:w="1180" w:type="dxa"/>
            <w:vMerge w:val="restart"/>
            <w:tcBorders>
              <w:top w:val="single" w:color="000000" w:sz="4" w:space="0"/>
              <w:left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r>
              <w:rPr>
                <w:rFonts w:hint="eastAsia" w:ascii="宋体" w:hAnsi="宋体" w:cs="宋体"/>
                <w:color w:val="000000"/>
                <w:kern w:val="0"/>
                <w:sz w:val="20"/>
                <w:szCs w:val="20"/>
              </w:rPr>
              <w:t>市发改委</w:t>
            </w:r>
          </w:p>
        </w:tc>
        <w:tc>
          <w:tcPr>
            <w:tcW w:w="2348" w:type="dxa"/>
            <w:vMerge w:val="restart"/>
            <w:tcBorders>
              <w:top w:val="single" w:color="000000" w:sz="4" w:space="0"/>
              <w:left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r>
              <w:rPr>
                <w:rFonts w:hint="eastAsia" w:ascii="宋体" w:hAnsi="宋体" w:cs="宋体"/>
                <w:color w:val="000000"/>
                <w:kern w:val="0"/>
                <w:sz w:val="20"/>
                <w:szCs w:val="20"/>
              </w:rPr>
              <w:t>市科技局、市市场监管局、市商务局、市生态环境局、市教育局、市发改委、市卫健委、市人社局、市民政局、市农业农村局、市交通运输局、市农科园及各县市区政府</w:t>
            </w:r>
          </w:p>
        </w:tc>
      </w:tr>
      <w:tr>
        <w:tblPrEx>
          <w:shd w:val="clear" w:color="auto" w:fill="FFFFFF"/>
          <w:tblCellMar>
            <w:top w:w="0" w:type="dxa"/>
            <w:left w:w="108" w:type="dxa"/>
            <w:bottom w:w="0" w:type="dxa"/>
            <w:right w:w="108" w:type="dxa"/>
          </w:tblCellMar>
        </w:tblPrEx>
        <w:trPr>
          <w:trHeight w:val="1191"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完善人才服务机制</w:t>
            </w:r>
            <w:r>
              <w:rPr>
                <w:rStyle w:val="6"/>
                <w:rFonts w:hint="default"/>
                <w:color w:val="000000"/>
              </w:rPr>
              <w:t>。深入贯彻落实相关人才政策，强化本土人才（团队）培养激励，深化人才评价制度改革，拓宽人才引进交流渠道，大力开展柔性引才，支持人才创新创业，优化高层次人才保障服务工作。加大力度做好人才子女入学、医疗保健、配偶就业服务，为人才在永州创业就业解决后顾之忧。</w:t>
            </w:r>
          </w:p>
        </w:tc>
        <w:tc>
          <w:tcPr>
            <w:tcW w:w="1410" w:type="dxa"/>
            <w:vMerge w:val="continue"/>
            <w:tcBorders>
              <w:left w:val="single" w:color="000000" w:sz="4" w:space="0"/>
              <w:right w:val="single" w:color="000000" w:sz="4" w:space="0"/>
            </w:tcBorders>
            <w:shd w:val="clear" w:color="auto" w:fill="FFFFFF"/>
            <w:noWrap w:val="0"/>
            <w:vAlign w:val="center"/>
          </w:tcPr>
          <w:p>
            <w:pPr>
              <w:spacing w:line="260" w:lineRule="exact"/>
              <w:jc w:val="center"/>
              <w:textAlignment w:val="center"/>
              <w:rPr>
                <w:rFonts w:ascii="宋体" w:hAnsi="宋体" w:cs="宋体"/>
                <w:color w:val="000000"/>
                <w:sz w:val="20"/>
                <w:szCs w:val="20"/>
              </w:rPr>
            </w:pPr>
          </w:p>
        </w:tc>
        <w:tc>
          <w:tcPr>
            <w:tcW w:w="1180" w:type="dxa"/>
            <w:vMerge w:val="continue"/>
            <w:tcBorders>
              <w:left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2348" w:type="dxa"/>
            <w:vMerge w:val="continue"/>
            <w:tcBorders>
              <w:left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r>
      <w:tr>
        <w:tblPrEx>
          <w:tblCellMar>
            <w:top w:w="0" w:type="dxa"/>
            <w:left w:w="108" w:type="dxa"/>
            <w:bottom w:w="0" w:type="dxa"/>
            <w:right w:w="108" w:type="dxa"/>
          </w:tblCellMar>
        </w:tblPrEx>
        <w:trPr>
          <w:trHeight w:val="1474"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持续扩大市场开放度</w:t>
            </w:r>
            <w:r>
              <w:rPr>
                <w:rStyle w:val="6"/>
                <w:rFonts w:hint="default"/>
                <w:color w:val="000000"/>
              </w:rPr>
              <w:t>。实施市场准入负面清单制度，清单之外严禁另设、变相设立各类门槛和隐性事项。落实公开竞争审查制度，清理妨碍统一市场和公平竞争的各种政策和规定，对采用地方保护、指定交易、市场壁垒等方式滥用行政权力排除、限制竞争行为的，依法严肃处理。加大招大引强、招新引优力度，全年引进三类500强企业项目20个以上，完成外商直接投资3000万美元、到位内资增长12%以上。全年新增破零倍增企业100家以上，进出口总额增长10%以上。</w:t>
            </w:r>
          </w:p>
        </w:tc>
        <w:tc>
          <w:tcPr>
            <w:tcW w:w="1410" w:type="dxa"/>
            <w:vMerge w:val="continue"/>
            <w:tcBorders>
              <w:left w:val="single" w:color="000000" w:sz="4" w:space="0"/>
              <w:right w:val="single" w:color="000000" w:sz="4" w:space="0"/>
            </w:tcBorders>
            <w:shd w:val="clear" w:color="auto" w:fill="FFFFFF"/>
            <w:noWrap w:val="0"/>
            <w:vAlign w:val="center"/>
          </w:tcPr>
          <w:p>
            <w:pPr>
              <w:spacing w:line="260" w:lineRule="exact"/>
              <w:jc w:val="center"/>
              <w:textAlignment w:val="center"/>
              <w:rPr>
                <w:rFonts w:ascii="宋体" w:hAnsi="宋体" w:cs="宋体"/>
                <w:color w:val="000000"/>
                <w:sz w:val="20"/>
                <w:szCs w:val="20"/>
              </w:rPr>
            </w:pPr>
          </w:p>
        </w:tc>
        <w:tc>
          <w:tcPr>
            <w:tcW w:w="1180" w:type="dxa"/>
            <w:vMerge w:val="continue"/>
            <w:tcBorders>
              <w:left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2348" w:type="dxa"/>
            <w:vMerge w:val="continue"/>
            <w:tcBorders>
              <w:left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r>
      <w:tr>
        <w:tblPrEx>
          <w:shd w:val="clear" w:color="auto" w:fill="FFFFFF"/>
          <w:tblCellMar>
            <w:top w:w="0" w:type="dxa"/>
            <w:left w:w="108" w:type="dxa"/>
            <w:bottom w:w="0" w:type="dxa"/>
            <w:right w:w="108" w:type="dxa"/>
          </w:tblCellMar>
        </w:tblPrEx>
        <w:trPr>
          <w:trHeight w:val="1134"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提升基本公共服务满意度</w:t>
            </w:r>
            <w:r>
              <w:rPr>
                <w:rStyle w:val="6"/>
                <w:rFonts w:hint="default"/>
                <w:color w:val="000000"/>
              </w:rPr>
              <w:t>。完善高中招生政策，深化教育评价改革。推动职业教育产教融合。促进社会办医、放宽定点医药机构准入条件、强化医疗质量、推进分级诊疗及医联体建设、加强基层医疗服务体系建设；提升医疗服务水平和质量，提高职工医保待遇水平、优化异地就医备案流程；强化全民健康信息的一体化建设、深入推进“互联网+医疗健康”、 家庭医生签约等服务。</w:t>
            </w:r>
          </w:p>
        </w:tc>
        <w:tc>
          <w:tcPr>
            <w:tcW w:w="1410" w:type="dxa"/>
            <w:vMerge w:val="continue"/>
            <w:tcBorders>
              <w:left w:val="single" w:color="000000" w:sz="4" w:space="0"/>
              <w:right w:val="single" w:color="000000" w:sz="4" w:space="0"/>
            </w:tcBorders>
            <w:shd w:val="clear" w:color="auto" w:fill="FFFFFF"/>
            <w:noWrap w:val="0"/>
            <w:vAlign w:val="center"/>
          </w:tcPr>
          <w:p>
            <w:pPr>
              <w:widowControl/>
              <w:spacing w:line="260" w:lineRule="exact"/>
              <w:jc w:val="center"/>
              <w:textAlignment w:val="center"/>
              <w:rPr>
                <w:rFonts w:ascii="宋体" w:hAnsi="宋体" w:cs="宋体"/>
                <w:color w:val="000000"/>
                <w:sz w:val="20"/>
                <w:szCs w:val="20"/>
              </w:rPr>
            </w:pPr>
          </w:p>
        </w:tc>
        <w:tc>
          <w:tcPr>
            <w:tcW w:w="1180" w:type="dxa"/>
            <w:vMerge w:val="continue"/>
            <w:tcBorders>
              <w:left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2348" w:type="dxa"/>
            <w:vMerge w:val="continue"/>
            <w:tcBorders>
              <w:left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r>
      <w:tr>
        <w:tblPrEx>
          <w:shd w:val="clear" w:color="auto" w:fill="FFFFFF"/>
          <w:tblCellMar>
            <w:top w:w="0" w:type="dxa"/>
            <w:left w:w="108" w:type="dxa"/>
            <w:bottom w:w="0" w:type="dxa"/>
            <w:right w:w="108" w:type="dxa"/>
          </w:tblCellMar>
        </w:tblPrEx>
        <w:trPr>
          <w:trHeight w:val="1134"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持续打好蓝天、碧水、净土保卫战</w:t>
            </w:r>
            <w:r>
              <w:rPr>
                <w:rStyle w:val="6"/>
                <w:rFonts w:hint="default"/>
                <w:color w:val="000000"/>
              </w:rPr>
              <w:t>。抓紧抓实抓好中央、省环保督察反馈问题整改，全面完成湘江保护和治理第三个“三年行动计划”，加快解决生态环境突出问题。确保中心城区空气质量优良率保持在90%以上，全市地表水考核断面水质优良率保持100%，县市区集中式饮用水水源水质保持Ⅱ类以上。</w:t>
            </w:r>
          </w:p>
        </w:tc>
        <w:tc>
          <w:tcPr>
            <w:tcW w:w="1410" w:type="dxa"/>
            <w:vMerge w:val="continue"/>
            <w:tcBorders>
              <w:left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1180" w:type="dxa"/>
            <w:vMerge w:val="continue"/>
            <w:tcBorders>
              <w:left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2348" w:type="dxa"/>
            <w:vMerge w:val="continue"/>
            <w:tcBorders>
              <w:left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r>
      <w:tr>
        <w:tblPrEx>
          <w:tblCellMar>
            <w:top w:w="0" w:type="dxa"/>
            <w:left w:w="108" w:type="dxa"/>
            <w:bottom w:w="0" w:type="dxa"/>
            <w:right w:w="108" w:type="dxa"/>
          </w:tblCellMar>
        </w:tblPrEx>
        <w:trPr>
          <w:trHeight w:val="1134"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加快交通建设</w:t>
            </w:r>
            <w:r>
              <w:rPr>
                <w:rStyle w:val="6"/>
                <w:rFonts w:hint="default"/>
                <w:color w:val="000000"/>
              </w:rPr>
              <w:t>。开工建设邵永高铁，推动湘桂铁路永州地区扩能改造工程建成投运；加快衡永、永零、永新高速公路建设，力争零道高速开工；力争湘江永州至衡阳千吨级航道改造三期工程开工；确保零陵机场复航并增开航线；全面建成冷东公路，加快新宁、上大公路和在建干线公路建设。推进“四好农村路”建设。推进城乡公交一体化。</w:t>
            </w:r>
          </w:p>
        </w:tc>
        <w:tc>
          <w:tcPr>
            <w:tcW w:w="1410" w:type="dxa"/>
            <w:vMerge w:val="continue"/>
            <w:tcBorders>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1180" w:type="dxa"/>
            <w:vMerge w:val="continue"/>
            <w:tcBorders>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2348" w:type="dxa"/>
            <w:vMerge w:val="continue"/>
            <w:tcBorders>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r>
      <w:tr>
        <w:tblPrEx>
          <w:shd w:val="clear" w:color="auto" w:fill="FFFFFF"/>
          <w:tblCellMar>
            <w:top w:w="0" w:type="dxa"/>
            <w:left w:w="108" w:type="dxa"/>
            <w:bottom w:w="0" w:type="dxa"/>
            <w:right w:w="108" w:type="dxa"/>
          </w:tblCellMar>
        </w:tblPrEx>
        <w:trPr>
          <w:trHeight w:val="850" w:hRule="atLeast"/>
          <w:jc w:val="center"/>
        </w:trPr>
        <w:tc>
          <w:tcPr>
            <w:tcW w:w="49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18</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政府采购</w:t>
            </w: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完善电子采购平台</w:t>
            </w:r>
            <w:r>
              <w:rPr>
                <w:rStyle w:val="6"/>
                <w:rFonts w:hint="default"/>
                <w:color w:val="000000"/>
              </w:rPr>
              <w:t>。进一步完善电子招标采购平台功能，加强交易系统与信用、监管、金融服务等多平台之间数据共享和服务协同，推进采购项目、采购内容及需求概况、预算金额、预计采购时间等采购意向公开。</w:t>
            </w:r>
          </w:p>
        </w:tc>
        <w:tc>
          <w:tcPr>
            <w:tcW w:w="1410" w:type="dxa"/>
            <w:vMerge w:val="restart"/>
            <w:tcBorders>
              <w:top w:val="single" w:color="000000" w:sz="4" w:space="0"/>
              <w:left w:val="single" w:color="000000" w:sz="4" w:space="0"/>
              <w:right w:val="single" w:color="000000" w:sz="4" w:space="0"/>
            </w:tcBorders>
            <w:shd w:val="clear" w:color="auto" w:fill="FFFFFF"/>
            <w:noWrap w:val="0"/>
            <w:vAlign w:val="center"/>
          </w:tcPr>
          <w:p>
            <w:pPr>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2021年12月</w:t>
            </w:r>
          </w:p>
        </w:tc>
        <w:tc>
          <w:tcPr>
            <w:tcW w:w="1180" w:type="dxa"/>
            <w:vMerge w:val="restart"/>
            <w:tcBorders>
              <w:top w:val="single" w:color="000000" w:sz="4" w:space="0"/>
              <w:left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r>
              <w:rPr>
                <w:rFonts w:hint="eastAsia" w:ascii="宋体" w:hAnsi="宋体" w:cs="宋体"/>
                <w:color w:val="000000"/>
                <w:kern w:val="0"/>
                <w:sz w:val="20"/>
                <w:szCs w:val="20"/>
              </w:rPr>
              <w:t>市财政局</w:t>
            </w:r>
          </w:p>
        </w:tc>
        <w:tc>
          <w:tcPr>
            <w:tcW w:w="2348" w:type="dxa"/>
            <w:vMerge w:val="restart"/>
            <w:tcBorders>
              <w:top w:val="single" w:color="000000" w:sz="4" w:space="0"/>
              <w:left w:val="single" w:color="000000" w:sz="4" w:space="0"/>
              <w:right w:val="single" w:color="000000" w:sz="4" w:space="0"/>
            </w:tcBorders>
            <w:shd w:val="clear" w:color="auto" w:fill="FFFFFF"/>
            <w:noWrap w:val="0"/>
            <w:vAlign w:val="center"/>
          </w:tcPr>
          <w:p>
            <w:pPr>
              <w:jc w:val="center"/>
              <w:textAlignment w:val="center"/>
              <w:rPr>
                <w:rFonts w:ascii="宋体" w:hAnsi="宋体" w:cs="宋体"/>
                <w:color w:val="000000"/>
                <w:sz w:val="20"/>
                <w:szCs w:val="20"/>
              </w:rPr>
            </w:pPr>
            <w:r>
              <w:rPr>
                <w:rFonts w:hint="eastAsia" w:ascii="宋体" w:hAnsi="宋体" w:cs="宋体"/>
                <w:color w:val="000000"/>
                <w:kern w:val="0"/>
                <w:sz w:val="20"/>
                <w:szCs w:val="20"/>
              </w:rPr>
              <w:t>市工信局、市直相关单位，各县市区政府</w:t>
            </w:r>
          </w:p>
        </w:tc>
      </w:tr>
      <w:tr>
        <w:tblPrEx>
          <w:tblCellMar>
            <w:top w:w="0" w:type="dxa"/>
            <w:left w:w="108" w:type="dxa"/>
            <w:bottom w:w="0" w:type="dxa"/>
            <w:right w:w="108" w:type="dxa"/>
          </w:tblCellMar>
        </w:tblPrEx>
        <w:trPr>
          <w:trHeight w:val="850"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提升采购流程透明度</w:t>
            </w:r>
            <w:r>
              <w:rPr>
                <w:rStyle w:val="6"/>
                <w:rFonts w:hint="default"/>
                <w:color w:val="000000"/>
              </w:rPr>
              <w:t>。探索实施采购意向公开工作，对采购限额标准以上依法实行政府采购的货物、工程、服务项目，除因不可预见的原因急需开展的项目外，力争在采购活动开始前30日公开采购意向，提高政府采购透明度，做好2022年1月1日起正式执行的前期准备工作。</w:t>
            </w:r>
          </w:p>
        </w:tc>
        <w:tc>
          <w:tcPr>
            <w:tcW w:w="1410" w:type="dxa"/>
            <w:vMerge w:val="continue"/>
            <w:tcBorders>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center"/>
              <w:textAlignment w:val="center"/>
              <w:rPr>
                <w:rFonts w:ascii="宋体" w:hAnsi="宋体" w:cs="宋体"/>
                <w:color w:val="000000"/>
                <w:sz w:val="20"/>
                <w:szCs w:val="20"/>
              </w:rPr>
            </w:pPr>
          </w:p>
        </w:tc>
        <w:tc>
          <w:tcPr>
            <w:tcW w:w="1180" w:type="dxa"/>
            <w:vMerge w:val="continue"/>
            <w:tcBorders>
              <w:left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left w:val="single" w:color="000000" w:sz="4" w:space="0"/>
              <w:right w:val="single" w:color="000000" w:sz="4" w:space="0"/>
            </w:tcBorders>
            <w:shd w:val="clear" w:color="auto" w:fill="FFFFFF"/>
            <w:noWrap w:val="0"/>
            <w:vAlign w:val="center"/>
          </w:tcPr>
          <w:p>
            <w:pPr>
              <w:jc w:val="center"/>
              <w:textAlignment w:val="center"/>
              <w:rPr>
                <w:rFonts w:ascii="宋体" w:hAnsi="宋体" w:cs="宋体"/>
                <w:color w:val="000000"/>
                <w:sz w:val="20"/>
                <w:szCs w:val="20"/>
              </w:rPr>
            </w:pPr>
          </w:p>
        </w:tc>
      </w:tr>
      <w:tr>
        <w:tblPrEx>
          <w:shd w:val="clear" w:color="auto" w:fill="FFFFFF"/>
          <w:tblCellMar>
            <w:top w:w="0" w:type="dxa"/>
            <w:left w:w="108" w:type="dxa"/>
            <w:bottom w:w="0" w:type="dxa"/>
            <w:right w:w="108" w:type="dxa"/>
          </w:tblCellMar>
        </w:tblPrEx>
        <w:trPr>
          <w:trHeight w:val="850"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及时确定采购结果</w:t>
            </w:r>
            <w:r>
              <w:rPr>
                <w:rStyle w:val="6"/>
                <w:rFonts w:hint="default"/>
                <w:color w:val="000000"/>
              </w:rPr>
              <w:t>。加强政策宣传、督促采购人依法及时确定采购结果，除法定允许暂停情形外，采购人应当自收到评审报告之日起5个工作日内确定中标或者成交供应商，严格按照采购事项签订和履行合同。</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2021年9月</w:t>
            </w:r>
          </w:p>
        </w:tc>
        <w:tc>
          <w:tcPr>
            <w:tcW w:w="1180" w:type="dxa"/>
            <w:vMerge w:val="continue"/>
            <w:tcBorders>
              <w:left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left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0"/>
                <w:szCs w:val="20"/>
              </w:rPr>
            </w:pPr>
          </w:p>
        </w:tc>
      </w:tr>
      <w:tr>
        <w:tblPrEx>
          <w:shd w:val="clear" w:color="auto" w:fill="FFFFFF"/>
          <w:tblCellMar>
            <w:top w:w="0" w:type="dxa"/>
            <w:left w:w="108" w:type="dxa"/>
            <w:bottom w:w="0" w:type="dxa"/>
            <w:right w:w="108" w:type="dxa"/>
          </w:tblCellMar>
        </w:tblPrEx>
        <w:trPr>
          <w:trHeight w:val="520"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强化合同管理</w:t>
            </w:r>
            <w:r>
              <w:rPr>
                <w:rStyle w:val="6"/>
                <w:rFonts w:hint="default"/>
                <w:color w:val="000000"/>
              </w:rPr>
              <w:t>。优化政府采购合同范本，明确采购单位及时付款的义务，增加未履行及时付款义务的违约责任。</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2021年7月</w:t>
            </w:r>
          </w:p>
        </w:tc>
        <w:tc>
          <w:tcPr>
            <w:tcW w:w="1180" w:type="dxa"/>
            <w:vMerge w:val="continue"/>
            <w:tcBorders>
              <w:left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left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1040"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加强中小企业合同款项支付监管</w:t>
            </w:r>
            <w:r>
              <w:rPr>
                <w:rStyle w:val="6"/>
                <w:rFonts w:hint="default"/>
                <w:color w:val="000000"/>
              </w:rPr>
              <w:t>。认真落实国务院《保障中小企业款项支付条例》的有关规定，督促采购人及时支付中小企业的款项。对于满足合同约定资金支付条件的，采购人应当按照双方合同约定，自收到规范和足额的发票后30日内将资金支付到采购合同约定账户。</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2021年9月</w:t>
            </w:r>
          </w:p>
        </w:tc>
        <w:tc>
          <w:tcPr>
            <w:tcW w:w="1180" w:type="dxa"/>
            <w:vMerge w:val="continue"/>
            <w:tcBorders>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r>
      <w:tr>
        <w:tblPrEx>
          <w:shd w:val="clear" w:color="auto" w:fill="FFFFFF"/>
          <w:tblCellMar>
            <w:top w:w="0" w:type="dxa"/>
            <w:left w:w="108" w:type="dxa"/>
            <w:bottom w:w="0" w:type="dxa"/>
            <w:right w:w="108" w:type="dxa"/>
          </w:tblCellMar>
        </w:tblPrEx>
        <w:trPr>
          <w:trHeight w:val="780" w:hRule="atLeast"/>
          <w:jc w:val="center"/>
        </w:trPr>
        <w:tc>
          <w:tcPr>
            <w:tcW w:w="49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19</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劳动力市场监管</w:t>
            </w: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全面了解企业用工情况</w:t>
            </w:r>
            <w:r>
              <w:rPr>
                <w:rStyle w:val="6"/>
                <w:rFonts w:hint="default"/>
                <w:color w:val="000000"/>
              </w:rPr>
              <w:t>。建立重点企业工作服务群，构建实时沟通交流渠道，及时有效获取企业需求，精准推送用工服务信息及惠企政策。加强与省内外劳务协作，服务我市劳动密集型企业用工需求。</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2021年9月</w:t>
            </w:r>
          </w:p>
        </w:tc>
        <w:tc>
          <w:tcPr>
            <w:tcW w:w="118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市人社局</w:t>
            </w:r>
          </w:p>
        </w:tc>
        <w:tc>
          <w:tcPr>
            <w:tcW w:w="234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市直相关单位，各县市区政府</w:t>
            </w:r>
          </w:p>
        </w:tc>
      </w:tr>
      <w:tr>
        <w:tblPrEx>
          <w:tblCellMar>
            <w:top w:w="0" w:type="dxa"/>
            <w:left w:w="108" w:type="dxa"/>
            <w:bottom w:w="0" w:type="dxa"/>
            <w:right w:w="108" w:type="dxa"/>
          </w:tblCellMar>
        </w:tblPrEx>
        <w:trPr>
          <w:trHeight w:val="1040"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left"/>
              <w:textAlignment w:val="center"/>
              <w:rPr>
                <w:rFonts w:ascii="宋体" w:hAnsi="宋体" w:cs="宋体"/>
                <w:b/>
                <w:bCs/>
                <w:color w:val="000000"/>
                <w:sz w:val="20"/>
                <w:szCs w:val="20"/>
              </w:rPr>
            </w:pPr>
            <w:r>
              <w:rPr>
                <w:rStyle w:val="10"/>
                <w:rFonts w:hint="default"/>
                <w:color w:val="000000"/>
              </w:rPr>
              <w:t>落实职业技能提升行动</w:t>
            </w:r>
            <w:r>
              <w:rPr>
                <w:rStyle w:val="9"/>
                <w:rFonts w:hint="default"/>
                <w:color w:val="000000"/>
              </w:rPr>
              <w:t>。</w:t>
            </w:r>
            <w:r>
              <w:rPr>
                <w:rStyle w:val="6"/>
                <w:rFonts w:hint="default"/>
                <w:color w:val="000000"/>
              </w:rPr>
              <w:t>建立职业技能培训精准对接机制，创新职业技能培训网上报名渠道，加大对企业职工、农村转移就业劳动者、城镇登记失业人员等就业重点群体培训力度，完成全市开展职业技能培训3.2万人次培训任务。</w:t>
            </w:r>
          </w:p>
        </w:tc>
        <w:tc>
          <w:tcPr>
            <w:tcW w:w="1410" w:type="dxa"/>
            <w:vMerge w:val="restart"/>
            <w:tcBorders>
              <w:top w:val="single" w:color="000000" w:sz="4" w:space="0"/>
              <w:left w:val="single" w:color="000000" w:sz="4" w:space="0"/>
              <w:right w:val="single" w:color="000000" w:sz="4" w:space="0"/>
            </w:tcBorders>
            <w:shd w:val="clear" w:color="auto" w:fill="FFFFFF"/>
            <w:noWrap w:val="0"/>
            <w:vAlign w:val="center"/>
          </w:tcPr>
          <w:p>
            <w:pPr>
              <w:spacing w:line="260" w:lineRule="exact"/>
              <w:jc w:val="center"/>
              <w:textAlignment w:val="center"/>
              <w:rPr>
                <w:rFonts w:ascii="宋体" w:hAnsi="宋体" w:cs="宋体"/>
                <w:color w:val="000000"/>
                <w:sz w:val="20"/>
                <w:szCs w:val="20"/>
              </w:rPr>
            </w:pPr>
            <w:r>
              <w:rPr>
                <w:rFonts w:hint="eastAsia" w:ascii="宋体" w:hAnsi="宋体" w:cs="宋体"/>
                <w:color w:val="000000"/>
                <w:kern w:val="0"/>
                <w:sz w:val="20"/>
                <w:szCs w:val="20"/>
              </w:rPr>
              <w:t>2021年12月</w:t>
            </w: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624"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积极构建和谐劳动关系。</w:t>
            </w:r>
            <w:r>
              <w:rPr>
                <w:rStyle w:val="6"/>
                <w:rFonts w:hint="default"/>
                <w:color w:val="000000"/>
              </w:rPr>
              <w:t>建立劳动纠纷“一站式”化解联动处置机制。延长实施失业保险阶段性降费政策,持续减轻企业负担。</w:t>
            </w:r>
          </w:p>
        </w:tc>
        <w:tc>
          <w:tcPr>
            <w:tcW w:w="1410" w:type="dxa"/>
            <w:vMerge w:val="continue"/>
            <w:tcBorders>
              <w:left w:val="single" w:color="000000" w:sz="4" w:space="0"/>
              <w:right w:val="single" w:color="000000" w:sz="4" w:space="0"/>
            </w:tcBorders>
            <w:shd w:val="clear" w:color="auto" w:fill="FFFFFF"/>
            <w:noWrap w:val="0"/>
            <w:vAlign w:val="center"/>
          </w:tcPr>
          <w:p>
            <w:pPr>
              <w:spacing w:line="260" w:lineRule="exact"/>
              <w:jc w:val="center"/>
              <w:textAlignment w:val="center"/>
              <w:rPr>
                <w:rFonts w:ascii="宋体" w:hAnsi="宋体" w:cs="宋体"/>
                <w:color w:val="000000"/>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1304"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260" w:lineRule="exact"/>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left"/>
              <w:textAlignment w:val="center"/>
              <w:rPr>
                <w:rFonts w:ascii="宋体" w:hAnsi="宋体" w:cs="宋体"/>
                <w:b/>
                <w:bCs/>
                <w:color w:val="000000"/>
                <w:sz w:val="20"/>
                <w:szCs w:val="20"/>
              </w:rPr>
            </w:pPr>
            <w:r>
              <w:rPr>
                <w:rStyle w:val="10"/>
                <w:rFonts w:hint="default"/>
                <w:color w:val="000000"/>
              </w:rPr>
              <w:t>加强就业服务。</w:t>
            </w:r>
            <w:r>
              <w:rPr>
                <w:rStyle w:val="6"/>
                <w:rFonts w:hint="default"/>
                <w:color w:val="000000"/>
              </w:rPr>
              <w:t>完善永州智慧就业平台，打造本地就业服务品牌，2021年平台新增入驻企业1500家，个人用户20000人，实现就业20000人。深入推进充分就业社区（村）建设，到2021年底，全市64个社区、37个村达到充分就业社区（村）标准，强化劳动力的有效供给。加快流动人员人事档案信息与省平台对接，实现信息查询、转递等“一点存档、多点服务”。</w:t>
            </w:r>
          </w:p>
        </w:tc>
        <w:tc>
          <w:tcPr>
            <w:tcW w:w="1410" w:type="dxa"/>
            <w:vMerge w:val="continue"/>
            <w:tcBorders>
              <w:left w:val="single" w:color="000000" w:sz="4" w:space="0"/>
              <w:bottom w:val="single" w:color="000000" w:sz="4" w:space="0"/>
              <w:right w:val="single" w:color="000000" w:sz="4" w:space="0"/>
            </w:tcBorders>
            <w:shd w:val="clear" w:color="auto" w:fill="FFFFFF"/>
            <w:noWrap w:val="0"/>
            <w:vAlign w:val="center"/>
          </w:tcPr>
          <w:p>
            <w:pPr>
              <w:widowControl/>
              <w:spacing w:line="260" w:lineRule="exact"/>
              <w:jc w:val="center"/>
              <w:textAlignment w:val="center"/>
              <w:rPr>
                <w:rFonts w:ascii="宋体" w:hAnsi="宋体" w:cs="宋体"/>
                <w:color w:val="000000"/>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r>
      <w:tr>
        <w:tblPrEx>
          <w:shd w:val="clear" w:color="auto" w:fill="FFFFFF"/>
          <w:tblCellMar>
            <w:top w:w="0" w:type="dxa"/>
            <w:left w:w="108" w:type="dxa"/>
            <w:bottom w:w="0" w:type="dxa"/>
            <w:right w:w="108" w:type="dxa"/>
          </w:tblCellMar>
        </w:tblPrEx>
        <w:trPr>
          <w:trHeight w:val="2600" w:hRule="atLeast"/>
          <w:jc w:val="center"/>
        </w:trPr>
        <w:tc>
          <w:tcPr>
            <w:tcW w:w="49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保护中小投资者</w:t>
            </w: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提高诉讼仲裁便利度</w:t>
            </w:r>
            <w:r>
              <w:rPr>
                <w:rStyle w:val="6"/>
                <w:rFonts w:hint="default"/>
                <w:color w:val="000000"/>
              </w:rPr>
              <w:t>。进一步畅通投资者维权渠道，加强12368诉讼服务热线、微信公众号、“闪信+”等诉讼服务平台建设，提供诉前调解、查询咨询、登记立案、信访接待等线上线下一站式诉讼服务，实现网上立案、网上缴费、网上查询、办理诉讼服务事项。进一步畅通投资者维权渠道，充分发挥调解机构功能，深入推进金融纠纷多元化解，妥善处理资本市场涉及投资者的矛盾纠纷。强化金融审判专业化建设，进一步完善证券期货纠纷诉调对接机制，开展金融审判执行机制改革探索。进一步推进证券期货纠纷多元化解工作，加大相关案件调解力度。推动中小投资者涉诉程序事项一次性告知、阶段文书一次性送达、询问事项一次性解答，确保中小投资者快速兑现胜诉权益。</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2021年12月</w:t>
            </w:r>
          </w:p>
        </w:tc>
        <w:tc>
          <w:tcPr>
            <w:tcW w:w="118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市中级</w:t>
            </w:r>
          </w:p>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人民法院</w:t>
            </w:r>
          </w:p>
        </w:tc>
        <w:tc>
          <w:tcPr>
            <w:tcW w:w="234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市人民检察院、市公安局、市工信局、市工商联，</w:t>
            </w:r>
            <w:r>
              <w:rPr>
                <w:rFonts w:hint="eastAsia" w:ascii="宋体" w:hAnsi="宋体" w:cs="宋体"/>
                <w:color w:val="000000"/>
                <w:spacing w:val="-8"/>
                <w:kern w:val="0"/>
                <w:sz w:val="20"/>
                <w:szCs w:val="20"/>
              </w:rPr>
              <w:t>各县市区政府</w:t>
            </w:r>
          </w:p>
        </w:tc>
      </w:tr>
      <w:tr>
        <w:tblPrEx>
          <w:shd w:val="clear" w:color="auto" w:fill="FFFFFF"/>
          <w:tblCellMar>
            <w:top w:w="0" w:type="dxa"/>
            <w:left w:w="108" w:type="dxa"/>
            <w:bottom w:w="0" w:type="dxa"/>
            <w:right w:w="108" w:type="dxa"/>
          </w:tblCellMar>
        </w:tblPrEx>
        <w:trPr>
          <w:trHeight w:val="1511"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依法保护企业家合法权益</w:t>
            </w:r>
            <w:r>
              <w:rPr>
                <w:rStyle w:val="6"/>
                <w:rFonts w:hint="default"/>
                <w:color w:val="000000"/>
              </w:rPr>
              <w:t>。依法严厉打击侵害民营企业及其经营者人身权、财产权和知识产权的违法犯罪案件，保护民营企业家的人身和财产安全。健全完善民营企业服务中心，构建民营企业诉求快速反应机制。对于中小投资者涉诉，予以优先审查，优先立案。加快推进一站式服务建设，确保在全省排名前列。</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r>
      <w:tr>
        <w:tblPrEx>
          <w:tblCellMar>
            <w:top w:w="0" w:type="dxa"/>
            <w:left w:w="108" w:type="dxa"/>
            <w:bottom w:w="0" w:type="dxa"/>
            <w:right w:w="108" w:type="dxa"/>
          </w:tblCellMar>
        </w:tblPrEx>
        <w:trPr>
          <w:trHeight w:val="780" w:hRule="atLeast"/>
          <w:jc w:val="center"/>
        </w:trPr>
        <w:tc>
          <w:tcPr>
            <w:tcW w:w="4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86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增强信息公开</w:t>
            </w:r>
            <w:r>
              <w:rPr>
                <w:rStyle w:val="6"/>
                <w:rFonts w:hint="default"/>
                <w:color w:val="000000"/>
              </w:rPr>
              <w:t>。妥善审理公司决议效力、股东知情权、利润分配权、优先购买权等中小股东维护自身权益的案件。加强涉企案件审判信息及流程公开，促进企业健康发展。</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c>
          <w:tcPr>
            <w:tcW w:w="23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ascii="宋体" w:hAnsi="宋体" w:cs="宋体"/>
                <w:color w:val="000000"/>
                <w:sz w:val="20"/>
                <w:szCs w:val="20"/>
              </w:rPr>
            </w:pPr>
          </w:p>
        </w:tc>
      </w:tr>
    </w:tbl>
    <w:p/>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18 -</w:t>
    </w:r>
    <w:r>
      <w:rPr>
        <w:rFonts w:ascii="宋体" w:hAnsi="宋体" w:eastAsia="宋体"/>
        <w:sz w:val="28"/>
        <w:szCs w:val="28"/>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2OTAxNGUzYWNkODg3MWQ4MDBlMDI0ODU0NTJmNmMifQ=="/>
  </w:docVars>
  <w:rsids>
    <w:rsidRoot w:val="00000000"/>
    <w:rsid w:val="09E871BD"/>
    <w:rsid w:val="32FB06E4"/>
    <w:rsid w:val="6A4B58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51"/>
    <w:basedOn w:val="5"/>
    <w:qFormat/>
    <w:uiPriority w:val="0"/>
    <w:rPr>
      <w:rFonts w:hint="eastAsia" w:ascii="宋体" w:hAnsi="宋体" w:eastAsia="宋体" w:cs="宋体"/>
      <w:color w:val="000000"/>
      <w:sz w:val="20"/>
      <w:szCs w:val="20"/>
      <w:u w:val="none"/>
    </w:rPr>
  </w:style>
  <w:style w:type="character" w:customStyle="1" w:styleId="7">
    <w:name w:val="font71"/>
    <w:basedOn w:val="5"/>
    <w:qFormat/>
    <w:uiPriority w:val="0"/>
    <w:rPr>
      <w:rFonts w:hint="eastAsia" w:ascii="宋体" w:hAnsi="宋体" w:eastAsia="宋体" w:cs="宋体"/>
      <w:b/>
      <w:bCs/>
      <w:color w:val="000000"/>
      <w:sz w:val="20"/>
      <w:szCs w:val="20"/>
      <w:u w:val="none"/>
    </w:rPr>
  </w:style>
  <w:style w:type="character" w:customStyle="1" w:styleId="8">
    <w:name w:val="font91"/>
    <w:basedOn w:val="5"/>
    <w:qFormat/>
    <w:uiPriority w:val="0"/>
    <w:rPr>
      <w:rFonts w:hint="eastAsia" w:ascii="宋体" w:hAnsi="宋体" w:eastAsia="宋体" w:cs="宋体"/>
      <w:color w:val="000000"/>
      <w:sz w:val="20"/>
      <w:szCs w:val="20"/>
      <w:u w:val="none"/>
    </w:rPr>
  </w:style>
  <w:style w:type="character" w:customStyle="1" w:styleId="9">
    <w:name w:val="font101"/>
    <w:basedOn w:val="5"/>
    <w:qFormat/>
    <w:uiPriority w:val="0"/>
    <w:rPr>
      <w:rFonts w:hint="eastAsia" w:ascii="宋体" w:hAnsi="宋体" w:eastAsia="宋体" w:cs="宋体"/>
      <w:color w:val="000000"/>
      <w:sz w:val="20"/>
      <w:szCs w:val="20"/>
      <w:u w:val="none"/>
    </w:rPr>
  </w:style>
  <w:style w:type="character" w:customStyle="1" w:styleId="10">
    <w:name w:val="font01"/>
    <w:basedOn w:val="5"/>
    <w:qFormat/>
    <w:uiPriority w:val="0"/>
    <w:rPr>
      <w:rFonts w:hint="eastAsia" w:ascii="宋体" w:hAnsi="宋体" w:eastAsia="宋体" w:cs="宋体"/>
      <w:b/>
      <w:bCs/>
      <w:color w:val="000000"/>
      <w:sz w:val="20"/>
      <w:szCs w:val="20"/>
      <w:u w:val="none"/>
    </w:rPr>
  </w:style>
  <w:style w:type="character" w:customStyle="1" w:styleId="11">
    <w:name w:val="font61"/>
    <w:basedOn w:val="5"/>
    <w:qFormat/>
    <w:uiPriority w:val="0"/>
    <w:rPr>
      <w:rFonts w:hint="eastAsia" w:ascii="宋体" w:hAnsi="宋体" w:eastAsia="宋体" w:cs="宋体"/>
      <w:color w:val="FF0000"/>
      <w:sz w:val="20"/>
      <w:szCs w:val="20"/>
      <w:u w:val="none"/>
    </w:rPr>
  </w:style>
  <w:style w:type="character" w:customStyle="1" w:styleId="12">
    <w:name w:val="font8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Administrator.2016-20170517BZ</dc:creator>
  <cp:lastModifiedBy>好名字都被人用了</cp:lastModifiedBy>
  <dcterms:modified xsi:type="dcterms:W3CDTF">2023-10-11T03:29:51Z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3CEA04739EFA49E3B7987CB64355047B_13</vt:lpwstr>
  </property>
</Properties>
</file>